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216535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259715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229235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100"/>
        <w:spacing w:after="0" w:line="230"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69"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239"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2"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172085</wp:posOffset>
            </wp:positionV>
            <wp:extent cx="1217295" cy="106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17295" cy="1062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ind w:left="3560"/>
        <w:spacing w:after="0"/>
        <w:rPr>
          <w:sz w:val="20"/>
          <w:szCs w:val="20"/>
          <w:color w:val="auto"/>
        </w:rPr>
      </w:pPr>
      <w:r>
        <w:rPr>
          <w:rFonts w:ascii="Arial" w:cs="Arial" w:eastAsia="Arial" w:hAnsi="Arial"/>
          <w:sz w:val="32"/>
          <w:szCs w:val="32"/>
          <w:b w:val="1"/>
          <w:bCs w:val="1"/>
          <w:color w:val="002D73"/>
        </w:rPr>
        <w:t>CHEVRON CORPORATION</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94"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12"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all boxes that apply):</w:t>
      </w:r>
    </w:p>
    <w:p>
      <w:pPr>
        <w:spacing w:after="0" w:line="239"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223520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3045460</wp:posOffset>
            </wp:positionV>
            <wp:extent cx="2314575" cy="15005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14575"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1199"/>
        <w:spacing w:after="0"/>
        <w:rPr>
          <w:sz w:val="20"/>
          <w:szCs w:val="20"/>
          <w:color w:val="auto"/>
        </w:rPr>
      </w:pPr>
      <w:r>
        <w:rPr>
          <w:rFonts w:ascii="Arial" w:cs="Arial" w:eastAsia="Arial" w:hAnsi="Arial"/>
          <w:sz w:val="65"/>
          <w:szCs w:val="65"/>
          <w:b w:val="1"/>
          <w:bCs w:val="1"/>
          <w:color w:val="0B2D71"/>
        </w:rPr>
        <w:t>2022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Notice of 2022 annual meeting of stockholders to be held on May 25, 2022</w:t>
      </w:r>
    </w:p>
    <w:p>
      <w:pPr>
        <w:sectPr>
          <w:pgSz w:w="11900" w:h="16838" w:orient="portrait"/>
          <w:cols w:equalWidth="0" w:num="1">
            <w:col w:w="10139"/>
          </w:cols>
          <w:pgMar w:left="320" w:top="455"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239"/>
        <w:spacing w:after="0"/>
        <w:rPr>
          <w:sz w:val="20"/>
          <w:szCs w:val="20"/>
          <w:color w:val="auto"/>
        </w:rPr>
      </w:pPr>
      <w:r>
        <w:rPr>
          <w:rFonts w:ascii="Arial" w:cs="Arial" w:eastAsia="Arial" w:hAnsi="Arial"/>
          <w:sz w:val="32"/>
          <w:szCs w:val="32"/>
          <w:b w:val="1"/>
          <w:bCs w:val="1"/>
          <w:color w:val="0B2D71"/>
        </w:rPr>
        <w:t>2022 notice of the Chevron Corporation</w:t>
      </w:r>
    </w:p>
    <w:p>
      <w:pPr>
        <w:spacing w:after="0" w:line="44"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0B2D71"/>
        </w:rPr>
        <w:t>Annual meeting of stockholders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0B2D71"/>
        </w:rPr>
        <w:t>Wednesday, May 25, 2022</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8:00 a.m. PDT</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Online by live audio webcast (www.virtualshareholdermeeting.com/CVX2022)</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Record date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Monday, March 28, 2022</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Agenda</w:t>
      </w:r>
    </w:p>
    <w:p>
      <w:pPr>
        <w:spacing w:after="0" w:line="131" w:lineRule="exact"/>
        <w:rPr>
          <w:sz w:val="20"/>
          <w:szCs w:val="20"/>
          <w:color w:val="auto"/>
        </w:rPr>
      </w:pPr>
    </w:p>
    <w:p>
      <w:pPr>
        <w:ind w:left="340" w:hanging="224"/>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Elect 12 Directors named in this Proxy Statement;</w:t>
      </w:r>
    </w:p>
    <w:p>
      <w:pPr>
        <w:spacing w:after="0" w:line="122" w:lineRule="exact"/>
        <w:rPr>
          <w:rFonts w:ascii="Arial" w:cs="Arial" w:eastAsia="Arial" w:hAnsi="Arial"/>
          <w:sz w:val="14"/>
          <w:szCs w:val="14"/>
          <w:color w:val="auto"/>
        </w:rPr>
      </w:pPr>
    </w:p>
    <w:p>
      <w:pPr>
        <w:ind w:left="340" w:hanging="224"/>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Vote on a Board proposal to ratify the appointment of PricewaterhouseCoopers LLP (“PwC”) as our independent registered public accounting firm for 2022;</w:t>
      </w:r>
    </w:p>
    <w:p>
      <w:pPr>
        <w:spacing w:after="0" w:line="122" w:lineRule="exact"/>
        <w:rPr>
          <w:rFonts w:ascii="Arial" w:cs="Arial" w:eastAsia="Arial" w:hAnsi="Arial"/>
          <w:sz w:val="14"/>
          <w:szCs w:val="14"/>
          <w:color w:val="auto"/>
        </w:rPr>
      </w:pPr>
    </w:p>
    <w:p>
      <w:pPr>
        <w:ind w:left="340" w:hanging="224"/>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Vote on a Board proposal to approve, on an advisory basis, Named Executive Officer (“NEO”) compensation;</w:t>
      </w:r>
    </w:p>
    <w:p>
      <w:pPr>
        <w:spacing w:after="0" w:line="122" w:lineRule="exact"/>
        <w:rPr>
          <w:rFonts w:ascii="Arial" w:cs="Arial" w:eastAsia="Arial" w:hAnsi="Arial"/>
          <w:sz w:val="14"/>
          <w:szCs w:val="14"/>
          <w:color w:val="auto"/>
        </w:rPr>
      </w:pPr>
    </w:p>
    <w:p>
      <w:pPr>
        <w:ind w:left="340" w:hanging="224"/>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Vote on a Board proposal to approve the 2022 Long-Term Incentive Plan of Chevron Corporation;</w:t>
      </w:r>
    </w:p>
    <w:p>
      <w:pPr>
        <w:spacing w:after="0" w:line="122" w:lineRule="exact"/>
        <w:rPr>
          <w:rFonts w:ascii="Arial" w:cs="Arial" w:eastAsia="Arial" w:hAnsi="Arial"/>
          <w:sz w:val="14"/>
          <w:szCs w:val="14"/>
          <w:color w:val="auto"/>
        </w:rPr>
      </w:pPr>
    </w:p>
    <w:p>
      <w:pPr>
        <w:ind w:left="340" w:hanging="224"/>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Vote on six stockholder proposals, each if properly presented at the meeting; and</w:t>
      </w:r>
    </w:p>
    <w:p>
      <w:pPr>
        <w:spacing w:after="0" w:line="122" w:lineRule="exact"/>
        <w:rPr>
          <w:rFonts w:ascii="Arial" w:cs="Arial" w:eastAsia="Arial" w:hAnsi="Arial"/>
          <w:sz w:val="14"/>
          <w:szCs w:val="14"/>
          <w:color w:val="auto"/>
        </w:rPr>
      </w:pPr>
    </w:p>
    <w:p>
      <w:pPr>
        <w:ind w:left="340" w:hanging="224"/>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Transact any other business that is properly presented at the meeting by or at the direction of the Board.</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Admission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Stockholders or their legal proxy holders may attend the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83820</wp:posOffset>
            </wp:positionV>
            <wp:extent cx="6995160" cy="383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3831590"/>
                    </a:xfrm>
                    <a:prstGeom prst="rect">
                      <a:avLst/>
                    </a:prstGeom>
                    <a:noFill/>
                  </pic:spPr>
                </pic:pic>
              </a:graphicData>
            </a:graphic>
          </wp:anchor>
        </w:drawing>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Important notice regarding admission to the 2022 annual meeting</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Virtual Annual Meeting</w:t>
      </w:r>
    </w:p>
    <w:p>
      <w:pPr>
        <w:spacing w:after="0" w:line="123" w:lineRule="exact"/>
        <w:rPr>
          <w:sz w:val="20"/>
          <w:szCs w:val="20"/>
          <w:color w:val="auto"/>
        </w:rPr>
      </w:pPr>
    </w:p>
    <w:p>
      <w:pPr>
        <w:ind w:left="240" w:right="80"/>
        <w:spacing w:after="0" w:line="253" w:lineRule="auto"/>
        <w:rPr>
          <w:sz w:val="20"/>
          <w:szCs w:val="20"/>
          <w:color w:val="auto"/>
        </w:rPr>
      </w:pPr>
      <w:r>
        <w:rPr>
          <w:rFonts w:ascii="Arial" w:cs="Arial" w:eastAsia="Arial" w:hAnsi="Arial"/>
          <w:sz w:val="14"/>
          <w:szCs w:val="14"/>
          <w:color w:val="auto"/>
        </w:rPr>
        <w:t>We are pleased to announce that the Company will conduct its 2022 Annual Meeting of Stockholders (“Annual Meeting”) on the above date and time solely by live audio webcast in lieu of an in-person meeting. Your Board believes this format will enhance and facilitate attendance by providing convenient access for all of our stockholders with access to the internet. In addition, this meeting format should eliminate public health concerns around the COVID-19 pandemic and the significant costs associated with holding an in-person meeting. We have planned and designed the meeting to encourage stockholder participation, protect stockholder rights, and promote transparency.</w:t>
      </w:r>
    </w:p>
    <w:p>
      <w:pPr>
        <w:spacing w:after="0" w:line="29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We encourage participation</w:t>
      </w:r>
    </w:p>
    <w:p>
      <w:pPr>
        <w:spacing w:after="0" w:line="123" w:lineRule="exact"/>
        <w:rPr>
          <w:sz w:val="20"/>
          <w:szCs w:val="20"/>
          <w:color w:val="auto"/>
        </w:rPr>
      </w:pPr>
    </w:p>
    <w:p>
      <w:pPr>
        <w:ind w:left="240"/>
        <w:spacing w:after="0" w:line="247" w:lineRule="auto"/>
        <w:rPr>
          <w:sz w:val="20"/>
          <w:szCs w:val="20"/>
          <w:color w:val="auto"/>
        </w:rPr>
      </w:pPr>
      <w:r>
        <w:rPr>
          <w:rFonts w:ascii="Arial" w:cs="Arial" w:eastAsia="Arial" w:hAnsi="Arial"/>
          <w:sz w:val="14"/>
          <w:szCs w:val="14"/>
          <w:color w:val="auto"/>
        </w:rPr>
        <w:t>Stockholders of record owning Chevron common stock at the close of business on Monday, March 28, 2022, are entitled to participate in and vote at the Annual Meeting. To participate in the Annual Meeting, including to vote, ask questions, and view the list of registered stockholders as of the record date during the meeting, stockholders should go to the meeting website at www.virtualshareholdermeeting.com/CVX2022, enter the 16-digit control number found on your proxy card, voting instruction form, or Notice Regarding the Availability of Proxy Materials, and follow the instructions on the website. If your voting instruction form or Notice Regarding the Availability of Proxy Materials does not indicate that you may vote those shares through the www.proxyvote.com website and it does not include a 16-digit control number, you should contact your bank, broker, or other nominee (preferably at least five days before the annual meeting) and obtain a “legal proxy” in order to be able to attend, participate in, or vote at the Annual Meeting. The Annual Meeting will be opened for access beginning at 7:45 a.m. PDT on May 25, 2022. Proponents of the stockholder proposals included in this Proxy Statement will be given the option to prerecord or call in live through a dedicated line to ensure their ability to present their proposals.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We welcome questions from stockholders</w:t>
      </w:r>
    </w:p>
    <w:p>
      <w:pPr>
        <w:spacing w:after="0" w:line="123" w:lineRule="exact"/>
        <w:rPr>
          <w:sz w:val="20"/>
          <w:szCs w:val="20"/>
          <w:color w:val="auto"/>
        </w:rPr>
      </w:pPr>
    </w:p>
    <w:p>
      <w:pPr>
        <w:ind w:left="240" w:right="80"/>
        <w:spacing w:after="0" w:line="285" w:lineRule="auto"/>
        <w:rPr>
          <w:sz w:val="20"/>
          <w:szCs w:val="20"/>
          <w:color w:val="auto"/>
        </w:rPr>
      </w:pPr>
      <w:r>
        <w:rPr>
          <w:rFonts w:ascii="Arial" w:cs="Arial" w:eastAsia="Arial" w:hAnsi="Arial"/>
          <w:sz w:val="14"/>
          <w:szCs w:val="14"/>
          <w:color w:val="auto"/>
        </w:rPr>
        <w:t>Questions may be submitted in advance of the meeting at www.proxyvote.com or live during the meeting at www.virtualshareholdermeeting.com/CVX2022. If we are not able to get to every question submitted, we will post a summary of the remaining questions and answers on www.chevron.com/investors/stockholder-services.</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Technical difficulties and additional questions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If you have difficulty accessing the Annual Meeting, please call 844-976-0738 (toll free) or 303-562-9301 (international). Technicians will be available to assist you.</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Please submit any additional questions, comments, or suggestions by email at corpgov@chevron.com or by telephone by calling 1-877-259-1501.</w:t>
      </w:r>
    </w:p>
    <w:p>
      <w:pPr>
        <w:spacing w:after="0" w:line="109" w:lineRule="exact"/>
        <w:rPr>
          <w:sz w:val="20"/>
          <w:szCs w:val="20"/>
          <w:color w:val="auto"/>
        </w:rPr>
      </w:pPr>
    </w:p>
    <w:p>
      <w:pPr>
        <w:ind w:left="240" w:right="220"/>
        <w:spacing w:after="0" w:line="250" w:lineRule="auto"/>
        <w:rPr>
          <w:sz w:val="20"/>
          <w:szCs w:val="20"/>
          <w:color w:val="auto"/>
        </w:rPr>
      </w:pPr>
      <w:r>
        <w:rPr>
          <w:rFonts w:ascii="Arial" w:cs="Arial" w:eastAsia="Arial" w:hAnsi="Arial"/>
          <w:sz w:val="14"/>
          <w:szCs w:val="14"/>
          <w:color w:val="auto"/>
        </w:rPr>
        <w:t>In the event of a technical malfunction or other situation that the meeting Chair determines may affect the ability of the meeting to satisfy the requirements for a stockholder meeting to be held by means of remote communication under the Delaware General Corporation Law, or that otherwise makes it advisable to adjourn the meeting, the Chair will convene the Annual Meeting at 8:30 a.m. PDT on the date specified above at the Company’s headquarters in San Ramon, California, solely for the purpose of adjourning the meeting to reconvene at a date, time, and physical or virtual location announced by the meeting Chair. Under either of the foregoing circumstances, we will post information regarding the announcement on the investor relations page of the Company’s website at www.chevron.com/investors/stockholder-services.</w:t>
      </w:r>
    </w:p>
    <w:p>
      <w:pPr>
        <w:sectPr>
          <w:pgSz w:w="11900" w:h="16838" w:orient="portrait"/>
          <w:cols w:equalWidth="0" w:num="1">
            <w:col w:w="11000"/>
          </w:cols>
          <w:pgMar w:left="320" w:top="455" w:right="5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Voting</w:t>
      </w:r>
    </w:p>
    <w:p>
      <w:pPr>
        <w:spacing w:after="0" w:line="112"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Stockholders owning Chevron common stock at the close of business on Monday, March 28, 2022, or their legal proxy holders, are entitled to vote at the Annual Meeting. Please refer to pages 102 and 103 of this Proxy Statement for information about voting at the Annual Meeting.</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Distribution of proxy materials</w:t>
      </w:r>
    </w:p>
    <w:p>
      <w:pPr>
        <w:spacing w:after="0" w:line="112" w:lineRule="exact"/>
        <w:rPr>
          <w:sz w:val="20"/>
          <w:szCs w:val="20"/>
          <w:color w:val="auto"/>
        </w:rPr>
      </w:pPr>
    </w:p>
    <w:p>
      <w:pPr>
        <w:jc w:val="both"/>
        <w:ind w:left="120"/>
        <w:spacing w:after="0" w:line="259" w:lineRule="auto"/>
        <w:rPr>
          <w:sz w:val="20"/>
          <w:szCs w:val="20"/>
          <w:color w:val="auto"/>
        </w:rPr>
      </w:pPr>
      <w:r>
        <w:rPr>
          <w:rFonts w:ascii="Arial" w:cs="Arial" w:eastAsia="Arial" w:hAnsi="Arial"/>
          <w:sz w:val="16"/>
          <w:szCs w:val="16"/>
          <w:color w:val="auto"/>
        </w:rPr>
        <w:t>On Thursday, April 7, 2022, we will commence distributing to our stockholders (1) a copy of this Proxy Statement, a proxy card or voting instruction form, and our Annual Report (the “Proxy Materials”), (2) a Notice Regarding the Availability of Proxy Materials, with instructions to access the Proxy Materials and vote on the internet, or (3) for stockholders who receive materials electronically, an email with instructions to access the Proxy Materials and vote on the internet.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1783080" cy="659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Mary A. Francis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Corporate Secretary and Chief Governance Officer</w:t>
      </w:r>
    </w:p>
    <w:p>
      <w:pPr>
        <w:sectPr>
          <w:pgSz w:w="11900" w:h="16838" w:orient="portrait"/>
          <w:cols w:equalWidth="0" w:num="1">
            <w:col w:w="11020"/>
          </w:cols>
          <w:pgMar w:left="320" w:top="455" w:right="5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208280</wp:posOffset>
            </wp:positionV>
            <wp:extent cx="334010" cy="368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401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April 7, 2022</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Dear Stockholder,</w:t>
      </w:r>
    </w:p>
    <w:p>
      <w:pPr>
        <w:spacing w:after="0" w:line="221"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6"/>
          <w:szCs w:val="16"/>
          <w:color w:val="auto"/>
        </w:rPr>
        <w:t>As we write this, a war rages in Ukraine. Our hearts are with the people, families and communities directly impacted by this tragedy, and we hope that peace is restored as quickly as possible.</w:t>
      </w:r>
    </w:p>
    <w:p>
      <w:pPr>
        <w:spacing w:after="0" w:line="156" w:lineRule="exact"/>
        <w:rPr>
          <w:sz w:val="20"/>
          <w:szCs w:val="20"/>
          <w:color w:val="auto"/>
        </w:rPr>
      </w:pPr>
    </w:p>
    <w:p>
      <w:pPr>
        <w:jc w:val="both"/>
        <w:ind w:left="120"/>
        <w:spacing w:after="0" w:line="259" w:lineRule="auto"/>
        <w:rPr>
          <w:sz w:val="20"/>
          <w:szCs w:val="20"/>
          <w:color w:val="auto"/>
        </w:rPr>
      </w:pPr>
      <w:r>
        <w:rPr>
          <w:rFonts w:ascii="Arial" w:cs="Arial" w:eastAsia="Arial" w:hAnsi="Arial"/>
          <w:sz w:val="16"/>
          <w:szCs w:val="16"/>
          <w:color w:val="auto"/>
        </w:rPr>
        <w:t>The pandemic and recent geopolitical events remind us of the critical role that energy has in supporting and advancing society, including in supporting economic stability, essential supply chains, and national security. As a company, we are ever mindful of the vital role we play in society and the responsibility we have to our stakeholders as we pursue our purpose of delivering the affordable, reliable, ever-cleaner energy that enables human progress.</w:t>
      </w:r>
    </w:p>
    <w:p>
      <w:pPr>
        <w:spacing w:after="0" w:line="178"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6"/>
          <w:szCs w:val="16"/>
          <w:color w:val="auto"/>
        </w:rPr>
        <w:t>In 2021, we delivered strong financial performance, with our highest free cash flow ever, including times when prices were much higher. At the same time we made progress toward a lower carbon future. We’re a much better company than we were just a few years ago.</w:t>
      </w:r>
    </w:p>
    <w:p>
      <w:pPr>
        <w:spacing w:after="0" w:line="156"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6"/>
          <w:szCs w:val="16"/>
          <w:color w:val="auto"/>
        </w:rPr>
        <w:t>Our strategy is clear: Leverage our strengths to deliver lower carbon energy to a growing world. Chevron’s capabilities, assets and customers are distinct advantages. We’re building on these strengths as we aim to lead in lower carbon intensity oil, products and natural gas and advance new products and solutions that reduce the carbon emissions of major industries. The formation last year of Chevron New Energies highlights our ambition to grow lower carbon businesses in hydrogen; carbon capture, utilization and storage; offsets; and other emerging energies.</w:t>
      </w:r>
    </w:p>
    <w:p>
      <w:pPr>
        <w:spacing w:after="0" w:line="178" w:lineRule="exact"/>
        <w:rPr>
          <w:sz w:val="20"/>
          <w:szCs w:val="20"/>
          <w:color w:val="auto"/>
        </w:rPr>
      </w:pPr>
    </w:p>
    <w:p>
      <w:pPr>
        <w:jc w:val="both"/>
        <w:ind w:left="120" w:right="20"/>
        <w:spacing w:after="0" w:line="266" w:lineRule="auto"/>
        <w:rPr>
          <w:sz w:val="20"/>
          <w:szCs w:val="20"/>
          <w:color w:val="auto"/>
        </w:rPr>
      </w:pPr>
      <w:r>
        <w:rPr>
          <w:rFonts w:ascii="Arial" w:cs="Arial" w:eastAsia="Arial" w:hAnsi="Arial"/>
          <w:sz w:val="16"/>
          <w:szCs w:val="16"/>
          <w:color w:val="auto"/>
        </w:rPr>
        <w:t>Chevron is executing a straightforward plan, grounded in capital and cost discipline. We aim to grow cash flow and return more of it to stockholders. Our financial priorities remain steadfast: sustain and grow the dividend, reinvest to grow future cash flows, maintain a strong balance sheet, and return excess cash to you.</w:t>
      </w:r>
    </w:p>
    <w:p>
      <w:pPr>
        <w:spacing w:after="0" w:line="17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6"/>
          <w:szCs w:val="16"/>
          <w:color w:val="auto"/>
        </w:rPr>
        <w:t>We seek to demonstrate our leadership through increased transparency. We support efforts to enhance the comparability and consistency of climate-related information in public disclosures. We have voluntarily reported our greenhouse gas emissions for nearly two decades. In October, we released our latest Climate Change Resilience Report, detailing insights about the new targets we’ve set and the concrete steps we’re taking to help deliver lower carbon energy.</w:t>
      </w:r>
    </w:p>
    <w:p>
      <w:pPr>
        <w:spacing w:after="0" w:line="178"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As the world rapidly evolves, we remain optimistic. It’s an optimism that comes naturally to a company of problem solvers. We believe profound challenges can be overcome with human ingenuity, and we intend to demonstrate this with Chevron’s performance in 2022 and beyond.</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466725</wp:posOffset>
            </wp:positionV>
            <wp:extent cx="1491615"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1615" cy="26543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243840</wp:posOffset>
            </wp:positionV>
            <wp:extent cx="1019810" cy="617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19810" cy="61722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Michael K. Wirth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Chairman and CEO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Ronald D. Sugar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Lead Director</w:t>
      </w:r>
    </w:p>
    <w:p>
      <w:pPr>
        <w:spacing w:after="0" w:line="200" w:lineRule="exact"/>
        <w:rPr>
          <w:sz w:val="20"/>
          <w:szCs w:val="20"/>
          <w:color w:val="auto"/>
        </w:rPr>
      </w:pPr>
    </w:p>
    <w:p>
      <w:pPr>
        <w:sectPr>
          <w:pgSz w:w="11900" w:h="16838" w:orient="portrait"/>
          <w:cols w:equalWidth="0" w:num="2">
            <w:col w:w="5560" w:space="720"/>
            <w:col w:w="4860"/>
          </w:cols>
          <w:pgMar w:left="320" w:top="45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Chevron Corporation</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6001 Bollinger Canyon Road, San Ramon, CA 94583</w:t>
      </w:r>
    </w:p>
    <w:p>
      <w:pPr>
        <w:sectPr>
          <w:pgSz w:w="11900" w:h="16838" w:orient="portrait"/>
          <w:cols w:equalWidth="0" w:num="1">
            <w:col w:w="11140"/>
          </w:cols>
          <w:pgMar w:left="320" w:top="455" w:right="439" w:bottom="1440" w:gutter="0" w:footer="0" w:header="0"/>
          <w:type w:val="continuous"/>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539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53975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0B2D71"/>
        </w:rPr>
        <w:t>Table of contents</w:t>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Proxy statement</w:t>
        </w:r>
      </w:hyperlink>
    </w:p>
    <w:p>
      <w:pPr>
        <w:spacing w:after="0" w:line="16" w:lineRule="exact"/>
        <w:rPr>
          <w:sz w:val="20"/>
          <w:szCs w:val="20"/>
          <w:color w:val="auto"/>
        </w:rPr>
      </w:pPr>
    </w:p>
    <w:p>
      <w:pPr>
        <w:ind w:left="340"/>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virtual annual meeting</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items of business</w:t>
        </w:r>
      </w:hyperlink>
    </w:p>
    <w:p>
      <w:pPr>
        <w:spacing w:after="0" w:line="52" w:lineRule="exact"/>
        <w:rPr>
          <w:sz w:val="20"/>
          <w:szCs w:val="20"/>
          <w:color w:val="auto"/>
        </w:rPr>
      </w:pPr>
    </w:p>
    <w:p>
      <w:pPr>
        <w:ind w:left="120"/>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Election of directors (item 1 on the proxy card)</w:t>
        </w:r>
      </w:hyperlink>
    </w:p>
    <w:p>
      <w:pPr>
        <w:spacing w:after="0" w:line="16" w:lineRule="exact"/>
        <w:rPr>
          <w:sz w:val="20"/>
          <w:szCs w:val="20"/>
          <w:color w:val="auto"/>
        </w:rPr>
      </w:pPr>
    </w:p>
    <w:p>
      <w:pPr>
        <w:ind w:left="340"/>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director election requirements</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director qualifications and nomination processes</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nominees for director</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vote required</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your board’s recommendation</w:t>
        </w:r>
      </w:hyperlink>
    </w:p>
    <w:p>
      <w:pPr>
        <w:spacing w:after="0" w:line="52" w:lineRule="exact"/>
        <w:rPr>
          <w:sz w:val="20"/>
          <w:szCs w:val="20"/>
          <w:color w:val="auto"/>
        </w:rPr>
      </w:pPr>
    </w:p>
    <w:p>
      <w:pPr>
        <w:ind w:left="120"/>
        <w:spacing w:after="0"/>
        <w:rPr>
          <w:rFonts w:ascii="Arial" w:cs="Arial" w:eastAsia="Arial" w:hAnsi="Arial"/>
          <w:sz w:val="18"/>
          <w:szCs w:val="18"/>
          <w:b w:val="1"/>
          <w:bCs w:val="1"/>
          <w:u w:val="single" w:color="auto"/>
          <w:color w:val="0000EE"/>
        </w:rPr>
      </w:pPr>
      <w:hyperlink w:anchor="page25">
        <w:r>
          <w:rPr>
            <w:rFonts w:ascii="Arial" w:cs="Arial" w:eastAsia="Arial" w:hAnsi="Arial"/>
            <w:sz w:val="18"/>
            <w:szCs w:val="18"/>
            <w:b w:val="1"/>
            <w:bCs w:val="1"/>
            <w:u w:val="single" w:color="auto"/>
            <w:color w:val="0000EE"/>
          </w:rPr>
          <w:t>Director compensation</w:t>
        </w:r>
      </w:hyperlink>
    </w:p>
    <w:p>
      <w:pPr>
        <w:spacing w:after="0" w:line="16" w:lineRule="exact"/>
        <w:rPr>
          <w:sz w:val="20"/>
          <w:szCs w:val="20"/>
          <w:color w:val="auto"/>
        </w:rPr>
      </w:pPr>
    </w:p>
    <w:p>
      <w:pPr>
        <w:ind w:left="340"/>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2021 non-employee director compensation</w:t>
        </w:r>
      </w:hyperlink>
    </w:p>
    <w:p>
      <w:pPr>
        <w:spacing w:after="0" w:line="52" w:lineRule="exact"/>
        <w:rPr>
          <w:sz w:val="20"/>
          <w:szCs w:val="20"/>
          <w:color w:val="auto"/>
        </w:rPr>
      </w:pPr>
    </w:p>
    <w:p>
      <w:pPr>
        <w:ind w:left="120"/>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Corporate governance</w:t>
        </w:r>
      </w:hyperlink>
    </w:p>
    <w:p>
      <w:pPr>
        <w:spacing w:after="0" w:line="16" w:lineRule="exact"/>
        <w:rPr>
          <w:sz w:val="20"/>
          <w:szCs w:val="20"/>
          <w:color w:val="auto"/>
        </w:rPr>
      </w:pPr>
    </w:p>
    <w:p>
      <w:pPr>
        <w:ind w:left="340"/>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overview</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role of the board of directors</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corporate governance guidelines</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business conduct and ethics code</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board leadership structure</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independent lead director</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board oversight of risk</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board oversight of strategy</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human capital management</w:t>
        </w:r>
      </w:hyperlink>
    </w:p>
    <w:p>
      <w:pPr>
        <w:spacing w:after="0" w:line="5" w:lineRule="exact"/>
        <w:rPr>
          <w:sz w:val="20"/>
          <w:szCs w:val="20"/>
          <w:color w:val="auto"/>
        </w:rPr>
      </w:pPr>
    </w:p>
    <w:p>
      <w:pPr>
        <w:ind w:left="500" w:hanging="161"/>
        <w:spacing w:after="0" w:line="246" w:lineRule="auto"/>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board oversight of environmental, social, and governance</w:t>
        </w:r>
      </w:hyperlink>
      <w:r>
        <w:rPr>
          <w:rFonts w:ascii="Arial" w:cs="Arial" w:eastAsia="Arial" w:hAnsi="Arial"/>
          <w:sz w:val="16"/>
          <w:szCs w:val="16"/>
          <w:u w:val="single" w:color="auto"/>
          <w:color w:val="0000EE"/>
        </w:rPr>
        <w:t xml:space="preserve"> </w:t>
      </w:r>
      <w:hyperlink w:anchor="page33">
        <w:r>
          <w:rPr>
            <w:rFonts w:ascii="Arial" w:cs="Arial" w:eastAsia="Arial" w:hAnsi="Arial"/>
            <w:sz w:val="16"/>
            <w:szCs w:val="16"/>
            <w:u w:val="single" w:color="auto"/>
            <w:color w:val="0000EE"/>
          </w:rPr>
          <w:t>matters</w:t>
        </w:r>
      </w:hyperlink>
    </w:p>
    <w:p>
      <w:pPr>
        <w:spacing w:after="0" w:line="1" w:lineRule="exact"/>
        <w:rPr>
          <w:sz w:val="20"/>
          <w:szCs w:val="20"/>
          <w:color w:val="auto"/>
        </w:rPr>
      </w:pPr>
    </w:p>
    <w:p>
      <w:pPr>
        <w:ind w:left="340" w:right="1000"/>
        <w:spacing w:after="0" w:line="249" w:lineRule="auto"/>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board oversight of environmental issues</w:t>
        </w:r>
      </w:hyperlink>
      <w:r>
        <w:rPr>
          <w:rFonts w:ascii="Arial" w:cs="Arial" w:eastAsia="Arial" w:hAnsi="Arial"/>
          <w:sz w:val="16"/>
          <w:szCs w:val="16"/>
          <w:u w:val="single" w:color="auto"/>
          <w:color w:val="0000EE"/>
        </w:rPr>
        <w:t xml:space="preserve"> </w:t>
      </w:r>
      <w:hyperlink w:anchor="page34">
        <w:r>
          <w:rPr>
            <w:rFonts w:ascii="Arial" w:cs="Arial" w:eastAsia="Arial" w:hAnsi="Arial"/>
            <w:sz w:val="16"/>
            <w:szCs w:val="16"/>
            <w:u w:val="single" w:color="auto"/>
            <w:color w:val="0000EE"/>
          </w:rPr>
          <w:t>chevron’s approach to the energy transition</w:t>
        </w:r>
      </w:hyperlink>
      <w:r>
        <w:rPr>
          <w:rFonts w:ascii="Arial" w:cs="Arial" w:eastAsia="Arial" w:hAnsi="Arial"/>
          <w:sz w:val="16"/>
          <w:szCs w:val="16"/>
          <w:u w:val="single" w:color="auto"/>
          <w:color w:val="0000EE"/>
        </w:rPr>
        <w:t xml:space="preserve"> </w:t>
      </w:r>
      <w:hyperlink w:anchor="page36">
        <w:r>
          <w:rPr>
            <w:rFonts w:ascii="Arial" w:cs="Arial" w:eastAsia="Arial" w:hAnsi="Arial"/>
            <w:sz w:val="16"/>
            <w:szCs w:val="16"/>
            <w:u w:val="single" w:color="auto"/>
            <w:color w:val="0000EE"/>
          </w:rPr>
          <w:t>director independence</w:t>
        </w:r>
      </w:hyperlink>
      <w:r>
        <w:rPr>
          <w:rFonts w:ascii="Arial" w:cs="Arial" w:eastAsia="Arial" w:hAnsi="Arial"/>
          <w:sz w:val="16"/>
          <w:szCs w:val="16"/>
          <w:u w:val="single" w:color="auto"/>
          <w:color w:val="0000EE"/>
        </w:rPr>
        <w:t xml:space="preserve"> </w:t>
      </w:r>
      <w:hyperlink w:anchor="page37">
        <w:r>
          <w:rPr>
            <w:rFonts w:ascii="Arial" w:cs="Arial" w:eastAsia="Arial" w:hAnsi="Arial"/>
            <w:sz w:val="16"/>
            <w:szCs w:val="16"/>
            <w:u w:val="single" w:color="auto"/>
            <w:color w:val="0000EE"/>
          </w:rPr>
          <w:t>board committees</w:t>
        </w:r>
      </w:hyperlink>
    </w:p>
    <w:p>
      <w:pPr>
        <w:spacing w:after="0" w:line="183" w:lineRule="exact"/>
        <w:rPr>
          <w:rFonts w:ascii="Arial" w:cs="Arial" w:eastAsia="Arial" w:hAnsi="Arial"/>
          <w:sz w:val="16"/>
          <w:szCs w:val="16"/>
          <w:u w:val="single" w:color="auto"/>
          <w:color w:val="0000EE"/>
        </w:rPr>
      </w:pPr>
    </w:p>
    <w:p>
      <w:pPr>
        <w:ind w:left="340" w:right="720"/>
        <w:spacing w:after="0" w:line="246" w:lineRule="auto"/>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board and committee meetings and attendance</w:t>
        </w:r>
      </w:hyperlink>
      <w:r>
        <w:rPr>
          <w:rFonts w:ascii="Arial" w:cs="Arial" w:eastAsia="Arial" w:hAnsi="Arial"/>
          <w:sz w:val="16"/>
          <w:szCs w:val="16"/>
          <w:u w:val="single" w:color="auto"/>
          <w:color w:val="0000EE"/>
        </w:rPr>
        <w:t xml:space="preserve"> </w:t>
      </w:r>
      <w:hyperlink w:anchor="page37">
        <w:r>
          <w:rPr>
            <w:rFonts w:ascii="Arial" w:cs="Arial" w:eastAsia="Arial" w:hAnsi="Arial"/>
            <w:sz w:val="16"/>
            <w:szCs w:val="16"/>
            <w:u w:val="single" w:color="auto"/>
            <w:color w:val="0000EE"/>
          </w:rPr>
          <w:t>board and committee evaluations</w:t>
        </w:r>
      </w:hyperlink>
    </w:p>
    <w:p>
      <w:pPr>
        <w:spacing w:after="0" w:line="1" w:lineRule="exact"/>
        <w:rPr>
          <w:sz w:val="20"/>
          <w:szCs w:val="20"/>
          <w:color w:val="auto"/>
        </w:rPr>
      </w:pPr>
    </w:p>
    <w:p>
      <w:pPr>
        <w:ind w:left="340" w:right="1140"/>
        <w:spacing w:after="0" w:line="246" w:lineRule="auto"/>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director orientation and education</w:t>
        </w:r>
      </w:hyperlink>
      <w:r>
        <w:rPr>
          <w:rFonts w:ascii="Arial" w:cs="Arial" w:eastAsia="Arial" w:hAnsi="Arial"/>
          <w:sz w:val="16"/>
          <w:szCs w:val="16"/>
          <w:u w:val="single" w:color="auto"/>
          <w:color w:val="0000EE"/>
        </w:rPr>
        <w:t xml:space="preserve"> </w:t>
      </w:r>
      <w:hyperlink w:anchor="page39">
        <w:r>
          <w:rPr>
            <w:rFonts w:ascii="Arial" w:cs="Arial" w:eastAsia="Arial" w:hAnsi="Arial"/>
            <w:sz w:val="16"/>
            <w:szCs w:val="16"/>
            <w:u w:val="single" w:color="auto"/>
            <w:color w:val="0000EE"/>
          </w:rPr>
          <w:t>hedging, pledging, and other transactions</w:t>
        </w:r>
      </w:hyperlink>
      <w:r>
        <w:rPr>
          <w:rFonts w:ascii="Arial" w:cs="Arial" w:eastAsia="Arial" w:hAnsi="Arial"/>
          <w:sz w:val="16"/>
          <w:szCs w:val="16"/>
          <w:u w:val="single" w:color="auto"/>
          <w:color w:val="0000EE"/>
        </w:rPr>
        <w:t xml:space="preserve"> </w:t>
      </w:r>
      <w:hyperlink w:anchor="page39">
        <w:r>
          <w:rPr>
            <w:rFonts w:ascii="Arial" w:cs="Arial" w:eastAsia="Arial" w:hAnsi="Arial"/>
            <w:sz w:val="16"/>
            <w:szCs w:val="16"/>
            <w:u w:val="single" w:color="auto"/>
            <w:color w:val="0000EE"/>
          </w:rPr>
          <w:t>related person transactions</w:t>
        </w:r>
      </w:hyperlink>
    </w:p>
    <w:p>
      <w:pPr>
        <w:spacing w:after="0" w:line="1" w:lineRule="exact"/>
        <w:rPr>
          <w:rFonts w:ascii="Arial" w:cs="Arial" w:eastAsia="Arial" w:hAnsi="Arial"/>
          <w:sz w:val="16"/>
          <w:szCs w:val="16"/>
          <w:u w:val="single" w:color="auto"/>
          <w:color w:val="0000EE"/>
        </w:rPr>
      </w:pPr>
    </w:p>
    <w:p>
      <w:pPr>
        <w:ind w:left="560" w:right="500" w:hanging="226"/>
        <w:spacing w:after="0" w:line="246" w:lineRule="auto"/>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year-round environmental, social, and governance</w:t>
        </w:r>
      </w:hyperlink>
      <w:r>
        <w:rPr>
          <w:rFonts w:ascii="Arial" w:cs="Arial" w:eastAsia="Arial" w:hAnsi="Arial"/>
          <w:sz w:val="16"/>
          <w:szCs w:val="16"/>
          <w:u w:val="single" w:color="auto"/>
          <w:color w:val="0000EE"/>
        </w:rPr>
        <w:t xml:space="preserve"> </w:t>
      </w:r>
      <w:hyperlink w:anchor="page40">
        <w:r>
          <w:rPr>
            <w:rFonts w:ascii="Arial" w:cs="Arial" w:eastAsia="Arial" w:hAnsi="Arial"/>
            <w:sz w:val="16"/>
            <w:szCs w:val="16"/>
            <w:u w:val="single" w:color="auto"/>
            <w:color w:val="0000EE"/>
          </w:rPr>
          <w:t>engagement</w:t>
        </w:r>
      </w:hyperlink>
    </w:p>
    <w:p>
      <w:pPr>
        <w:spacing w:after="0" w:line="1" w:lineRule="exact"/>
        <w:rPr>
          <w:sz w:val="20"/>
          <w:szCs w:val="20"/>
          <w:color w:val="auto"/>
        </w:rPr>
      </w:pPr>
    </w:p>
    <w:p>
      <w:pPr>
        <w:ind w:left="340"/>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our response to stockholders</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board nominating and governance committee report</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management compensation committee report</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audit committee report</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communicating with the board</w:t>
        </w:r>
      </w:hyperlink>
    </w:p>
    <w:p>
      <w:pPr>
        <w:spacing w:after="0" w:line="52" w:lineRule="exact"/>
        <w:rPr>
          <w:sz w:val="20"/>
          <w:szCs w:val="20"/>
          <w:color w:val="auto"/>
        </w:rPr>
      </w:pPr>
    </w:p>
    <w:p>
      <w:pPr>
        <w:ind w:left="120"/>
        <w:spacing w:after="0"/>
        <w:rPr>
          <w:rFonts w:ascii="Arial" w:cs="Arial" w:eastAsia="Arial" w:hAnsi="Arial"/>
          <w:sz w:val="18"/>
          <w:szCs w:val="18"/>
          <w:b w:val="1"/>
          <w:bCs w:val="1"/>
          <w:u w:val="single" w:color="auto"/>
          <w:color w:val="0000EE"/>
        </w:rPr>
      </w:pPr>
      <w:hyperlink w:anchor="page47">
        <w:r>
          <w:rPr>
            <w:rFonts w:ascii="Arial" w:cs="Arial" w:eastAsia="Arial" w:hAnsi="Arial"/>
            <w:sz w:val="18"/>
            <w:szCs w:val="18"/>
            <w:b w:val="1"/>
            <w:bCs w:val="1"/>
            <w:u w:val="single" w:color="auto"/>
            <w:color w:val="0000EE"/>
          </w:rPr>
          <w:t>Executive compensation</w:t>
        </w:r>
      </w:hyperlink>
    </w:p>
    <w:p>
      <w:pPr>
        <w:spacing w:after="0" w:line="16" w:lineRule="exact"/>
        <w:rPr>
          <w:sz w:val="20"/>
          <w:szCs w:val="20"/>
          <w:color w:val="auto"/>
        </w:rPr>
      </w:pPr>
    </w:p>
    <w:p>
      <w:pPr>
        <w:ind w:left="340" w:right="1360"/>
        <w:spacing w:after="0" w:line="246" w:lineRule="auto"/>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compensation discussion and analysis</w:t>
        </w:r>
      </w:hyperlink>
      <w:r>
        <w:rPr>
          <w:rFonts w:ascii="Arial" w:cs="Arial" w:eastAsia="Arial" w:hAnsi="Arial"/>
          <w:sz w:val="16"/>
          <w:szCs w:val="16"/>
          <w:u w:val="single" w:color="auto"/>
          <w:color w:val="0000EE"/>
        </w:rPr>
        <w:t xml:space="preserve"> </w:t>
      </w:r>
      <w:hyperlink w:anchor="page69">
        <w:r>
          <w:rPr>
            <w:rFonts w:ascii="Arial" w:cs="Arial" w:eastAsia="Arial" w:hAnsi="Arial"/>
            <w:sz w:val="16"/>
            <w:szCs w:val="16"/>
            <w:u w:val="single" w:color="auto"/>
            <w:color w:val="0000EE"/>
          </w:rPr>
          <w:t>summary compensation table</w:t>
        </w:r>
      </w:hyperlink>
    </w:p>
    <w:p>
      <w:pPr>
        <w:spacing w:after="0" w:line="1" w:lineRule="exact"/>
        <w:rPr>
          <w:sz w:val="20"/>
          <w:szCs w:val="20"/>
          <w:color w:val="auto"/>
        </w:rPr>
      </w:pPr>
    </w:p>
    <w:p>
      <w:pPr>
        <w:ind w:left="340" w:right="320"/>
        <w:spacing w:after="0" w:line="246" w:lineRule="auto"/>
        <w:rPr>
          <w:rFonts w:ascii="Arial" w:cs="Arial" w:eastAsia="Arial" w:hAnsi="Arial"/>
          <w:sz w:val="16"/>
          <w:szCs w:val="16"/>
          <w:u w:val="single" w:color="auto"/>
          <w:color w:val="0000EE"/>
        </w:rPr>
      </w:pPr>
      <w:hyperlink w:anchor="page72">
        <w:r>
          <w:rPr>
            <w:rFonts w:ascii="Arial" w:cs="Arial" w:eastAsia="Arial" w:hAnsi="Arial"/>
            <w:sz w:val="16"/>
            <w:szCs w:val="16"/>
            <w:u w:val="single" w:color="auto"/>
            <w:color w:val="0000EE"/>
          </w:rPr>
          <w:t>grants of plan-based awards in fiscal year 2021</w:t>
        </w:r>
      </w:hyperlink>
      <w:r>
        <w:rPr>
          <w:rFonts w:ascii="Arial" w:cs="Arial" w:eastAsia="Arial" w:hAnsi="Arial"/>
          <w:sz w:val="16"/>
          <w:szCs w:val="16"/>
          <w:u w:val="single" w:color="auto"/>
          <w:color w:val="0000EE"/>
        </w:rPr>
        <w:t xml:space="preserve"> </w:t>
      </w:r>
      <w:hyperlink w:anchor="page73">
        <w:r>
          <w:rPr>
            <w:rFonts w:ascii="Arial" w:cs="Arial" w:eastAsia="Arial" w:hAnsi="Arial"/>
            <w:sz w:val="16"/>
            <w:szCs w:val="16"/>
            <w:u w:val="single" w:color="auto"/>
            <w:color w:val="0000EE"/>
          </w:rPr>
          <w:t>outstanding equity awards at 2021 fiscal year-end</w:t>
        </w:r>
      </w:hyperlink>
      <w:r>
        <w:rPr>
          <w:rFonts w:ascii="Arial" w:cs="Arial" w:eastAsia="Arial" w:hAnsi="Arial"/>
          <w:sz w:val="16"/>
          <w:szCs w:val="16"/>
          <w:u w:val="single" w:color="auto"/>
          <w:color w:val="0000EE"/>
        </w:rPr>
        <w:t xml:space="preserve"> </w:t>
      </w:r>
      <w:hyperlink w:anchor="page75">
        <w:r>
          <w:rPr>
            <w:rFonts w:ascii="Arial" w:cs="Arial" w:eastAsia="Arial" w:hAnsi="Arial"/>
            <w:sz w:val="16"/>
            <w:szCs w:val="16"/>
            <w:u w:val="single" w:color="auto"/>
            <w:color w:val="0000EE"/>
          </w:rPr>
          <w:t>option exercises and stock vested in fiscal year 2021</w:t>
        </w:r>
      </w:hyperlink>
      <w:r>
        <w:rPr>
          <w:rFonts w:ascii="Arial" w:cs="Arial" w:eastAsia="Arial" w:hAnsi="Arial"/>
          <w:sz w:val="16"/>
          <w:szCs w:val="16"/>
          <w:u w:val="single" w:color="auto"/>
          <w:color w:val="0000EE"/>
        </w:rPr>
        <w:t xml:space="preserve"> </w:t>
      </w:r>
      <w:hyperlink w:anchor="page77">
        <w:r>
          <w:rPr>
            <w:rFonts w:ascii="Arial" w:cs="Arial" w:eastAsia="Arial" w:hAnsi="Arial"/>
            <w:sz w:val="16"/>
            <w:szCs w:val="16"/>
            <w:u w:val="single" w:color="auto"/>
            <w:color w:val="0000EE"/>
          </w:rPr>
          <w:t>pension benefits table</w:t>
        </w:r>
      </w:hyperlink>
    </w:p>
    <w:p>
      <w:pPr>
        <w:spacing w:after="0" w:line="2" w:lineRule="exact"/>
        <w:rPr>
          <w:rFonts w:ascii="Arial" w:cs="Arial" w:eastAsia="Arial" w:hAnsi="Arial"/>
          <w:sz w:val="16"/>
          <w:szCs w:val="16"/>
          <w:u w:val="single" w:color="auto"/>
          <w:color w:val="0000EE"/>
        </w:rPr>
      </w:pPr>
    </w:p>
    <w:p>
      <w:pPr>
        <w:ind w:left="340"/>
        <w:spacing w:after="0"/>
        <w:rPr>
          <w:rFonts w:ascii="Arial" w:cs="Arial" w:eastAsia="Arial" w:hAnsi="Arial"/>
          <w:sz w:val="16"/>
          <w:szCs w:val="16"/>
          <w:u w:val="single" w:color="auto"/>
          <w:color w:val="0000EE"/>
        </w:rPr>
      </w:pPr>
      <w:hyperlink w:anchor="page78">
        <w:r>
          <w:rPr>
            <w:rFonts w:ascii="Arial" w:cs="Arial" w:eastAsia="Arial" w:hAnsi="Arial"/>
            <w:sz w:val="16"/>
            <w:szCs w:val="16"/>
            <w:u w:val="single" w:color="auto"/>
            <w:color w:val="0000EE"/>
          </w:rPr>
          <w:t>nonqualified deferred compensation table</w:t>
        </w:r>
      </w:hyperlink>
    </w:p>
    <w:p>
      <w:pPr>
        <w:spacing w:after="0" w:line="5" w:lineRule="exact"/>
        <w:rPr>
          <w:rFonts w:ascii="Arial" w:cs="Arial" w:eastAsia="Arial" w:hAnsi="Arial"/>
          <w:sz w:val="16"/>
          <w:szCs w:val="16"/>
          <w:u w:val="single" w:color="auto"/>
          <w:color w:val="0000EE"/>
        </w:rPr>
      </w:pPr>
    </w:p>
    <w:p>
      <w:pPr>
        <w:ind w:left="340"/>
        <w:spacing w:after="0"/>
        <w:rPr>
          <w:rFonts w:ascii="Arial" w:cs="Arial" w:eastAsia="Arial" w:hAnsi="Arial"/>
          <w:sz w:val="16"/>
          <w:szCs w:val="16"/>
          <w:u w:val="single" w:color="auto"/>
          <w:color w:val="0000EE"/>
        </w:rPr>
      </w:pPr>
      <w:hyperlink w:anchor="page81">
        <w:r>
          <w:rPr>
            <w:rFonts w:ascii="Arial" w:cs="Arial" w:eastAsia="Arial" w:hAnsi="Arial"/>
            <w:sz w:val="16"/>
            <w:szCs w:val="16"/>
            <w:u w:val="single" w:color="auto"/>
            <w:color w:val="0000EE"/>
          </w:rPr>
          <w:t>potential payments upon termination or change-in-control</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334" w:lineRule="exact"/>
        <w:rPr>
          <w:rFonts w:ascii="Arial" w:cs="Arial" w:eastAsia="Arial" w:hAnsi="Arial"/>
          <w:sz w:val="16"/>
          <w:szCs w:val="16"/>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07"/>
        </w:trPr>
        <w:tc>
          <w:tcPr>
            <w:tcW w:w="620" w:type="dxa"/>
            <w:vAlign w:val="bottom"/>
          </w:tcPr>
          <w:p>
            <w:pPr>
              <w:jc w:val="right"/>
              <w:ind w:right="337"/>
              <w:spacing w:after="0"/>
              <w:rPr>
                <w:sz w:val="20"/>
                <w:szCs w:val="20"/>
                <w:color w:val="auto"/>
              </w:rPr>
            </w:pPr>
            <w:r>
              <w:rPr>
                <w:rFonts w:ascii="Arial" w:cs="Arial" w:eastAsia="Arial" w:hAnsi="Arial"/>
                <w:sz w:val="18"/>
                <w:szCs w:val="18"/>
                <w:b w:val="1"/>
                <w:bCs w:val="1"/>
                <w:color w:val="0B2D71"/>
              </w:rPr>
              <w:t>1</w:t>
            </w:r>
          </w:p>
        </w:tc>
        <w:tc>
          <w:tcPr>
            <w:tcW w:w="3280" w:type="dxa"/>
            <w:vAlign w:val="bottom"/>
            <w:tcBorders>
              <w:bottom w:val="single" w:sz="8" w:color="0000EE"/>
            </w:tcBorders>
            <w:gridSpan w:val="11"/>
          </w:tcPr>
          <w:p>
            <w:pPr>
              <w:spacing w:after="0"/>
              <w:rPr>
                <w:rFonts w:ascii="Arial" w:cs="Arial" w:eastAsia="Arial" w:hAnsi="Arial"/>
                <w:sz w:val="18"/>
                <w:szCs w:val="18"/>
                <w:b w:val="1"/>
                <w:bCs w:val="1"/>
                <w:color w:val="0000EE"/>
                <w:w w:val="99"/>
              </w:rPr>
            </w:pPr>
            <w:hyperlink w:anchor="page83">
              <w:r>
                <w:rPr>
                  <w:rFonts w:ascii="Arial" w:cs="Arial" w:eastAsia="Arial" w:hAnsi="Arial"/>
                  <w:sz w:val="18"/>
                  <w:szCs w:val="18"/>
                  <w:b w:val="1"/>
                  <w:bCs w:val="1"/>
                  <w:color w:val="0000EE"/>
                  <w:w w:val="99"/>
                </w:rPr>
                <w:t>Equity compensation plan information</w:t>
              </w:r>
            </w:hyperlink>
          </w:p>
        </w:tc>
        <w:tc>
          <w:tcPr>
            <w:tcW w:w="1360" w:type="dxa"/>
            <w:vAlign w:val="bottom"/>
            <w:gridSpan w:val="6"/>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0B2D71"/>
              </w:rPr>
              <w:t>76</w:t>
            </w:r>
          </w:p>
        </w:tc>
        <w:tc>
          <w:tcPr>
            <w:tcW w:w="0" w:type="dxa"/>
            <w:vAlign w:val="bottom"/>
          </w:tcPr>
          <w:p>
            <w:pPr>
              <w:spacing w:after="0"/>
              <w:rPr>
                <w:sz w:val="1"/>
                <w:szCs w:val="1"/>
                <w:color w:val="auto"/>
              </w:rPr>
            </w:pPr>
          </w:p>
        </w:tc>
      </w:tr>
      <w:tr>
        <w:trPr>
          <w:trHeight w:val="182"/>
        </w:trPr>
        <w:tc>
          <w:tcPr>
            <w:tcW w:w="620" w:type="dxa"/>
            <w:vAlign w:val="bottom"/>
          </w:tcPr>
          <w:p>
            <w:pPr>
              <w:jc w:val="right"/>
              <w:ind w:right="337"/>
              <w:spacing w:after="0" w:line="182" w:lineRule="exact"/>
              <w:rPr>
                <w:sz w:val="20"/>
                <w:szCs w:val="20"/>
                <w:color w:val="auto"/>
              </w:rPr>
            </w:pPr>
            <w:r>
              <w:rPr>
                <w:rFonts w:ascii="Arial" w:cs="Arial" w:eastAsia="Arial" w:hAnsi="Arial"/>
                <w:sz w:val="16"/>
                <w:szCs w:val="16"/>
                <w:color w:val="auto"/>
              </w:rPr>
              <w:t>1</w:t>
            </w:r>
          </w:p>
        </w:tc>
        <w:tc>
          <w:tcPr>
            <w:tcW w:w="4640" w:type="dxa"/>
            <w:vAlign w:val="bottom"/>
            <w:gridSpan w:val="17"/>
            <w:vMerge w:val="restart"/>
          </w:tcPr>
          <w:p>
            <w:pPr>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CEO pay ratio</w:t>
              </w:r>
            </w:hyperlink>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0B2D71"/>
              </w:rPr>
              <w:t>77</w:t>
            </w:r>
          </w:p>
        </w:tc>
        <w:tc>
          <w:tcPr>
            <w:tcW w:w="0" w:type="dxa"/>
            <w:vAlign w:val="bottom"/>
          </w:tcPr>
          <w:p>
            <w:pPr>
              <w:spacing w:after="0"/>
              <w:rPr>
                <w:sz w:val="1"/>
                <w:szCs w:val="1"/>
                <w:color w:val="auto"/>
              </w:rPr>
            </w:pPr>
          </w:p>
        </w:tc>
      </w:tr>
      <w:tr>
        <w:trPr>
          <w:trHeight w:val="68"/>
        </w:trPr>
        <w:tc>
          <w:tcPr>
            <w:tcW w:w="620" w:type="dxa"/>
            <w:vAlign w:val="bottom"/>
            <w:vMerge w:val="restart"/>
          </w:tcPr>
          <w:p>
            <w:pPr>
              <w:jc w:val="right"/>
              <w:ind w:right="337"/>
              <w:spacing w:after="0"/>
              <w:rPr>
                <w:sz w:val="20"/>
                <w:szCs w:val="20"/>
                <w:color w:val="auto"/>
              </w:rPr>
            </w:pPr>
            <w:r>
              <w:rPr>
                <w:rFonts w:ascii="Arial" w:cs="Arial" w:eastAsia="Arial" w:hAnsi="Arial"/>
                <w:sz w:val="16"/>
                <w:szCs w:val="16"/>
                <w:color w:val="auto"/>
              </w:rPr>
              <w:t>1</w:t>
            </w:r>
          </w:p>
        </w:tc>
        <w:tc>
          <w:tcPr>
            <w:tcW w:w="4640" w:type="dxa"/>
            <w:vAlign w:val="bottom"/>
            <w:gridSpan w:val="17"/>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20" w:type="dxa"/>
            <w:vAlign w:val="bottom"/>
            <w:vMerge w:val="continu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20" w:type="dxa"/>
            <w:vAlign w:val="bottom"/>
            <w:vMerge w:val="continue"/>
          </w:tcPr>
          <w:p>
            <w:pPr>
              <w:spacing w:after="0"/>
              <w:rPr>
                <w:sz w:val="11"/>
                <w:szCs w:val="11"/>
                <w:color w:val="auto"/>
              </w:rPr>
            </w:pPr>
          </w:p>
        </w:tc>
        <w:tc>
          <w:tcPr>
            <w:tcW w:w="2480" w:type="dxa"/>
            <w:vAlign w:val="bottom"/>
            <w:gridSpan w:val="8"/>
            <w:vMerge w:val="restart"/>
          </w:tcPr>
          <w:p>
            <w:pPr>
              <w:spacing w:after="0"/>
              <w:rPr>
                <w:rFonts w:ascii="Arial" w:cs="Arial" w:eastAsia="Arial" w:hAnsi="Arial"/>
                <w:sz w:val="18"/>
                <w:szCs w:val="18"/>
                <w:b w:val="1"/>
                <w:bCs w:val="1"/>
                <w:color w:val="0000EE"/>
                <w:w w:val="99"/>
              </w:rPr>
            </w:pPr>
            <w:hyperlink w:anchor="page85">
              <w:r>
                <w:rPr>
                  <w:rFonts w:ascii="Arial" w:cs="Arial" w:eastAsia="Arial" w:hAnsi="Arial"/>
                  <w:sz w:val="18"/>
                  <w:szCs w:val="18"/>
                  <w:b w:val="1"/>
                  <w:bCs w:val="1"/>
                  <w:color w:val="0000EE"/>
                  <w:w w:val="99"/>
                </w:rPr>
                <w:t>Stock ownership information</w:t>
              </w:r>
            </w:hyperlink>
          </w:p>
        </w:tc>
        <w:tc>
          <w:tcPr>
            <w:tcW w:w="2160" w:type="dxa"/>
            <w:vAlign w:val="bottom"/>
            <w:gridSpan w:val="9"/>
            <w:vMerge w:val="restart"/>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0B2D71"/>
              </w:rPr>
              <w:t>78</w:t>
            </w:r>
          </w:p>
        </w:tc>
        <w:tc>
          <w:tcPr>
            <w:tcW w:w="0" w:type="dxa"/>
            <w:vAlign w:val="bottom"/>
          </w:tcPr>
          <w:p>
            <w:pPr>
              <w:spacing w:after="0"/>
              <w:rPr>
                <w:sz w:val="1"/>
                <w:szCs w:val="1"/>
                <w:color w:val="auto"/>
              </w:rPr>
            </w:pPr>
          </w:p>
        </w:tc>
      </w:tr>
      <w:tr>
        <w:trPr>
          <w:trHeight w:val="128"/>
        </w:trPr>
        <w:tc>
          <w:tcPr>
            <w:tcW w:w="620" w:type="dxa"/>
            <w:vAlign w:val="bottom"/>
            <w:vMerge w:val="restart"/>
          </w:tcPr>
          <w:p>
            <w:pPr>
              <w:jc w:val="right"/>
              <w:ind w:right="337"/>
              <w:spacing w:after="0"/>
              <w:rPr>
                <w:sz w:val="20"/>
                <w:szCs w:val="20"/>
                <w:color w:val="auto"/>
              </w:rPr>
            </w:pPr>
            <w:r>
              <w:rPr>
                <w:rFonts w:ascii="Arial" w:cs="Arial" w:eastAsia="Arial" w:hAnsi="Arial"/>
                <w:sz w:val="18"/>
                <w:szCs w:val="18"/>
                <w:b w:val="1"/>
                <w:bCs w:val="1"/>
                <w:color w:val="0B2D71"/>
              </w:rPr>
              <w:t>2</w:t>
            </w:r>
          </w:p>
        </w:tc>
        <w:tc>
          <w:tcPr>
            <w:tcW w:w="2480" w:type="dxa"/>
            <w:vAlign w:val="bottom"/>
            <w:tcBorders>
              <w:bottom w:val="single" w:sz="8" w:color="0000EE"/>
            </w:tcBorders>
            <w:gridSpan w:val="8"/>
            <w:vMerge w:val="continue"/>
          </w:tcPr>
          <w:p>
            <w:pPr>
              <w:spacing w:after="0"/>
              <w:rPr>
                <w:sz w:val="10"/>
                <w:szCs w:val="10"/>
                <w:color w:val="auto"/>
              </w:rPr>
            </w:pPr>
          </w:p>
        </w:tc>
        <w:tc>
          <w:tcPr>
            <w:tcW w:w="2160" w:type="dxa"/>
            <w:vAlign w:val="bottom"/>
            <w:gridSpan w:val="9"/>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680" w:type="dxa"/>
            <w:vAlign w:val="bottom"/>
            <w:gridSpan w:val="11"/>
            <w:vMerge w:val="restart"/>
          </w:tcPr>
          <w:p>
            <w:pPr>
              <w:spacing w:after="0" w:line="169" w:lineRule="exact"/>
              <w:rPr>
                <w:rFonts w:ascii="Arial" w:cs="Arial" w:eastAsia="Arial" w:hAnsi="Arial"/>
                <w:sz w:val="16"/>
                <w:szCs w:val="16"/>
                <w:color w:val="0000EE"/>
              </w:rPr>
            </w:pPr>
            <w:hyperlink w:anchor="page85">
              <w:r>
                <w:rPr>
                  <w:rFonts w:ascii="Arial" w:cs="Arial" w:eastAsia="Arial" w:hAnsi="Arial"/>
                  <w:sz w:val="16"/>
                  <w:szCs w:val="16"/>
                  <w:color w:val="0000EE"/>
                </w:rPr>
                <w:t>security ownership of certain beneficial owners and</w:t>
              </w:r>
            </w:hyperlink>
          </w:p>
        </w:tc>
        <w:tc>
          <w:tcPr>
            <w:tcW w:w="760" w:type="dxa"/>
            <w:vAlign w:val="bottom"/>
            <w:gridSpan w:val="5"/>
            <w:vMerge w:val="restart"/>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620" w:type="dxa"/>
            <w:vAlign w:val="bottom"/>
            <w:vMerge w:val="restart"/>
          </w:tcPr>
          <w:p>
            <w:pPr>
              <w:jc w:val="right"/>
              <w:ind w:right="337"/>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5"/>
                <w:szCs w:val="5"/>
                <w:color w:val="auto"/>
              </w:rPr>
            </w:pPr>
          </w:p>
        </w:tc>
        <w:tc>
          <w:tcPr>
            <w:tcW w:w="3680" w:type="dxa"/>
            <w:vAlign w:val="bottom"/>
            <w:tcBorders>
              <w:bottom w:val="single" w:sz="8" w:color="0000EE"/>
            </w:tcBorders>
            <w:gridSpan w:val="11"/>
            <w:vMerge w:val="continue"/>
          </w:tcPr>
          <w:p>
            <w:pPr>
              <w:spacing w:after="0"/>
              <w:rPr>
                <w:sz w:val="5"/>
                <w:szCs w:val="5"/>
                <w:color w:val="auto"/>
              </w:rPr>
            </w:pPr>
          </w:p>
        </w:tc>
        <w:tc>
          <w:tcPr>
            <w:tcW w:w="760" w:type="dxa"/>
            <w:vAlign w:val="bottom"/>
            <w:gridSpan w:val="5"/>
            <w:vMerge w:val="continue"/>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440" w:type="dxa"/>
            <w:vAlign w:val="bottom"/>
            <w:gridSpan w:val="16"/>
            <w:vMerge w:val="restart"/>
          </w:tcPr>
          <w:p>
            <w:pPr>
              <w:ind w:left="240"/>
              <w:spacing w:after="0" w:line="169" w:lineRule="exact"/>
              <w:rPr>
                <w:rFonts w:ascii="Arial" w:cs="Arial" w:eastAsia="Arial" w:hAnsi="Arial"/>
                <w:sz w:val="16"/>
                <w:szCs w:val="16"/>
                <w:color w:val="0000EE"/>
              </w:rPr>
            </w:pPr>
            <w:hyperlink w:anchor="page85">
              <w:r>
                <w:rPr>
                  <w:rFonts w:ascii="Arial" w:cs="Arial" w:eastAsia="Arial" w:hAnsi="Arial"/>
                  <w:sz w:val="16"/>
                  <w:szCs w:val="16"/>
                  <w:color w:val="0000EE"/>
                </w:rPr>
                <w:t>management</w:t>
              </w:r>
            </w:hyperlink>
          </w:p>
        </w:tc>
        <w:tc>
          <w:tcPr>
            <w:tcW w:w="700" w:type="dxa"/>
            <w:vAlign w:val="bottom"/>
            <w:vMerge w:val="restart"/>
          </w:tcPr>
          <w:p>
            <w:pPr>
              <w:jc w:val="right"/>
              <w:spacing w:after="0" w:line="169" w:lineRule="exact"/>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68"/>
        </w:trPr>
        <w:tc>
          <w:tcPr>
            <w:tcW w:w="620" w:type="dxa"/>
            <w:vAlign w:val="bottom"/>
            <w:vMerge w:val="restart"/>
          </w:tcPr>
          <w:p>
            <w:pPr>
              <w:jc w:val="right"/>
              <w:ind w:right="337"/>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5"/>
                <w:szCs w:val="5"/>
                <w:color w:val="auto"/>
              </w:rPr>
            </w:pPr>
          </w:p>
        </w:tc>
        <w:tc>
          <w:tcPr>
            <w:tcW w:w="4440" w:type="dxa"/>
            <w:vAlign w:val="bottom"/>
            <w:gridSpan w:val="16"/>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620" w:type="dxa"/>
            <w:vAlign w:val="bottom"/>
            <w:vMerge w:val="continue"/>
          </w:tcPr>
          <w:p>
            <w:pPr>
              <w:spacing w:after="0"/>
              <w:rPr>
                <w:sz w:val="8"/>
                <w:szCs w:val="8"/>
                <w:color w:val="auto"/>
              </w:rPr>
            </w:pPr>
          </w:p>
        </w:tc>
        <w:tc>
          <w:tcPr>
            <w:tcW w:w="4640" w:type="dxa"/>
            <w:vAlign w:val="bottom"/>
            <w:gridSpan w:val="17"/>
            <w:vMerge w:val="restart"/>
          </w:tcPr>
          <w:p>
            <w:pPr>
              <w:spacing w:after="0"/>
              <w:rPr>
                <w:rFonts w:ascii="Arial" w:cs="Arial" w:eastAsia="Arial" w:hAnsi="Arial"/>
                <w:sz w:val="18"/>
                <w:szCs w:val="18"/>
                <w:b w:val="1"/>
                <w:bCs w:val="1"/>
                <w:color w:val="0000EE"/>
                <w:w w:val="99"/>
              </w:rPr>
            </w:pPr>
            <w:hyperlink w:anchor="page86">
              <w:r>
                <w:rPr>
                  <w:rFonts w:ascii="Arial" w:cs="Arial" w:eastAsia="Arial" w:hAnsi="Arial"/>
                  <w:sz w:val="18"/>
                  <w:szCs w:val="18"/>
                  <w:b w:val="1"/>
                  <w:bCs w:val="1"/>
                  <w:color w:val="0000EE"/>
                  <w:w w:val="99"/>
                </w:rPr>
                <w:t>Board proposal to ratify PricewaterhouseCoopers LLP</w:t>
              </w:r>
            </w:hyperlink>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620" w:type="dxa"/>
            <w:vAlign w:val="bottom"/>
          </w:tcPr>
          <w:p>
            <w:pPr>
              <w:jc w:val="right"/>
              <w:ind w:right="337"/>
              <w:spacing w:after="0" w:line="143" w:lineRule="exact"/>
              <w:rPr>
                <w:sz w:val="20"/>
                <w:szCs w:val="20"/>
                <w:color w:val="auto"/>
              </w:rPr>
            </w:pPr>
            <w:r>
              <w:rPr>
                <w:rFonts w:ascii="Arial" w:cs="Arial" w:eastAsia="Arial" w:hAnsi="Arial"/>
                <w:sz w:val="16"/>
                <w:szCs w:val="16"/>
                <w:color w:val="auto"/>
              </w:rPr>
              <w:t>5</w:t>
            </w:r>
          </w:p>
        </w:tc>
        <w:tc>
          <w:tcPr>
            <w:tcW w:w="4640" w:type="dxa"/>
            <w:vAlign w:val="bottom"/>
            <w:tcBorders>
              <w:bottom w:val="single" w:sz="8" w:color="0000EE"/>
            </w:tcBorders>
            <w:gridSpan w:val="17"/>
            <w:vMerge w:val="continue"/>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20" w:type="dxa"/>
            <w:vAlign w:val="bottom"/>
          </w:tcPr>
          <w:p>
            <w:pPr>
              <w:jc w:val="right"/>
              <w:ind w:right="337"/>
              <w:spacing w:after="0" w:line="169" w:lineRule="exact"/>
              <w:rPr>
                <w:sz w:val="20"/>
                <w:szCs w:val="20"/>
                <w:color w:val="auto"/>
              </w:rPr>
            </w:pPr>
            <w:r>
              <w:rPr>
                <w:rFonts w:ascii="Arial" w:cs="Arial" w:eastAsia="Arial" w:hAnsi="Arial"/>
                <w:sz w:val="16"/>
                <w:szCs w:val="16"/>
                <w:color w:val="auto"/>
              </w:rPr>
              <w:t>17</w:t>
            </w:r>
          </w:p>
        </w:tc>
        <w:tc>
          <w:tcPr>
            <w:tcW w:w="4640" w:type="dxa"/>
            <w:vAlign w:val="bottom"/>
            <w:gridSpan w:val="17"/>
          </w:tcPr>
          <w:p>
            <w:pPr>
              <w:spacing w:after="0" w:line="169" w:lineRule="exact"/>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as the independent registered public accounting firm</w:t>
              </w:r>
            </w:hyperlink>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0B2D71"/>
              </w:rPr>
              <w:t>79</w:t>
            </w:r>
          </w:p>
        </w:tc>
        <w:tc>
          <w:tcPr>
            <w:tcW w:w="0" w:type="dxa"/>
            <w:vAlign w:val="bottom"/>
          </w:tcPr>
          <w:p>
            <w:pPr>
              <w:spacing w:after="0"/>
              <w:rPr>
                <w:sz w:val="1"/>
                <w:szCs w:val="1"/>
                <w:color w:val="auto"/>
              </w:rPr>
            </w:pPr>
          </w:p>
        </w:tc>
      </w:tr>
      <w:tr>
        <w:trPr>
          <w:trHeight w:val="183"/>
        </w:trPr>
        <w:tc>
          <w:tcPr>
            <w:tcW w:w="620" w:type="dxa"/>
            <w:vAlign w:val="bottom"/>
          </w:tcPr>
          <w:p>
            <w:pPr>
              <w:jc w:val="right"/>
              <w:ind w:right="337"/>
              <w:spacing w:after="0" w:line="183" w:lineRule="exact"/>
              <w:rPr>
                <w:sz w:val="20"/>
                <w:szCs w:val="20"/>
                <w:color w:val="auto"/>
              </w:rPr>
            </w:pPr>
            <w:r>
              <w:rPr>
                <w:rFonts w:ascii="Arial" w:cs="Arial" w:eastAsia="Arial" w:hAnsi="Arial"/>
                <w:sz w:val="16"/>
                <w:szCs w:val="16"/>
                <w:color w:val="auto"/>
              </w:rPr>
              <w:t>17</w:t>
            </w:r>
          </w:p>
        </w:tc>
        <w:tc>
          <w:tcPr>
            <w:tcW w:w="4540" w:type="dxa"/>
            <w:vAlign w:val="bottom"/>
            <w:tcBorders>
              <w:top w:val="single" w:sz="8" w:color="0000EE"/>
            </w:tcBorders>
            <w:gridSpan w:val="15"/>
          </w:tcPr>
          <w:p>
            <w:pPr>
              <w:spacing w:after="0" w:line="182" w:lineRule="exact"/>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for 2022 (item 2 on the proxy card)</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20" w:type="dxa"/>
            <w:vAlign w:val="bottom"/>
            <w:vMerge w:val="restart"/>
          </w:tcPr>
          <w:p>
            <w:pPr>
              <w:jc w:val="right"/>
              <w:ind w:right="337"/>
              <w:spacing w:after="0"/>
              <w:rPr>
                <w:sz w:val="20"/>
                <w:szCs w:val="20"/>
                <w:color w:val="auto"/>
              </w:rPr>
            </w:pPr>
            <w:r>
              <w:rPr>
                <w:rFonts w:ascii="Arial" w:cs="Arial" w:eastAsia="Arial" w:hAnsi="Arial"/>
                <w:sz w:val="18"/>
                <w:szCs w:val="18"/>
                <w:b w:val="1"/>
                <w:bCs w:val="1"/>
                <w:color w:val="0B2D71"/>
                <w:w w:val="89"/>
              </w:rPr>
              <w:t>18</w:t>
            </w:r>
          </w:p>
        </w:tc>
        <w:tc>
          <w:tcPr>
            <w:tcW w:w="200" w:type="dxa"/>
            <w:vAlign w:val="bottom"/>
            <w:tcBorders>
              <w:top w:val="single" w:sz="8" w:color="0000EE"/>
            </w:tcBorders>
          </w:tcPr>
          <w:p>
            <w:pPr>
              <w:spacing w:after="0"/>
              <w:rPr>
                <w:sz w:val="14"/>
                <w:szCs w:val="14"/>
                <w:color w:val="auto"/>
              </w:rPr>
            </w:pPr>
          </w:p>
        </w:tc>
        <w:tc>
          <w:tcPr>
            <w:tcW w:w="2280" w:type="dxa"/>
            <w:vAlign w:val="bottom"/>
            <w:tcBorders>
              <w:top w:val="single" w:sz="8" w:color="0000EE"/>
              <w:bottom w:val="single" w:sz="8" w:color="0000EE"/>
            </w:tcBorders>
            <w:gridSpan w:val="7"/>
          </w:tcPr>
          <w:p>
            <w:pPr>
              <w:spacing w:after="0" w:line="169" w:lineRule="exact"/>
              <w:rPr>
                <w:rFonts w:ascii="Arial" w:cs="Arial" w:eastAsia="Arial" w:hAnsi="Arial"/>
                <w:sz w:val="16"/>
                <w:szCs w:val="16"/>
                <w:color w:val="0000EE"/>
              </w:rPr>
            </w:pPr>
            <w:hyperlink w:anchor="page86">
              <w:r>
                <w:rPr>
                  <w:rFonts w:ascii="Arial" w:cs="Arial" w:eastAsia="Arial" w:hAnsi="Arial"/>
                  <w:sz w:val="16"/>
                  <w:szCs w:val="16"/>
                  <w:color w:val="0000EE"/>
                </w:rPr>
                <w:t>auditor review and engagement</w:t>
              </w:r>
            </w:hyperlink>
          </w:p>
        </w:tc>
        <w:tc>
          <w:tcPr>
            <w:tcW w:w="460" w:type="dxa"/>
            <w:vAlign w:val="bottom"/>
            <w:tcBorders>
              <w:top w:val="single" w:sz="8" w:color="0000EE"/>
            </w:tcBorders>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74"/>
        </w:trPr>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780" w:type="dxa"/>
            <w:vAlign w:val="bottom"/>
            <w:gridSpan w:val="5"/>
            <w:vMerge w:val="restart"/>
          </w:tcPr>
          <w:p>
            <w:pPr>
              <w:spacing w:after="0" w:line="169" w:lineRule="exact"/>
              <w:rPr>
                <w:rFonts w:ascii="Arial" w:cs="Arial" w:eastAsia="Arial" w:hAnsi="Arial"/>
                <w:sz w:val="16"/>
                <w:szCs w:val="16"/>
                <w:color w:val="0000EE"/>
              </w:rPr>
            </w:pPr>
            <w:hyperlink w:anchor="page87">
              <w:r>
                <w:rPr>
                  <w:rFonts w:ascii="Arial" w:cs="Arial" w:eastAsia="Arial" w:hAnsi="Arial"/>
                  <w:sz w:val="16"/>
                  <w:szCs w:val="16"/>
                  <w:color w:val="0000EE"/>
                </w:rPr>
                <w:t>PwC’s fees and services</w:t>
              </w:r>
            </w:hyperlink>
          </w:p>
        </w:tc>
        <w:tc>
          <w:tcPr>
            <w:tcW w:w="2660" w:type="dxa"/>
            <w:vAlign w:val="bottom"/>
            <w:gridSpan w:val="11"/>
            <w:vMerge w:val="restart"/>
          </w:tcPr>
          <w:p>
            <w:pPr>
              <w:spacing w:after="0"/>
              <w:rPr>
                <w:sz w:val="6"/>
                <w:szCs w:val="6"/>
                <w:color w:val="auto"/>
              </w:rPr>
            </w:pPr>
          </w:p>
        </w:tc>
        <w:tc>
          <w:tcPr>
            <w:tcW w:w="700" w:type="dxa"/>
            <w:vAlign w:val="bottom"/>
            <w:vMerge w:val="restart"/>
          </w:tcPr>
          <w:p>
            <w:pPr>
              <w:jc w:val="right"/>
              <w:spacing w:after="0" w:line="169"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00"/>
        </w:trPr>
        <w:tc>
          <w:tcPr>
            <w:tcW w:w="620" w:type="dxa"/>
            <w:vAlign w:val="bottom"/>
            <w:vMerge w:val="restart"/>
          </w:tcPr>
          <w:p>
            <w:pPr>
              <w:jc w:val="right"/>
              <w:ind w:right="337"/>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8"/>
                <w:szCs w:val="8"/>
                <w:color w:val="auto"/>
              </w:rPr>
            </w:pPr>
          </w:p>
        </w:tc>
        <w:tc>
          <w:tcPr>
            <w:tcW w:w="1780" w:type="dxa"/>
            <w:vAlign w:val="bottom"/>
            <w:tcBorders>
              <w:bottom w:val="single" w:sz="8" w:color="0000EE"/>
            </w:tcBorders>
            <w:gridSpan w:val="5"/>
            <w:vMerge w:val="continue"/>
          </w:tcPr>
          <w:p>
            <w:pPr>
              <w:spacing w:after="0"/>
              <w:rPr>
                <w:sz w:val="8"/>
                <w:szCs w:val="8"/>
                <w:color w:val="auto"/>
              </w:rPr>
            </w:pPr>
          </w:p>
        </w:tc>
        <w:tc>
          <w:tcPr>
            <w:tcW w:w="2660" w:type="dxa"/>
            <w:vAlign w:val="bottom"/>
            <w:gridSpan w:val="11"/>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440" w:type="dxa"/>
            <w:vAlign w:val="bottom"/>
            <w:gridSpan w:val="16"/>
            <w:vMerge w:val="restart"/>
          </w:tcPr>
          <w:p>
            <w:pPr>
              <w:spacing w:after="0" w:line="169" w:lineRule="exact"/>
              <w:rPr>
                <w:rFonts w:ascii="Arial" w:cs="Arial" w:eastAsia="Arial" w:hAnsi="Arial"/>
                <w:sz w:val="16"/>
                <w:szCs w:val="16"/>
                <w:color w:val="0000EE"/>
              </w:rPr>
            </w:pPr>
            <w:hyperlink w:anchor="page87">
              <w:r>
                <w:rPr>
                  <w:rFonts w:ascii="Arial" w:cs="Arial" w:eastAsia="Arial" w:hAnsi="Arial"/>
                  <w:sz w:val="16"/>
                  <w:szCs w:val="16"/>
                  <w:color w:val="0000EE"/>
                </w:rPr>
                <w:t>audit committee preapproval policies and procedures</w:t>
              </w:r>
            </w:hyperlink>
          </w:p>
        </w:tc>
        <w:tc>
          <w:tcPr>
            <w:tcW w:w="700" w:type="dxa"/>
            <w:vAlign w:val="bottom"/>
            <w:vMerge w:val="restart"/>
          </w:tcPr>
          <w:p>
            <w:pPr>
              <w:jc w:val="right"/>
              <w:spacing w:after="0" w:line="169"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70"/>
        </w:trPr>
        <w:tc>
          <w:tcPr>
            <w:tcW w:w="620" w:type="dxa"/>
            <w:vAlign w:val="bottom"/>
            <w:vMerge w:val="restart"/>
          </w:tcPr>
          <w:p>
            <w:pPr>
              <w:jc w:val="right"/>
              <w:ind w:right="337"/>
              <w:spacing w:after="0"/>
              <w:rPr>
                <w:sz w:val="20"/>
                <w:szCs w:val="20"/>
                <w:color w:val="auto"/>
              </w:rPr>
            </w:pPr>
            <w:r>
              <w:rPr>
                <w:rFonts w:ascii="Arial" w:cs="Arial" w:eastAsia="Arial" w:hAnsi="Arial"/>
                <w:sz w:val="18"/>
                <w:szCs w:val="18"/>
                <w:b w:val="1"/>
                <w:bCs w:val="1"/>
                <w:color w:val="0B2D71"/>
                <w:w w:val="89"/>
              </w:rPr>
              <w:t>22</w:t>
            </w:r>
          </w:p>
        </w:tc>
        <w:tc>
          <w:tcPr>
            <w:tcW w:w="200" w:type="dxa"/>
            <w:vAlign w:val="bottom"/>
          </w:tcPr>
          <w:p>
            <w:pPr>
              <w:spacing w:after="0"/>
              <w:rPr>
                <w:sz w:val="6"/>
                <w:szCs w:val="6"/>
                <w:color w:val="auto"/>
              </w:rPr>
            </w:pPr>
          </w:p>
        </w:tc>
        <w:tc>
          <w:tcPr>
            <w:tcW w:w="4440" w:type="dxa"/>
            <w:vAlign w:val="bottom"/>
            <w:gridSpan w:val="16"/>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800" w:type="dxa"/>
            <w:vAlign w:val="bottom"/>
            <w:tcBorders>
              <w:top w:val="single" w:sz="8" w:color="0000EE"/>
            </w:tcBorders>
            <w:gridSpan w:val="12"/>
          </w:tcPr>
          <w:p>
            <w:pPr>
              <w:spacing w:after="0" w:line="169" w:lineRule="exact"/>
              <w:rPr>
                <w:rFonts w:ascii="Arial" w:cs="Arial" w:eastAsia="Arial" w:hAnsi="Arial"/>
                <w:sz w:val="16"/>
                <w:szCs w:val="16"/>
                <w:color w:val="0000EE"/>
              </w:rPr>
            </w:pPr>
            <w:hyperlink w:anchor="page87">
              <w:r>
                <w:rPr>
                  <w:rFonts w:ascii="Arial" w:cs="Arial" w:eastAsia="Arial" w:hAnsi="Arial"/>
                  <w:sz w:val="16"/>
                  <w:szCs w:val="16"/>
                  <w:color w:val="0000EE"/>
                </w:rPr>
                <w:t>PwC’s attendance at the annual meeting</w:t>
              </w:r>
            </w:hyperlink>
          </w:p>
        </w:tc>
        <w:tc>
          <w:tcPr>
            <w:tcW w:w="22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69"/>
        </w:trPr>
        <w:tc>
          <w:tcPr>
            <w:tcW w:w="620" w:type="dxa"/>
            <w:vAlign w:val="bottom"/>
          </w:tcPr>
          <w:p>
            <w:pPr>
              <w:jc w:val="right"/>
              <w:ind w:right="337"/>
              <w:spacing w:after="0" w:line="169" w:lineRule="exact"/>
              <w:rPr>
                <w:sz w:val="20"/>
                <w:szCs w:val="20"/>
                <w:color w:val="auto"/>
              </w:rPr>
            </w:pPr>
            <w:r>
              <w:rPr>
                <w:rFonts w:ascii="Arial" w:cs="Arial" w:eastAsia="Arial" w:hAnsi="Arial"/>
                <w:sz w:val="16"/>
                <w:szCs w:val="16"/>
                <w:color w:val="auto"/>
              </w:rPr>
              <w:t>22</w:t>
            </w:r>
          </w:p>
        </w:tc>
        <w:tc>
          <w:tcPr>
            <w:tcW w:w="200" w:type="dxa"/>
            <w:vAlign w:val="bottom"/>
          </w:tcPr>
          <w:p>
            <w:pPr>
              <w:spacing w:after="0"/>
              <w:rPr>
                <w:sz w:val="14"/>
                <w:szCs w:val="14"/>
                <w:color w:val="auto"/>
              </w:rPr>
            </w:pPr>
          </w:p>
        </w:tc>
        <w:tc>
          <w:tcPr>
            <w:tcW w:w="2920" w:type="dxa"/>
            <w:vAlign w:val="bottom"/>
            <w:tcBorders>
              <w:top w:val="single" w:sz="8" w:color="0000EE"/>
            </w:tcBorders>
            <w:gridSpan w:val="9"/>
          </w:tcPr>
          <w:p>
            <w:pPr>
              <w:spacing w:after="0" w:line="169" w:lineRule="exact"/>
              <w:rPr>
                <w:rFonts w:ascii="Arial" w:cs="Arial" w:eastAsia="Arial" w:hAnsi="Arial"/>
                <w:sz w:val="16"/>
                <w:szCs w:val="16"/>
                <w:color w:val="0000EE"/>
              </w:rPr>
            </w:pPr>
            <w:hyperlink w:anchor="page87">
              <w:r>
                <w:rPr>
                  <w:rFonts w:ascii="Arial" w:cs="Arial" w:eastAsia="Arial" w:hAnsi="Arial"/>
                  <w:sz w:val="16"/>
                  <w:szCs w:val="16"/>
                  <w:color w:val="0000EE"/>
                </w:rPr>
                <w:t>vote required</w:t>
              </w:r>
            </w:hyperlink>
          </w:p>
        </w:tc>
        <w:tc>
          <w:tcPr>
            <w:tcW w:w="1100" w:type="dxa"/>
            <w:vAlign w:val="bottom"/>
            <w:gridSpan w:val="4"/>
          </w:tcPr>
          <w:p>
            <w:pPr>
              <w:spacing w:after="0"/>
              <w:rPr>
                <w:sz w:val="14"/>
                <w:szCs w:val="14"/>
                <w:color w:val="auto"/>
              </w:rPr>
            </w:pPr>
          </w:p>
        </w:tc>
        <w:tc>
          <w:tcPr>
            <w:tcW w:w="3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69"/>
        </w:trPr>
        <w:tc>
          <w:tcPr>
            <w:tcW w:w="620" w:type="dxa"/>
            <w:vAlign w:val="bottom"/>
          </w:tcPr>
          <w:p>
            <w:pPr>
              <w:jc w:val="right"/>
              <w:ind w:right="337"/>
              <w:spacing w:after="0" w:line="169" w:lineRule="exact"/>
              <w:rPr>
                <w:sz w:val="20"/>
                <w:szCs w:val="20"/>
                <w:color w:val="auto"/>
              </w:rPr>
            </w:pPr>
            <w:r>
              <w:rPr>
                <w:rFonts w:ascii="Arial" w:cs="Arial" w:eastAsia="Arial" w:hAnsi="Arial"/>
                <w:sz w:val="16"/>
                <w:szCs w:val="16"/>
                <w:color w:val="auto"/>
              </w:rPr>
              <w:t>22</w:t>
            </w:r>
          </w:p>
        </w:tc>
        <w:tc>
          <w:tcPr>
            <w:tcW w:w="200" w:type="dxa"/>
            <w:vAlign w:val="bottom"/>
          </w:tcPr>
          <w:p>
            <w:pPr>
              <w:spacing w:after="0"/>
              <w:rPr>
                <w:sz w:val="14"/>
                <w:szCs w:val="14"/>
                <w:color w:val="auto"/>
              </w:rPr>
            </w:pPr>
          </w:p>
        </w:tc>
        <w:tc>
          <w:tcPr>
            <w:tcW w:w="98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rPr>
            </w:pPr>
            <w:hyperlink w:anchor="page87">
              <w:r>
                <w:rPr>
                  <w:rFonts w:ascii="Arial" w:cs="Arial" w:eastAsia="Arial" w:hAnsi="Arial"/>
                  <w:sz w:val="16"/>
                  <w:szCs w:val="16"/>
                  <w:color w:val="0000EE"/>
                </w:rPr>
                <w:t>your board’s</w:t>
              </w:r>
            </w:hyperlink>
          </w:p>
        </w:tc>
        <w:tc>
          <w:tcPr>
            <w:tcW w:w="1180" w:type="dxa"/>
            <w:vAlign w:val="bottom"/>
            <w:tcBorders>
              <w:bottom w:val="single" w:sz="8" w:color="0000EE"/>
            </w:tcBorders>
            <w:gridSpan w:val="3"/>
          </w:tcPr>
          <w:p>
            <w:pPr>
              <w:spacing w:after="0" w:line="169" w:lineRule="exact"/>
              <w:rPr>
                <w:rFonts w:ascii="Arial" w:cs="Arial" w:eastAsia="Arial" w:hAnsi="Arial"/>
                <w:sz w:val="16"/>
                <w:szCs w:val="16"/>
                <w:color w:val="0000EE"/>
                <w:w w:val="97"/>
              </w:rPr>
            </w:pPr>
            <w:hyperlink w:anchor="page87">
              <w:r>
                <w:rPr>
                  <w:rFonts w:ascii="Arial" w:cs="Arial" w:eastAsia="Arial" w:hAnsi="Arial"/>
                  <w:sz w:val="16"/>
                  <w:szCs w:val="16"/>
                  <w:color w:val="0000EE"/>
                  <w:w w:val="97"/>
                </w:rPr>
                <w:t>recommendation</w:t>
              </w:r>
            </w:hyperlink>
          </w:p>
        </w:tc>
        <w:tc>
          <w:tcPr>
            <w:tcW w:w="2280" w:type="dxa"/>
            <w:vAlign w:val="bottom"/>
            <w:gridSpan w:val="10"/>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55"/>
        </w:trPr>
        <w:tc>
          <w:tcPr>
            <w:tcW w:w="620" w:type="dxa"/>
            <w:vAlign w:val="bottom"/>
          </w:tcPr>
          <w:p>
            <w:pPr>
              <w:jc w:val="right"/>
              <w:ind w:right="337"/>
              <w:spacing w:after="0" w:line="155" w:lineRule="exact"/>
              <w:rPr>
                <w:sz w:val="20"/>
                <w:szCs w:val="20"/>
                <w:color w:val="auto"/>
              </w:rPr>
            </w:pPr>
            <w:r>
              <w:rPr>
                <w:rFonts w:ascii="Arial" w:cs="Arial" w:eastAsia="Arial" w:hAnsi="Arial"/>
                <w:sz w:val="16"/>
                <w:szCs w:val="16"/>
                <w:color w:val="auto"/>
              </w:rPr>
              <w:t>22</w:t>
            </w:r>
          </w:p>
        </w:tc>
        <w:tc>
          <w:tcPr>
            <w:tcW w:w="4640" w:type="dxa"/>
            <w:vAlign w:val="bottom"/>
            <w:gridSpan w:val="17"/>
            <w:vMerge w:val="restart"/>
          </w:tcPr>
          <w:p>
            <w:pPr>
              <w:spacing w:after="0"/>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Board proposal to approve, on an advisory basis,</w:t>
              </w:r>
            </w:hyperlink>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620" w:type="dxa"/>
            <w:vAlign w:val="bottom"/>
            <w:vMerge w:val="restart"/>
          </w:tcPr>
          <w:p>
            <w:pPr>
              <w:jc w:val="right"/>
              <w:ind w:right="337"/>
              <w:spacing w:after="0"/>
              <w:rPr>
                <w:sz w:val="20"/>
                <w:szCs w:val="20"/>
                <w:color w:val="auto"/>
              </w:rPr>
            </w:pPr>
            <w:r>
              <w:rPr>
                <w:rFonts w:ascii="Arial" w:cs="Arial" w:eastAsia="Arial" w:hAnsi="Arial"/>
                <w:sz w:val="16"/>
                <w:szCs w:val="16"/>
                <w:color w:val="auto"/>
              </w:rPr>
              <w:t>22</w:t>
            </w:r>
          </w:p>
        </w:tc>
        <w:tc>
          <w:tcPr>
            <w:tcW w:w="4640" w:type="dxa"/>
            <w:vAlign w:val="bottom"/>
            <w:gridSpan w:val="17"/>
            <w:vMerge w:val="continue"/>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20" w:type="dxa"/>
            <w:vAlign w:val="bottom"/>
            <w:vMerge w:val="continu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620" w:type="dxa"/>
            <w:vAlign w:val="bottom"/>
            <w:vMerge w:val="continue"/>
          </w:tcPr>
          <w:p>
            <w:pPr>
              <w:spacing w:after="0"/>
              <w:rPr>
                <w:sz w:val="6"/>
                <w:szCs w:val="6"/>
                <w:color w:val="auto"/>
              </w:rPr>
            </w:pPr>
          </w:p>
        </w:tc>
        <w:tc>
          <w:tcPr>
            <w:tcW w:w="4560" w:type="dxa"/>
            <w:vAlign w:val="bottom"/>
            <w:gridSpan w:val="16"/>
            <w:vMerge w:val="restart"/>
          </w:tcPr>
          <w:p>
            <w:pPr>
              <w:spacing w:after="0" w:line="169" w:lineRule="exact"/>
              <w:rPr>
                <w:rFonts w:ascii="Arial" w:cs="Arial" w:eastAsia="Arial" w:hAnsi="Arial"/>
                <w:sz w:val="18"/>
                <w:szCs w:val="18"/>
                <w:b w:val="1"/>
                <w:bCs w:val="1"/>
                <w:color w:val="0000EE"/>
                <w:w w:val="99"/>
              </w:rPr>
            </w:pPr>
            <w:hyperlink w:anchor="page88">
              <w:r>
                <w:rPr>
                  <w:rFonts w:ascii="Arial" w:cs="Arial" w:eastAsia="Arial" w:hAnsi="Arial"/>
                  <w:sz w:val="18"/>
                  <w:szCs w:val="18"/>
                  <w:b w:val="1"/>
                  <w:bCs w:val="1"/>
                  <w:color w:val="0000EE"/>
                  <w:w w:val="99"/>
                </w:rPr>
                <w:t>named executive officer compensation (item 3 on the</w:t>
              </w:r>
            </w:hyperlink>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620" w:type="dxa"/>
            <w:vAlign w:val="bottom"/>
            <w:vMerge w:val="restart"/>
          </w:tcPr>
          <w:p>
            <w:pPr>
              <w:jc w:val="right"/>
              <w:ind w:right="337"/>
              <w:spacing w:after="0"/>
              <w:rPr>
                <w:sz w:val="20"/>
                <w:szCs w:val="20"/>
                <w:color w:val="auto"/>
              </w:rPr>
            </w:pPr>
            <w:r>
              <w:rPr>
                <w:rFonts w:ascii="Arial" w:cs="Arial" w:eastAsia="Arial" w:hAnsi="Arial"/>
                <w:sz w:val="16"/>
                <w:szCs w:val="16"/>
                <w:color w:val="auto"/>
              </w:rPr>
              <w:t>22</w:t>
            </w:r>
          </w:p>
        </w:tc>
        <w:tc>
          <w:tcPr>
            <w:tcW w:w="4560" w:type="dxa"/>
            <w:vAlign w:val="bottom"/>
            <w:tcBorders>
              <w:bottom w:val="single" w:sz="8" w:color="0000EE"/>
            </w:tcBorders>
            <w:gridSpan w:val="16"/>
            <w:vMerge w:val="continue"/>
          </w:tcPr>
          <w:p>
            <w:pPr>
              <w:spacing w:after="0"/>
              <w:rPr>
                <w:sz w:val="9"/>
                <w:szCs w:val="9"/>
                <w:color w:val="auto"/>
              </w:rPr>
            </w:pPr>
          </w:p>
        </w:tc>
        <w:tc>
          <w:tcPr>
            <w:tcW w:w="80" w:type="dxa"/>
            <w:vAlign w:val="bottom"/>
            <w:vMerge w:val="restart"/>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620" w:type="dxa"/>
            <w:vAlign w:val="bottom"/>
            <w:vMerge w:val="continue"/>
          </w:tcPr>
          <w:p>
            <w:pPr>
              <w:spacing w:after="0"/>
              <w:rPr>
                <w:sz w:val="5"/>
                <w:szCs w:val="5"/>
                <w:color w:val="auto"/>
              </w:rPr>
            </w:pPr>
          </w:p>
        </w:tc>
        <w:tc>
          <w:tcPr>
            <w:tcW w:w="980" w:type="dxa"/>
            <w:vAlign w:val="bottom"/>
            <w:gridSpan w:val="3"/>
            <w:vMerge w:val="restart"/>
          </w:tcPr>
          <w:p>
            <w:pPr>
              <w:spacing w:after="0" w:line="169" w:lineRule="exact"/>
              <w:rPr>
                <w:rFonts w:ascii="Arial" w:cs="Arial" w:eastAsia="Arial" w:hAnsi="Arial"/>
                <w:sz w:val="18"/>
                <w:szCs w:val="18"/>
                <w:b w:val="1"/>
                <w:bCs w:val="1"/>
                <w:color w:val="0000EE"/>
                <w:w w:val="97"/>
              </w:rPr>
            </w:pPr>
            <w:hyperlink w:anchor="page88">
              <w:r>
                <w:rPr>
                  <w:rFonts w:ascii="Arial" w:cs="Arial" w:eastAsia="Arial" w:hAnsi="Arial"/>
                  <w:sz w:val="18"/>
                  <w:szCs w:val="18"/>
                  <w:b w:val="1"/>
                  <w:bCs w:val="1"/>
                  <w:color w:val="0000EE"/>
                  <w:w w:val="97"/>
                </w:rPr>
                <w:t>proxy card)</w:t>
              </w:r>
            </w:hyperlink>
          </w:p>
        </w:tc>
        <w:tc>
          <w:tcPr>
            <w:tcW w:w="200" w:type="dxa"/>
            <w:vAlign w:val="bottom"/>
          </w:tcPr>
          <w:p>
            <w:pPr>
              <w:spacing w:after="0"/>
              <w:rPr>
                <w:sz w:val="5"/>
                <w:szCs w:val="5"/>
                <w:color w:val="auto"/>
              </w:rPr>
            </w:pPr>
          </w:p>
        </w:tc>
        <w:tc>
          <w:tcPr>
            <w:tcW w:w="3380" w:type="dxa"/>
            <w:vAlign w:val="bottom"/>
            <w:gridSpan w:val="12"/>
          </w:tcPr>
          <w:p>
            <w:pPr>
              <w:spacing w:after="0"/>
              <w:rPr>
                <w:sz w:val="5"/>
                <w:szCs w:val="5"/>
                <w:color w:val="auto"/>
              </w:rPr>
            </w:pPr>
          </w:p>
        </w:tc>
        <w:tc>
          <w:tcPr>
            <w:tcW w:w="80" w:type="dxa"/>
            <w:vAlign w:val="bottom"/>
            <w:vMerge w:val="continue"/>
          </w:tcPr>
          <w:p>
            <w:pPr>
              <w:spacing w:after="0"/>
              <w:rPr>
                <w:sz w:val="5"/>
                <w:szCs w:val="5"/>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0B2D71"/>
              </w:rPr>
              <w:t>81</w:t>
            </w:r>
          </w:p>
        </w:tc>
        <w:tc>
          <w:tcPr>
            <w:tcW w:w="0" w:type="dxa"/>
            <w:vAlign w:val="bottom"/>
          </w:tcPr>
          <w:p>
            <w:pPr>
              <w:spacing w:after="0"/>
              <w:rPr>
                <w:sz w:val="1"/>
                <w:szCs w:val="1"/>
                <w:color w:val="auto"/>
              </w:rPr>
            </w:pPr>
          </w:p>
        </w:tc>
      </w:tr>
      <w:tr>
        <w:trPr>
          <w:trHeight w:val="136"/>
        </w:trPr>
        <w:tc>
          <w:tcPr>
            <w:tcW w:w="620" w:type="dxa"/>
            <w:vAlign w:val="bottom"/>
          </w:tcPr>
          <w:p>
            <w:pPr>
              <w:jc w:val="right"/>
              <w:ind w:right="337"/>
              <w:spacing w:after="0" w:line="131" w:lineRule="exact"/>
              <w:rPr>
                <w:sz w:val="20"/>
                <w:szCs w:val="20"/>
                <w:color w:val="auto"/>
              </w:rPr>
            </w:pPr>
            <w:r>
              <w:rPr>
                <w:rFonts w:ascii="Arial" w:cs="Arial" w:eastAsia="Arial" w:hAnsi="Arial"/>
                <w:sz w:val="15"/>
                <w:szCs w:val="15"/>
                <w:color w:val="auto"/>
              </w:rPr>
              <w:t>23</w:t>
            </w:r>
          </w:p>
        </w:tc>
        <w:tc>
          <w:tcPr>
            <w:tcW w:w="980" w:type="dxa"/>
            <w:vAlign w:val="bottom"/>
            <w:tcBorders>
              <w:bottom w:val="single" w:sz="8" w:color="0000EE"/>
            </w:tcBorders>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3460" w:type="dxa"/>
            <w:vAlign w:val="bottom"/>
            <w:gridSpan w:val="13"/>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20" w:type="dxa"/>
            <w:vAlign w:val="bottom"/>
            <w:vMerge w:val="restart"/>
          </w:tcPr>
          <w:p>
            <w:pPr>
              <w:jc w:val="right"/>
              <w:ind w:right="337"/>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13"/>
                <w:szCs w:val="13"/>
                <w:color w:val="auto"/>
              </w:rPr>
            </w:pPr>
          </w:p>
        </w:tc>
        <w:tc>
          <w:tcPr>
            <w:tcW w:w="980" w:type="dxa"/>
            <w:vAlign w:val="bottom"/>
            <w:tcBorders>
              <w:bottom w:val="single" w:sz="8" w:color="0000EE"/>
            </w:tcBorders>
            <w:gridSpan w:val="3"/>
          </w:tcPr>
          <w:p>
            <w:pPr>
              <w:spacing w:after="0" w:line="160" w:lineRule="exact"/>
              <w:rPr>
                <w:rFonts w:ascii="Arial" w:cs="Arial" w:eastAsia="Arial" w:hAnsi="Arial"/>
                <w:sz w:val="16"/>
                <w:szCs w:val="16"/>
                <w:color w:val="0000EE"/>
              </w:rPr>
            </w:pPr>
            <w:hyperlink w:anchor="page88">
              <w:r>
                <w:rPr>
                  <w:rFonts w:ascii="Arial" w:cs="Arial" w:eastAsia="Arial" w:hAnsi="Arial"/>
                  <w:sz w:val="16"/>
                  <w:szCs w:val="16"/>
                  <w:color w:val="0000EE"/>
                </w:rPr>
                <w:t>vote required</w:t>
              </w:r>
            </w:hyperlink>
          </w:p>
        </w:tc>
        <w:tc>
          <w:tcPr>
            <w:tcW w:w="3460" w:type="dxa"/>
            <w:vAlign w:val="bottom"/>
            <w:gridSpan w:val="13"/>
          </w:tcPr>
          <w:p>
            <w:pPr>
              <w:spacing w:after="0"/>
              <w:rPr>
                <w:sz w:val="13"/>
                <w:szCs w:val="13"/>
                <w:color w:val="auto"/>
              </w:rPr>
            </w:pPr>
          </w:p>
        </w:tc>
        <w:tc>
          <w:tcPr>
            <w:tcW w:w="700" w:type="dxa"/>
            <w:vAlign w:val="bottom"/>
          </w:tcPr>
          <w:p>
            <w:pPr>
              <w:jc w:val="right"/>
              <w:spacing w:after="0" w:line="160" w:lineRule="exact"/>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47"/>
        </w:trPr>
        <w:tc>
          <w:tcPr>
            <w:tcW w:w="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4440" w:type="dxa"/>
            <w:vAlign w:val="bottom"/>
            <w:gridSpan w:val="16"/>
            <w:vMerge w:val="restart"/>
          </w:tcPr>
          <w:p>
            <w:pPr>
              <w:spacing w:after="0" w:line="169" w:lineRule="exact"/>
              <w:rPr>
                <w:rFonts w:ascii="Arial" w:cs="Arial" w:eastAsia="Arial" w:hAnsi="Arial"/>
                <w:sz w:val="16"/>
                <w:szCs w:val="16"/>
                <w:color w:val="0000EE"/>
              </w:rPr>
            </w:pPr>
            <w:hyperlink w:anchor="page88">
              <w:r>
                <w:rPr>
                  <w:rFonts w:ascii="Arial" w:cs="Arial" w:eastAsia="Arial" w:hAnsi="Arial"/>
                  <w:sz w:val="16"/>
                  <w:szCs w:val="16"/>
                  <w:color w:val="0000EE"/>
                </w:rPr>
                <w:t>your board’s recommendation</w:t>
              </w:r>
            </w:hyperlink>
          </w:p>
        </w:tc>
        <w:tc>
          <w:tcPr>
            <w:tcW w:w="700" w:type="dxa"/>
            <w:vAlign w:val="bottom"/>
            <w:vMerge w:val="restart"/>
          </w:tcPr>
          <w:p>
            <w:pPr>
              <w:jc w:val="right"/>
              <w:spacing w:after="0" w:line="169" w:lineRule="exact"/>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22"/>
        </w:trPr>
        <w:tc>
          <w:tcPr>
            <w:tcW w:w="620" w:type="dxa"/>
            <w:vAlign w:val="bottom"/>
            <w:vMerge w:val="restart"/>
          </w:tcPr>
          <w:p>
            <w:pPr>
              <w:jc w:val="right"/>
              <w:ind w:right="337"/>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10"/>
                <w:szCs w:val="10"/>
                <w:color w:val="auto"/>
              </w:rPr>
            </w:pPr>
          </w:p>
        </w:tc>
        <w:tc>
          <w:tcPr>
            <w:tcW w:w="4440" w:type="dxa"/>
            <w:vAlign w:val="bottom"/>
            <w:gridSpan w:val="16"/>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20" w:hanging="602"/>
        <w:spacing w:after="0" w:line="216" w:lineRule="auto"/>
        <w:tabs>
          <w:tab w:leader="none" w:pos="620" w:val="left"/>
        </w:tabs>
        <w:numPr>
          <w:ilvl w:val="0"/>
          <w:numId w:val="7"/>
        </w:numPr>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Board proposal to approve 2022 Long-Term Incentive</w:t>
        </w:r>
      </w:hyperlink>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0" w:type="dxa"/>
            <w:vAlign w:val="bottom"/>
            <w:vMerge w:val="restart"/>
          </w:tcPr>
          <w:p>
            <w:pPr>
              <w:jc w:val="right"/>
              <w:ind w:right="339"/>
              <w:spacing w:after="0"/>
              <w:rPr>
                <w:sz w:val="20"/>
                <w:szCs w:val="20"/>
                <w:color w:val="auto"/>
              </w:rPr>
            </w:pPr>
            <w:r>
              <w:rPr>
                <w:rFonts w:ascii="Arial" w:cs="Arial" w:eastAsia="Arial" w:hAnsi="Arial"/>
                <w:sz w:val="16"/>
                <w:szCs w:val="16"/>
                <w:color w:val="auto"/>
              </w:rPr>
              <w:t>26</w:t>
            </w:r>
          </w:p>
        </w:tc>
        <w:tc>
          <w:tcPr>
            <w:tcW w:w="4880" w:type="dxa"/>
            <w:vAlign w:val="bottom"/>
            <w:gridSpan w:val="26"/>
          </w:tcPr>
          <w:p>
            <w:pPr>
              <w:spacing w:after="0" w:line="163" w:lineRule="exact"/>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Plan of Chevron Corporation (item 4 on the proxy card)</w:t>
              </w:r>
            </w:hyperlink>
          </w:p>
        </w:tc>
        <w:tc>
          <w:tcPr>
            <w:tcW w:w="460" w:type="dxa"/>
            <w:vAlign w:val="bottom"/>
          </w:tcPr>
          <w:p>
            <w:pPr>
              <w:jc w:val="right"/>
              <w:spacing w:after="0" w:line="163" w:lineRule="exact"/>
              <w:rPr>
                <w:sz w:val="20"/>
                <w:szCs w:val="20"/>
                <w:color w:val="auto"/>
              </w:rPr>
            </w:pPr>
            <w:r>
              <w:rPr>
                <w:rFonts w:ascii="Arial" w:cs="Arial" w:eastAsia="Arial" w:hAnsi="Arial"/>
                <w:sz w:val="18"/>
                <w:szCs w:val="18"/>
                <w:b w:val="1"/>
                <w:bCs w:val="1"/>
                <w:color w:val="0B2D71"/>
              </w:rPr>
              <w:t>82</w:t>
            </w:r>
          </w:p>
        </w:tc>
        <w:tc>
          <w:tcPr>
            <w:tcW w:w="0" w:type="dxa"/>
            <w:vAlign w:val="bottom"/>
          </w:tcPr>
          <w:p>
            <w:pPr>
              <w:spacing w:after="0"/>
              <w:rPr>
                <w:sz w:val="1"/>
                <w:szCs w:val="1"/>
                <w:color w:val="auto"/>
              </w:rPr>
            </w:pPr>
          </w:p>
        </w:tc>
      </w:tr>
      <w:tr>
        <w:trPr>
          <w:trHeight w:val="155"/>
        </w:trPr>
        <w:tc>
          <w:tcPr>
            <w:tcW w:w="620" w:type="dxa"/>
            <w:vAlign w:val="bottom"/>
            <w:vMerge w:val="continue"/>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4500" w:type="dxa"/>
            <w:vAlign w:val="bottom"/>
            <w:tcBorders>
              <w:top w:val="single" w:sz="8" w:color="0000EE"/>
            </w:tcBorders>
            <w:gridSpan w:val="23"/>
          </w:tcPr>
          <w:p>
            <w:pPr>
              <w:spacing w:after="0" w:line="155" w:lineRule="exact"/>
              <w:rPr>
                <w:rFonts w:ascii="Arial" w:cs="Arial" w:eastAsia="Arial" w:hAnsi="Arial"/>
                <w:sz w:val="16"/>
                <w:szCs w:val="16"/>
                <w:color w:val="0000EE"/>
              </w:rPr>
            </w:pPr>
            <w:hyperlink w:anchor="page91">
              <w:r>
                <w:rPr>
                  <w:rFonts w:ascii="Arial" w:cs="Arial" w:eastAsia="Arial" w:hAnsi="Arial"/>
                  <w:sz w:val="16"/>
                  <w:szCs w:val="16"/>
                  <w:color w:val="0000EE"/>
                </w:rPr>
                <w:t>key terms of the 2022 LTIP</w:t>
              </w:r>
            </w:hyperlink>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7"/>
        </w:trPr>
        <w:tc>
          <w:tcPr>
            <w:tcW w:w="620" w:type="dxa"/>
            <w:vAlign w:val="bottom"/>
            <w:vMerge w:val="restart"/>
          </w:tcPr>
          <w:p>
            <w:pPr>
              <w:jc w:val="right"/>
              <w:ind w:right="339"/>
              <w:spacing w:after="0"/>
              <w:rPr>
                <w:sz w:val="20"/>
                <w:szCs w:val="20"/>
                <w:color w:val="auto"/>
              </w:rPr>
            </w:pPr>
            <w:r>
              <w:rPr>
                <w:rFonts w:ascii="Arial" w:cs="Arial" w:eastAsia="Arial" w:hAnsi="Arial"/>
                <w:sz w:val="16"/>
                <w:szCs w:val="16"/>
                <w:color w:val="auto"/>
              </w:rPr>
              <w:t>27</w:t>
            </w:r>
          </w:p>
        </w:tc>
        <w:tc>
          <w:tcPr>
            <w:tcW w:w="200" w:type="dxa"/>
            <w:vAlign w:val="bottom"/>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line="20" w:lineRule="exact"/>
              <w:rPr>
                <w:sz w:val="1"/>
                <w:szCs w:val="1"/>
                <w:color w:val="auto"/>
              </w:rPr>
            </w:pPr>
          </w:p>
        </w:tc>
      </w:tr>
      <w:tr>
        <w:trPr>
          <w:trHeight w:val="169"/>
        </w:trPr>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680" w:type="dxa"/>
            <w:vAlign w:val="bottom"/>
            <w:gridSpan w:val="25"/>
          </w:tcPr>
          <w:p>
            <w:pPr>
              <w:spacing w:after="0" w:line="162" w:lineRule="exact"/>
              <w:rPr>
                <w:rFonts w:ascii="Arial" w:cs="Arial" w:eastAsia="Arial" w:hAnsi="Arial"/>
                <w:sz w:val="16"/>
                <w:szCs w:val="16"/>
                <w:color w:val="0000EE"/>
              </w:rPr>
            </w:pPr>
            <w:hyperlink w:anchor="page91">
              <w:r>
                <w:rPr>
                  <w:rFonts w:ascii="Arial" w:cs="Arial" w:eastAsia="Arial" w:hAnsi="Arial"/>
                  <w:sz w:val="16"/>
                  <w:szCs w:val="16"/>
                  <w:color w:val="0000EE"/>
                </w:rPr>
                <w:t>key features of the 2022 LTIP</w:t>
              </w:r>
            </w:hyperlink>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Pr>
          <w:p>
            <w:pPr>
              <w:jc w:val="right"/>
              <w:ind w:right="339"/>
              <w:spacing w:after="0" w:line="162" w:lineRule="exact"/>
              <w:rPr>
                <w:sz w:val="20"/>
                <w:szCs w:val="20"/>
                <w:color w:val="auto"/>
              </w:rPr>
            </w:pPr>
            <w:r>
              <w:rPr>
                <w:rFonts w:ascii="Arial" w:cs="Arial" w:eastAsia="Arial" w:hAnsi="Arial"/>
                <w:sz w:val="16"/>
                <w:szCs w:val="16"/>
                <w:color w:val="auto"/>
              </w:rPr>
              <w:t>27</w:t>
            </w:r>
          </w:p>
        </w:tc>
        <w:tc>
          <w:tcPr>
            <w:tcW w:w="200" w:type="dxa"/>
            <w:vAlign w:val="bottom"/>
          </w:tcPr>
          <w:p>
            <w:pPr>
              <w:spacing w:after="0"/>
              <w:rPr>
                <w:sz w:val="14"/>
                <w:szCs w:val="14"/>
                <w:color w:val="auto"/>
              </w:rPr>
            </w:pPr>
          </w:p>
        </w:tc>
        <w:tc>
          <w:tcPr>
            <w:tcW w:w="2120" w:type="dxa"/>
            <w:vAlign w:val="bottom"/>
            <w:tcBorders>
              <w:top w:val="single" w:sz="8" w:color="0000EE"/>
            </w:tcBorders>
            <w:gridSpan w:val="11"/>
          </w:tcPr>
          <w:p>
            <w:pPr>
              <w:spacing w:after="0" w:line="162" w:lineRule="exact"/>
              <w:rPr>
                <w:rFonts w:ascii="Arial" w:cs="Arial" w:eastAsia="Arial" w:hAnsi="Arial"/>
                <w:sz w:val="16"/>
                <w:szCs w:val="16"/>
                <w:color w:val="0000EE"/>
              </w:rPr>
            </w:pPr>
            <w:hyperlink w:anchor="page95">
              <w:r>
                <w:rPr>
                  <w:rFonts w:ascii="Arial" w:cs="Arial" w:eastAsia="Arial" w:hAnsi="Arial"/>
                  <w:sz w:val="16"/>
                  <w:szCs w:val="16"/>
                  <w:color w:val="0000EE"/>
                </w:rPr>
                <w:t>vote required</w:t>
              </w:r>
            </w:hyperlink>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69"/>
        </w:trPr>
        <w:tc>
          <w:tcPr>
            <w:tcW w:w="620" w:type="dxa"/>
            <w:vAlign w:val="bottom"/>
          </w:tcPr>
          <w:p>
            <w:pPr>
              <w:jc w:val="right"/>
              <w:ind w:right="339"/>
              <w:spacing w:after="0" w:line="162" w:lineRule="exact"/>
              <w:rPr>
                <w:sz w:val="20"/>
                <w:szCs w:val="20"/>
                <w:color w:val="auto"/>
              </w:rPr>
            </w:pPr>
            <w:r>
              <w:rPr>
                <w:rFonts w:ascii="Arial" w:cs="Arial" w:eastAsia="Arial" w:hAnsi="Arial"/>
                <w:sz w:val="16"/>
                <w:szCs w:val="16"/>
                <w:color w:val="auto"/>
              </w:rPr>
              <w:t>29</w:t>
            </w:r>
          </w:p>
        </w:tc>
        <w:tc>
          <w:tcPr>
            <w:tcW w:w="200" w:type="dxa"/>
            <w:vAlign w:val="bottom"/>
          </w:tcPr>
          <w:p>
            <w:pPr>
              <w:spacing w:after="0"/>
              <w:rPr>
                <w:sz w:val="14"/>
                <w:szCs w:val="14"/>
                <w:color w:val="auto"/>
              </w:rPr>
            </w:pPr>
          </w:p>
        </w:tc>
        <w:tc>
          <w:tcPr>
            <w:tcW w:w="960" w:type="dxa"/>
            <w:vAlign w:val="bottom"/>
            <w:tcBorders>
              <w:top w:val="single" w:sz="8" w:color="0000EE"/>
              <w:bottom w:val="single" w:sz="8" w:color="0000EE"/>
            </w:tcBorders>
            <w:gridSpan w:val="5"/>
          </w:tcPr>
          <w:p>
            <w:pPr>
              <w:spacing w:after="0" w:line="162" w:lineRule="exact"/>
              <w:rPr>
                <w:rFonts w:ascii="Arial" w:cs="Arial" w:eastAsia="Arial" w:hAnsi="Arial"/>
                <w:sz w:val="16"/>
                <w:szCs w:val="16"/>
                <w:color w:val="0000EE"/>
              </w:rPr>
            </w:pPr>
            <w:hyperlink w:anchor="page95">
              <w:r>
                <w:rPr>
                  <w:rFonts w:ascii="Arial" w:cs="Arial" w:eastAsia="Arial" w:hAnsi="Arial"/>
                  <w:sz w:val="16"/>
                  <w:szCs w:val="16"/>
                  <w:color w:val="0000EE"/>
                </w:rPr>
                <w:t>your board’s</w:t>
              </w:r>
            </w:hyperlink>
          </w:p>
        </w:tc>
        <w:tc>
          <w:tcPr>
            <w:tcW w:w="1200" w:type="dxa"/>
            <w:vAlign w:val="bottom"/>
            <w:tcBorders>
              <w:bottom w:val="single" w:sz="8" w:color="0000EE"/>
            </w:tcBorders>
            <w:gridSpan w:val="7"/>
          </w:tcPr>
          <w:p>
            <w:pPr>
              <w:spacing w:after="0" w:line="162" w:lineRule="exact"/>
              <w:rPr>
                <w:rFonts w:ascii="Arial" w:cs="Arial" w:eastAsia="Arial" w:hAnsi="Arial"/>
                <w:sz w:val="16"/>
                <w:szCs w:val="16"/>
                <w:color w:val="0000EE"/>
                <w:w w:val="98"/>
              </w:rPr>
            </w:pPr>
            <w:hyperlink w:anchor="page95">
              <w:r>
                <w:rPr>
                  <w:rFonts w:ascii="Arial" w:cs="Arial" w:eastAsia="Arial" w:hAnsi="Arial"/>
                  <w:sz w:val="16"/>
                  <w:szCs w:val="16"/>
                  <w:color w:val="0000EE"/>
                  <w:w w:val="98"/>
                </w:rPr>
                <w:t>recommendation</w:t>
              </w:r>
            </w:hyperlink>
          </w:p>
        </w:tc>
        <w:tc>
          <w:tcPr>
            <w:tcW w:w="2520" w:type="dxa"/>
            <w:vAlign w:val="bottom"/>
            <w:gridSpan w:val="13"/>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48"/>
        </w:trPr>
        <w:tc>
          <w:tcPr>
            <w:tcW w:w="620" w:type="dxa"/>
            <w:vAlign w:val="bottom"/>
          </w:tcPr>
          <w:p>
            <w:pPr>
              <w:jc w:val="right"/>
              <w:ind w:right="339"/>
              <w:spacing w:after="0" w:line="148" w:lineRule="exact"/>
              <w:rPr>
                <w:sz w:val="20"/>
                <w:szCs w:val="20"/>
                <w:color w:val="auto"/>
              </w:rPr>
            </w:pPr>
            <w:r>
              <w:rPr>
                <w:rFonts w:ascii="Arial" w:cs="Arial" w:eastAsia="Arial" w:hAnsi="Arial"/>
                <w:sz w:val="16"/>
                <w:szCs w:val="16"/>
                <w:color w:val="auto"/>
              </w:rPr>
              <w:t>30</w:t>
            </w:r>
          </w:p>
        </w:tc>
        <w:tc>
          <w:tcPr>
            <w:tcW w:w="2880" w:type="dxa"/>
            <w:vAlign w:val="bottom"/>
            <w:gridSpan w:val="16"/>
            <w:vMerge w:val="restart"/>
          </w:tcPr>
          <w:p>
            <w:pPr>
              <w:spacing w:after="0"/>
              <w:rPr>
                <w:rFonts w:ascii="Arial" w:cs="Arial" w:eastAsia="Arial" w:hAnsi="Arial"/>
                <w:sz w:val="18"/>
                <w:szCs w:val="18"/>
                <w:b w:val="1"/>
                <w:bCs w:val="1"/>
                <w:color w:val="0000EE"/>
                <w:w w:val="99"/>
              </w:rPr>
            </w:pPr>
            <w:hyperlink w:anchor="page96">
              <w:r>
                <w:rPr>
                  <w:rFonts w:ascii="Arial" w:cs="Arial" w:eastAsia="Arial" w:hAnsi="Arial"/>
                  <w:sz w:val="18"/>
                  <w:szCs w:val="18"/>
                  <w:b w:val="1"/>
                  <w:bCs w:val="1"/>
                  <w:color w:val="0000EE"/>
                  <w:w w:val="99"/>
                </w:rPr>
                <w:t>Rule 14a-8 stockholder proposals</w:t>
              </w:r>
            </w:hyperlink>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0B2D71"/>
              </w:rPr>
              <w:t>89</w:t>
            </w:r>
          </w:p>
        </w:tc>
        <w:tc>
          <w:tcPr>
            <w:tcW w:w="0" w:type="dxa"/>
            <w:vAlign w:val="bottom"/>
          </w:tcPr>
          <w:p>
            <w:pPr>
              <w:spacing w:after="0"/>
              <w:rPr>
                <w:sz w:val="1"/>
                <w:szCs w:val="1"/>
                <w:color w:val="auto"/>
              </w:rPr>
            </w:pPr>
          </w:p>
        </w:tc>
      </w:tr>
      <w:tr>
        <w:trPr>
          <w:trHeight w:val="114"/>
        </w:trPr>
        <w:tc>
          <w:tcPr>
            <w:tcW w:w="620" w:type="dxa"/>
            <w:vAlign w:val="bottom"/>
            <w:vMerge w:val="restart"/>
          </w:tcPr>
          <w:p>
            <w:pPr>
              <w:jc w:val="right"/>
              <w:ind w:right="339"/>
              <w:spacing w:after="0" w:line="151" w:lineRule="exact"/>
              <w:rPr>
                <w:sz w:val="20"/>
                <w:szCs w:val="20"/>
                <w:color w:val="auto"/>
              </w:rPr>
            </w:pPr>
            <w:r>
              <w:rPr>
                <w:rFonts w:ascii="Arial" w:cs="Arial" w:eastAsia="Arial" w:hAnsi="Arial"/>
                <w:sz w:val="16"/>
                <w:szCs w:val="16"/>
                <w:color w:val="auto"/>
              </w:rPr>
              <w:t>30</w:t>
            </w:r>
          </w:p>
        </w:tc>
        <w:tc>
          <w:tcPr>
            <w:tcW w:w="2880" w:type="dxa"/>
            <w:vAlign w:val="bottom"/>
            <w:tcBorders>
              <w:bottom w:val="single" w:sz="8" w:color="0000EE"/>
            </w:tcBorders>
            <w:gridSpan w:val="16"/>
            <w:vMerge w:val="continue"/>
          </w:tcPr>
          <w:p>
            <w:pPr>
              <w:spacing w:after="0"/>
              <w:rPr>
                <w:sz w:val="9"/>
                <w:szCs w:val="9"/>
                <w:color w:val="auto"/>
              </w:rPr>
            </w:pPr>
          </w:p>
        </w:tc>
        <w:tc>
          <w:tcPr>
            <w:tcW w:w="100" w:type="dxa"/>
            <w:vAlign w:val="bottom"/>
            <w:vMerge w:val="restart"/>
          </w:tcPr>
          <w:p>
            <w:pPr>
              <w:spacing w:after="0"/>
              <w:rPr>
                <w:sz w:val="9"/>
                <w:szCs w:val="9"/>
                <w:color w:val="auto"/>
              </w:rPr>
            </w:pPr>
          </w:p>
        </w:tc>
        <w:tc>
          <w:tcPr>
            <w:tcW w:w="180" w:type="dxa"/>
            <w:vAlign w:val="bottom"/>
            <w:vMerge w:val="restart"/>
          </w:tcPr>
          <w:p>
            <w:pPr>
              <w:spacing w:after="0"/>
              <w:rPr>
                <w:sz w:val="9"/>
                <w:szCs w:val="9"/>
                <w:color w:val="auto"/>
              </w:rPr>
            </w:pPr>
          </w:p>
        </w:tc>
        <w:tc>
          <w:tcPr>
            <w:tcW w:w="140" w:type="dxa"/>
            <w:vAlign w:val="bottom"/>
            <w:vMerge w:val="restart"/>
          </w:tcPr>
          <w:p>
            <w:pPr>
              <w:spacing w:after="0"/>
              <w:rPr>
                <w:sz w:val="9"/>
                <w:szCs w:val="9"/>
                <w:color w:val="auto"/>
              </w:rPr>
            </w:pPr>
          </w:p>
        </w:tc>
        <w:tc>
          <w:tcPr>
            <w:tcW w:w="40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880" w:type="dxa"/>
            <w:vAlign w:val="bottom"/>
            <w:gridSpan w:val="2"/>
            <w:vMerge w:val="restart"/>
          </w:tcPr>
          <w:p>
            <w:pPr>
              <w:spacing w:after="0"/>
              <w:rPr>
                <w:sz w:val="9"/>
                <w:szCs w:val="9"/>
                <w:color w:val="auto"/>
              </w:rPr>
            </w:pPr>
          </w:p>
        </w:tc>
        <w:tc>
          <w:tcPr>
            <w:tcW w:w="100" w:type="dxa"/>
            <w:vAlign w:val="bottom"/>
            <w:gridSpan w:val="2"/>
            <w:vMerge w:val="restart"/>
          </w:tcPr>
          <w:p>
            <w:pPr>
              <w:spacing w:after="0"/>
              <w:rPr>
                <w:sz w:val="9"/>
                <w:szCs w:val="9"/>
                <w:color w:val="auto"/>
              </w:rPr>
            </w:pPr>
          </w:p>
        </w:tc>
        <w:tc>
          <w:tcPr>
            <w:tcW w:w="160" w:type="dxa"/>
            <w:vAlign w:val="bottom"/>
            <w:vMerge w:val="restart"/>
          </w:tcPr>
          <w:p>
            <w:pPr>
              <w:spacing w:after="0"/>
              <w:rPr>
                <w:sz w:val="9"/>
                <w:szCs w:val="9"/>
                <w:color w:val="auto"/>
              </w:rPr>
            </w:pPr>
          </w:p>
        </w:tc>
        <w:tc>
          <w:tcPr>
            <w:tcW w:w="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620" w:type="dxa"/>
            <w:vAlign w:val="bottom"/>
            <w:vMerge w:val="continu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0" w:type="dxa"/>
            <w:vAlign w:val="bottom"/>
            <w:vMerge w:val="restart"/>
          </w:tcPr>
          <w:p>
            <w:pPr>
              <w:jc w:val="right"/>
              <w:ind w:right="339"/>
              <w:spacing w:after="0"/>
              <w:rPr>
                <w:sz w:val="20"/>
                <w:szCs w:val="20"/>
                <w:color w:val="auto"/>
              </w:rPr>
            </w:pPr>
            <w:r>
              <w:rPr>
                <w:rFonts w:ascii="Arial" w:cs="Arial" w:eastAsia="Arial" w:hAnsi="Arial"/>
                <w:sz w:val="16"/>
                <w:szCs w:val="16"/>
                <w:color w:val="auto"/>
              </w:rPr>
              <w:t>30</w:t>
            </w:r>
          </w:p>
        </w:tc>
        <w:tc>
          <w:tcPr>
            <w:tcW w:w="200" w:type="dxa"/>
            <w:vAlign w:val="bottom"/>
          </w:tcPr>
          <w:p>
            <w:pPr>
              <w:spacing w:after="0"/>
              <w:rPr>
                <w:sz w:val="13"/>
                <w:szCs w:val="13"/>
                <w:color w:val="auto"/>
              </w:rPr>
            </w:pPr>
          </w:p>
        </w:tc>
        <w:tc>
          <w:tcPr>
            <w:tcW w:w="960" w:type="dxa"/>
            <w:vAlign w:val="bottom"/>
            <w:tcBorders>
              <w:bottom w:val="single" w:sz="8" w:color="0000EE"/>
            </w:tcBorders>
            <w:gridSpan w:val="5"/>
          </w:tcPr>
          <w:p>
            <w:pPr>
              <w:spacing w:after="0" w:line="160" w:lineRule="exact"/>
              <w:rPr>
                <w:rFonts w:ascii="Arial" w:cs="Arial" w:eastAsia="Arial" w:hAnsi="Arial"/>
                <w:sz w:val="16"/>
                <w:szCs w:val="16"/>
                <w:color w:val="0000EE"/>
              </w:rPr>
            </w:pPr>
            <w:hyperlink w:anchor="page96">
              <w:r>
                <w:rPr>
                  <w:rFonts w:ascii="Arial" w:cs="Arial" w:eastAsia="Arial" w:hAnsi="Arial"/>
                  <w:sz w:val="16"/>
                  <w:szCs w:val="16"/>
                  <w:color w:val="0000EE"/>
                </w:rPr>
                <w:t>vote required</w:t>
              </w:r>
            </w:hyperlink>
          </w:p>
        </w:tc>
        <w:tc>
          <w:tcPr>
            <w:tcW w:w="3720" w:type="dxa"/>
            <w:vAlign w:val="bottom"/>
            <w:gridSpan w:val="20"/>
          </w:tcPr>
          <w:p>
            <w:pPr>
              <w:spacing w:after="0"/>
              <w:rPr>
                <w:sz w:val="13"/>
                <w:szCs w:val="13"/>
                <w:color w:val="auto"/>
              </w:rPr>
            </w:pPr>
          </w:p>
        </w:tc>
        <w:tc>
          <w:tcPr>
            <w:tcW w:w="460" w:type="dxa"/>
            <w:vAlign w:val="bottom"/>
          </w:tcPr>
          <w:p>
            <w:pPr>
              <w:jc w:val="right"/>
              <w:spacing w:after="0" w:line="160" w:lineRule="exact"/>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47"/>
        </w:trPr>
        <w:tc>
          <w:tcPr>
            <w:tcW w:w="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160" w:type="dxa"/>
            <w:vAlign w:val="bottom"/>
            <w:gridSpan w:val="12"/>
            <w:vMerge w:val="restart"/>
          </w:tcPr>
          <w:p>
            <w:pPr>
              <w:spacing w:after="0" w:line="169" w:lineRule="exact"/>
              <w:rPr>
                <w:rFonts w:ascii="Arial" w:cs="Arial" w:eastAsia="Arial" w:hAnsi="Arial"/>
                <w:sz w:val="16"/>
                <w:szCs w:val="16"/>
                <w:color w:val="0000EE"/>
              </w:rPr>
            </w:pPr>
            <w:hyperlink w:anchor="page96">
              <w:r>
                <w:rPr>
                  <w:rFonts w:ascii="Arial" w:cs="Arial" w:eastAsia="Arial" w:hAnsi="Arial"/>
                  <w:sz w:val="16"/>
                  <w:szCs w:val="16"/>
                  <w:color w:val="0000EE"/>
                </w:rPr>
                <w:t>your board’s recommendation</w:t>
              </w:r>
            </w:hyperlink>
          </w:p>
        </w:tc>
        <w:tc>
          <w:tcPr>
            <w:tcW w:w="2520" w:type="dxa"/>
            <w:vAlign w:val="bottom"/>
            <w:gridSpan w:val="13"/>
            <w:vMerge w:val="restart"/>
          </w:tcPr>
          <w:p>
            <w:pPr>
              <w:spacing w:after="0"/>
              <w:rPr>
                <w:sz w:val="4"/>
                <w:szCs w:val="4"/>
                <w:color w:val="auto"/>
              </w:rPr>
            </w:pPr>
          </w:p>
        </w:tc>
        <w:tc>
          <w:tcPr>
            <w:tcW w:w="460" w:type="dxa"/>
            <w:vAlign w:val="bottom"/>
            <w:vMerge w:val="restart"/>
          </w:tcPr>
          <w:p>
            <w:pPr>
              <w:jc w:val="right"/>
              <w:spacing w:after="0" w:line="169" w:lineRule="exact"/>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27"/>
        </w:trPr>
        <w:tc>
          <w:tcPr>
            <w:tcW w:w="620" w:type="dxa"/>
            <w:vAlign w:val="bottom"/>
            <w:vMerge w:val="restart"/>
          </w:tcPr>
          <w:p>
            <w:pPr>
              <w:jc w:val="right"/>
              <w:ind w:right="339"/>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10"/>
                <w:szCs w:val="10"/>
                <w:color w:val="auto"/>
              </w:rPr>
            </w:pPr>
          </w:p>
        </w:tc>
        <w:tc>
          <w:tcPr>
            <w:tcW w:w="2160" w:type="dxa"/>
            <w:vAlign w:val="bottom"/>
            <w:tcBorders>
              <w:bottom w:val="single" w:sz="8" w:color="0000EE"/>
            </w:tcBorders>
            <w:gridSpan w:val="12"/>
            <w:vMerge w:val="continue"/>
          </w:tcPr>
          <w:p>
            <w:pPr>
              <w:spacing w:after="0"/>
              <w:rPr>
                <w:sz w:val="10"/>
                <w:szCs w:val="10"/>
                <w:color w:val="auto"/>
              </w:rPr>
            </w:pPr>
          </w:p>
        </w:tc>
        <w:tc>
          <w:tcPr>
            <w:tcW w:w="2520" w:type="dxa"/>
            <w:vAlign w:val="bottom"/>
            <w:gridSpan w:val="13"/>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620" w:type="dxa"/>
            <w:vAlign w:val="bottom"/>
            <w:vMerge w:val="continue"/>
          </w:tcPr>
          <w:p>
            <w:pPr>
              <w:spacing w:after="0"/>
              <w:rPr>
                <w:sz w:val="4"/>
                <w:szCs w:val="4"/>
                <w:color w:val="auto"/>
              </w:rPr>
            </w:pPr>
          </w:p>
        </w:tc>
        <w:tc>
          <w:tcPr>
            <w:tcW w:w="2860" w:type="dxa"/>
            <w:vAlign w:val="bottom"/>
            <w:gridSpan w:val="15"/>
            <w:vMerge w:val="restart"/>
          </w:tcPr>
          <w:p>
            <w:pPr>
              <w:spacing w:after="0" w:line="169" w:lineRule="exact"/>
              <w:rPr>
                <w:rFonts w:ascii="Arial" w:cs="Arial" w:eastAsia="Arial" w:hAnsi="Arial"/>
                <w:sz w:val="18"/>
                <w:szCs w:val="18"/>
                <w:b w:val="1"/>
                <w:bCs w:val="1"/>
                <w:color w:val="0000EE"/>
                <w:w w:val="98"/>
              </w:rPr>
            </w:pPr>
            <w:hyperlink w:anchor="page109">
              <w:r>
                <w:rPr>
                  <w:rFonts w:ascii="Arial" w:cs="Arial" w:eastAsia="Arial" w:hAnsi="Arial"/>
                  <w:sz w:val="18"/>
                  <w:szCs w:val="18"/>
                  <w:b w:val="1"/>
                  <w:bCs w:val="1"/>
                  <w:color w:val="0000EE"/>
                  <w:w w:val="98"/>
                </w:rPr>
                <w:t>Voting and additional information</w:t>
              </w:r>
            </w:hyperlink>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vMerge w:val="restart"/>
          </w:tcPr>
          <w:p>
            <w:pPr>
              <w:jc w:val="right"/>
              <w:spacing w:after="0" w:line="189" w:lineRule="exact"/>
              <w:rPr>
                <w:sz w:val="20"/>
                <w:szCs w:val="20"/>
                <w:color w:val="auto"/>
              </w:rPr>
            </w:pPr>
            <w:r>
              <w:rPr>
                <w:rFonts w:ascii="Arial" w:cs="Arial" w:eastAsia="Arial" w:hAnsi="Arial"/>
                <w:sz w:val="18"/>
                <w:szCs w:val="18"/>
                <w:b w:val="1"/>
                <w:bCs w:val="1"/>
                <w:color w:val="0B2D71"/>
              </w:rPr>
              <w:t>102</w:t>
            </w:r>
          </w:p>
        </w:tc>
        <w:tc>
          <w:tcPr>
            <w:tcW w:w="0" w:type="dxa"/>
            <w:vAlign w:val="bottom"/>
          </w:tcPr>
          <w:p>
            <w:pPr>
              <w:spacing w:after="0"/>
              <w:rPr>
                <w:sz w:val="1"/>
                <w:szCs w:val="1"/>
                <w:color w:val="auto"/>
              </w:rPr>
            </w:pPr>
          </w:p>
        </w:tc>
      </w:tr>
      <w:tr>
        <w:trPr>
          <w:trHeight w:val="148"/>
        </w:trPr>
        <w:tc>
          <w:tcPr>
            <w:tcW w:w="620" w:type="dxa"/>
            <w:vAlign w:val="bottom"/>
          </w:tcPr>
          <w:p>
            <w:pPr>
              <w:jc w:val="right"/>
              <w:ind w:right="339"/>
              <w:spacing w:after="0" w:line="143" w:lineRule="exact"/>
              <w:rPr>
                <w:sz w:val="20"/>
                <w:szCs w:val="20"/>
                <w:color w:val="auto"/>
              </w:rPr>
            </w:pPr>
            <w:r>
              <w:rPr>
                <w:rFonts w:ascii="Arial" w:cs="Arial" w:eastAsia="Arial" w:hAnsi="Arial"/>
                <w:sz w:val="16"/>
                <w:szCs w:val="16"/>
                <w:color w:val="auto"/>
              </w:rPr>
              <w:t>32</w:t>
            </w:r>
          </w:p>
        </w:tc>
        <w:tc>
          <w:tcPr>
            <w:tcW w:w="2860" w:type="dxa"/>
            <w:vAlign w:val="bottom"/>
            <w:tcBorders>
              <w:bottom w:val="single" w:sz="8" w:color="0000EE"/>
            </w:tcBorders>
            <w:gridSpan w:val="15"/>
            <w:vMerge w:val="continue"/>
          </w:tcPr>
          <w:p>
            <w:pPr>
              <w:spacing w:after="0"/>
              <w:rPr>
                <w:sz w:val="12"/>
                <w:szCs w:val="12"/>
                <w:color w:val="auto"/>
              </w:rPr>
            </w:pPr>
          </w:p>
        </w:tc>
        <w:tc>
          <w:tcPr>
            <w:tcW w:w="12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20" w:type="dxa"/>
            <w:vAlign w:val="bottom"/>
          </w:tcPr>
          <w:p>
            <w:pPr>
              <w:jc w:val="right"/>
              <w:ind w:right="339"/>
              <w:spacing w:after="0" w:line="169" w:lineRule="exact"/>
              <w:rPr>
                <w:sz w:val="20"/>
                <w:szCs w:val="20"/>
                <w:color w:val="auto"/>
              </w:rPr>
            </w:pPr>
            <w:r>
              <w:rPr>
                <w:rFonts w:ascii="Arial" w:cs="Arial" w:eastAsia="Arial" w:hAnsi="Arial"/>
                <w:sz w:val="16"/>
                <w:szCs w:val="16"/>
                <w:color w:val="auto"/>
              </w:rPr>
              <w:t>32</w:t>
            </w:r>
          </w:p>
        </w:tc>
        <w:tc>
          <w:tcPr>
            <w:tcW w:w="200" w:type="dxa"/>
            <w:vAlign w:val="bottom"/>
          </w:tcPr>
          <w:p>
            <w:pPr>
              <w:spacing w:after="0"/>
              <w:rPr>
                <w:sz w:val="15"/>
                <w:szCs w:val="15"/>
                <w:color w:val="auto"/>
              </w:rPr>
            </w:pPr>
          </w:p>
        </w:tc>
        <w:tc>
          <w:tcPr>
            <w:tcW w:w="840" w:type="dxa"/>
            <w:vAlign w:val="bottom"/>
            <w:tcBorders>
              <w:bottom w:val="single" w:sz="8" w:color="0000EE"/>
            </w:tcBorders>
            <w:gridSpan w:val="3"/>
          </w:tcPr>
          <w:p>
            <w:pPr>
              <w:spacing w:after="0" w:line="155" w:lineRule="exact"/>
              <w:rPr>
                <w:rFonts w:ascii="Arial" w:cs="Arial" w:eastAsia="Arial" w:hAnsi="Arial"/>
                <w:sz w:val="16"/>
                <w:szCs w:val="16"/>
                <w:color w:val="0000EE"/>
              </w:rPr>
            </w:pPr>
            <w:hyperlink w:anchor="page109">
              <w:r>
                <w:rPr>
                  <w:rFonts w:ascii="Arial" w:cs="Arial" w:eastAsia="Arial" w:hAnsi="Arial"/>
                  <w:sz w:val="16"/>
                  <w:szCs w:val="16"/>
                  <w:color w:val="0000EE"/>
                </w:rPr>
                <w:t>vote results</w:t>
              </w:r>
            </w:hyperlink>
          </w:p>
        </w:tc>
        <w:tc>
          <w:tcPr>
            <w:tcW w:w="20" w:type="dxa"/>
            <w:vAlign w:val="bottom"/>
          </w:tcPr>
          <w:p>
            <w:pPr>
              <w:spacing w:after="0"/>
              <w:rPr>
                <w:sz w:val="15"/>
                <w:szCs w:val="15"/>
                <w:color w:val="auto"/>
              </w:rPr>
            </w:pPr>
          </w:p>
        </w:tc>
        <w:tc>
          <w:tcPr>
            <w:tcW w:w="4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3"/>
          </w:tcPr>
          <w:p>
            <w:pPr>
              <w:spacing w:after="0"/>
              <w:rPr>
                <w:sz w:val="15"/>
                <w:szCs w:val="15"/>
                <w:color w:val="auto"/>
              </w:rPr>
            </w:pPr>
          </w:p>
        </w:tc>
        <w:tc>
          <w:tcPr>
            <w:tcW w:w="20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80" w:type="dxa"/>
            <w:vAlign w:val="bottom"/>
            <w:gridSpan w:val="25"/>
          </w:tcPr>
          <w:p>
            <w:pPr>
              <w:spacing w:after="0" w:line="169" w:lineRule="exact"/>
              <w:rPr>
                <w:rFonts w:ascii="Arial" w:cs="Arial" w:eastAsia="Arial" w:hAnsi="Arial"/>
                <w:sz w:val="16"/>
                <w:szCs w:val="16"/>
                <w:color w:val="0000EE"/>
              </w:rPr>
            </w:pPr>
            <w:hyperlink w:anchor="page109">
              <w:r>
                <w:rPr>
                  <w:rFonts w:ascii="Arial" w:cs="Arial" w:eastAsia="Arial" w:hAnsi="Arial"/>
                  <w:sz w:val="16"/>
                  <w:szCs w:val="16"/>
                  <w:color w:val="0000EE"/>
                </w:rPr>
                <w:t>appointment of proxy holders</w:t>
              </w:r>
            </w:hyperlink>
          </w:p>
        </w:tc>
        <w:tc>
          <w:tcPr>
            <w:tcW w:w="460" w:type="dxa"/>
            <w:vAlign w:val="bottom"/>
          </w:tcPr>
          <w:p>
            <w:pPr>
              <w:jc w:val="right"/>
              <w:spacing w:after="0" w:line="169" w:lineRule="exact"/>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69"/>
        </w:trPr>
        <w:tc>
          <w:tcPr>
            <w:tcW w:w="620" w:type="dxa"/>
            <w:vAlign w:val="bottom"/>
          </w:tcPr>
          <w:p>
            <w:pPr>
              <w:jc w:val="right"/>
              <w:ind w:right="339"/>
              <w:spacing w:after="0" w:line="169" w:lineRule="exact"/>
              <w:rPr>
                <w:sz w:val="20"/>
                <w:szCs w:val="20"/>
                <w:color w:val="auto"/>
              </w:rPr>
            </w:pPr>
            <w:r>
              <w:rPr>
                <w:rFonts w:ascii="Arial" w:cs="Arial" w:eastAsia="Arial" w:hAnsi="Arial"/>
                <w:sz w:val="16"/>
                <w:szCs w:val="16"/>
                <w:color w:val="auto"/>
              </w:rPr>
              <w:t>33</w:t>
            </w:r>
          </w:p>
        </w:tc>
        <w:tc>
          <w:tcPr>
            <w:tcW w:w="200" w:type="dxa"/>
            <w:vAlign w:val="bottom"/>
          </w:tcPr>
          <w:p>
            <w:pPr>
              <w:spacing w:after="0"/>
              <w:rPr>
                <w:sz w:val="14"/>
                <w:szCs w:val="14"/>
                <w:color w:val="auto"/>
              </w:rPr>
            </w:pPr>
          </w:p>
        </w:tc>
        <w:tc>
          <w:tcPr>
            <w:tcW w:w="1940" w:type="dxa"/>
            <w:vAlign w:val="bottom"/>
            <w:tcBorders>
              <w:top w:val="single" w:sz="8" w:color="0000EE"/>
              <w:bottom w:val="single" w:sz="8" w:color="0000EE"/>
            </w:tcBorders>
            <w:gridSpan w:val="9"/>
          </w:tcPr>
          <w:p>
            <w:pPr>
              <w:spacing w:after="0" w:line="155" w:lineRule="exact"/>
              <w:rPr>
                <w:rFonts w:ascii="Arial" w:cs="Arial" w:eastAsia="Arial" w:hAnsi="Arial"/>
                <w:sz w:val="16"/>
                <w:szCs w:val="16"/>
                <w:color w:val="0000EE"/>
              </w:rPr>
            </w:pPr>
            <w:hyperlink w:anchor="page109">
              <w:r>
                <w:rPr>
                  <w:rFonts w:ascii="Arial" w:cs="Arial" w:eastAsia="Arial" w:hAnsi="Arial"/>
                  <w:sz w:val="16"/>
                  <w:szCs w:val="16"/>
                  <w:color w:val="0000EE"/>
                </w:rPr>
                <w:t>record date; who can vote</w:t>
              </w:r>
            </w:hyperlink>
          </w:p>
        </w:tc>
        <w:tc>
          <w:tcPr>
            <w:tcW w:w="160" w:type="dxa"/>
            <w:vAlign w:val="bottom"/>
            <w:tcBorders>
              <w:top w:val="single" w:sz="8" w:color="0000EE"/>
              <w:bottom w:val="single" w:sz="8" w:color="0000EE"/>
            </w:tcBorders>
          </w:tcPr>
          <w:p>
            <w:pPr>
              <w:spacing w:after="0"/>
              <w:rPr>
                <w:sz w:val="14"/>
                <w:szCs w:val="14"/>
                <w:color w:val="auto"/>
              </w:rPr>
            </w:pPr>
          </w:p>
        </w:tc>
        <w:tc>
          <w:tcPr>
            <w:tcW w:w="480" w:type="dxa"/>
            <w:vAlign w:val="bottom"/>
            <w:gridSpan w:val="3"/>
          </w:tcPr>
          <w:p>
            <w:pPr>
              <w:spacing w:after="0"/>
              <w:rPr>
                <w:sz w:val="14"/>
                <w:szCs w:val="14"/>
                <w:color w:val="auto"/>
              </w:rPr>
            </w:pPr>
          </w:p>
        </w:tc>
        <w:tc>
          <w:tcPr>
            <w:tcW w:w="200" w:type="dxa"/>
            <w:vAlign w:val="bottom"/>
            <w:gridSpan w:val="3"/>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69"/>
        </w:trPr>
        <w:tc>
          <w:tcPr>
            <w:tcW w:w="620" w:type="dxa"/>
            <w:vAlign w:val="bottom"/>
          </w:tcPr>
          <w:p>
            <w:pPr>
              <w:jc w:val="right"/>
              <w:ind w:right="339"/>
              <w:spacing w:after="0" w:line="169" w:lineRule="exact"/>
              <w:rPr>
                <w:sz w:val="20"/>
                <w:szCs w:val="20"/>
                <w:color w:val="auto"/>
              </w:rPr>
            </w:pPr>
            <w:r>
              <w:rPr>
                <w:rFonts w:ascii="Arial" w:cs="Arial" w:eastAsia="Arial" w:hAnsi="Arial"/>
                <w:sz w:val="16"/>
                <w:szCs w:val="16"/>
                <w:color w:val="auto"/>
              </w:rPr>
              <w:t>34</w:t>
            </w:r>
          </w:p>
        </w:tc>
        <w:tc>
          <w:tcPr>
            <w:tcW w:w="200" w:type="dxa"/>
            <w:vAlign w:val="bottom"/>
          </w:tcPr>
          <w:p>
            <w:pPr>
              <w:spacing w:after="0"/>
              <w:rPr>
                <w:sz w:val="14"/>
                <w:szCs w:val="14"/>
                <w:color w:val="auto"/>
              </w:rPr>
            </w:pPr>
          </w:p>
        </w:tc>
        <w:tc>
          <w:tcPr>
            <w:tcW w:w="560" w:type="dxa"/>
            <w:vAlign w:val="bottom"/>
            <w:tcBorders>
              <w:bottom w:val="single" w:sz="8" w:color="0000EE"/>
            </w:tcBorders>
          </w:tcPr>
          <w:p>
            <w:pPr>
              <w:spacing w:after="0" w:line="155" w:lineRule="exact"/>
              <w:rPr>
                <w:rFonts w:ascii="Arial" w:cs="Arial" w:eastAsia="Arial" w:hAnsi="Arial"/>
                <w:sz w:val="16"/>
                <w:szCs w:val="16"/>
                <w:color w:val="0000EE"/>
                <w:w w:val="99"/>
              </w:rPr>
            </w:pPr>
            <w:hyperlink w:anchor="page109">
              <w:r>
                <w:rPr>
                  <w:rFonts w:ascii="Arial" w:cs="Arial" w:eastAsia="Arial" w:hAnsi="Arial"/>
                  <w:sz w:val="16"/>
                  <w:szCs w:val="16"/>
                  <w:color w:val="0000EE"/>
                  <w:w w:val="99"/>
                </w:rPr>
                <w:t>quorum</w:t>
              </w:r>
            </w:hyperlink>
          </w:p>
        </w:tc>
        <w:tc>
          <w:tcPr>
            <w:tcW w:w="2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gridSpan w:val="5"/>
          </w:tcPr>
          <w:p>
            <w:pPr>
              <w:spacing w:after="0"/>
              <w:rPr>
                <w:sz w:val="14"/>
                <w:szCs w:val="14"/>
                <w:color w:val="auto"/>
              </w:rPr>
            </w:pPr>
          </w:p>
        </w:tc>
        <w:tc>
          <w:tcPr>
            <w:tcW w:w="200" w:type="dxa"/>
            <w:vAlign w:val="bottom"/>
            <w:gridSpan w:val="3"/>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69"/>
        </w:trPr>
        <w:tc>
          <w:tcPr>
            <w:tcW w:w="620" w:type="dxa"/>
            <w:vAlign w:val="bottom"/>
          </w:tcPr>
          <w:p>
            <w:pPr>
              <w:jc w:val="right"/>
              <w:ind w:right="339"/>
              <w:spacing w:after="0" w:line="169" w:lineRule="exact"/>
              <w:rPr>
                <w:sz w:val="20"/>
                <w:szCs w:val="20"/>
                <w:color w:val="auto"/>
              </w:rPr>
            </w:pPr>
            <w:r>
              <w:rPr>
                <w:rFonts w:ascii="Arial" w:cs="Arial" w:eastAsia="Arial" w:hAnsi="Arial"/>
                <w:sz w:val="16"/>
                <w:szCs w:val="16"/>
                <w:color w:val="auto"/>
              </w:rPr>
              <w:t>38</w:t>
            </w:r>
          </w:p>
        </w:tc>
        <w:tc>
          <w:tcPr>
            <w:tcW w:w="200" w:type="dxa"/>
            <w:vAlign w:val="bottom"/>
          </w:tcPr>
          <w:p>
            <w:pPr>
              <w:spacing w:after="0"/>
              <w:rPr>
                <w:sz w:val="14"/>
                <w:szCs w:val="14"/>
                <w:color w:val="auto"/>
              </w:rPr>
            </w:pPr>
          </w:p>
        </w:tc>
        <w:tc>
          <w:tcPr>
            <w:tcW w:w="860" w:type="dxa"/>
            <w:vAlign w:val="bottom"/>
            <w:tcBorders>
              <w:bottom w:val="single" w:sz="8" w:color="0000EE"/>
            </w:tcBorders>
            <w:gridSpan w:val="4"/>
          </w:tcPr>
          <w:p>
            <w:pPr>
              <w:spacing w:after="0" w:line="155" w:lineRule="exact"/>
              <w:rPr>
                <w:rFonts w:ascii="Arial" w:cs="Arial" w:eastAsia="Arial" w:hAnsi="Arial"/>
                <w:sz w:val="16"/>
                <w:szCs w:val="16"/>
                <w:color w:val="0000EE"/>
              </w:rPr>
            </w:pPr>
            <w:hyperlink w:anchor="page110">
              <w:r>
                <w:rPr>
                  <w:rFonts w:ascii="Arial" w:cs="Arial" w:eastAsia="Arial" w:hAnsi="Arial"/>
                  <w:sz w:val="16"/>
                  <w:szCs w:val="16"/>
                  <w:color w:val="0000EE"/>
                </w:rPr>
                <w:t>how to vote</w:t>
              </w:r>
            </w:hyperlink>
          </w:p>
        </w:tc>
        <w:tc>
          <w:tcPr>
            <w:tcW w:w="4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gridSpan w:val="5"/>
          </w:tcPr>
          <w:p>
            <w:pPr>
              <w:spacing w:after="0"/>
              <w:rPr>
                <w:sz w:val="14"/>
                <w:szCs w:val="14"/>
                <w:color w:val="auto"/>
              </w:rPr>
            </w:pPr>
          </w:p>
        </w:tc>
        <w:tc>
          <w:tcPr>
            <w:tcW w:w="200" w:type="dxa"/>
            <w:vAlign w:val="bottom"/>
            <w:gridSpan w:val="3"/>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69"/>
        </w:trPr>
        <w:tc>
          <w:tcPr>
            <w:tcW w:w="620" w:type="dxa"/>
            <w:vAlign w:val="bottom"/>
          </w:tcPr>
          <w:p>
            <w:pPr>
              <w:jc w:val="right"/>
              <w:ind w:right="339"/>
              <w:spacing w:after="0" w:line="169" w:lineRule="exact"/>
              <w:rPr>
                <w:sz w:val="20"/>
                <w:szCs w:val="20"/>
                <w:color w:val="auto"/>
              </w:rPr>
            </w:pPr>
            <w:r>
              <w:rPr>
                <w:rFonts w:ascii="Arial" w:cs="Arial" w:eastAsia="Arial" w:hAnsi="Arial"/>
                <w:sz w:val="16"/>
                <w:szCs w:val="16"/>
                <w:color w:val="auto"/>
              </w:rPr>
              <w:t>39</w:t>
            </w:r>
          </w:p>
        </w:tc>
        <w:tc>
          <w:tcPr>
            <w:tcW w:w="200" w:type="dxa"/>
            <w:vAlign w:val="bottom"/>
          </w:tcPr>
          <w:p>
            <w:pPr>
              <w:spacing w:after="0"/>
              <w:rPr>
                <w:sz w:val="14"/>
                <w:szCs w:val="14"/>
                <w:color w:val="auto"/>
              </w:rPr>
            </w:pPr>
          </w:p>
        </w:tc>
        <w:tc>
          <w:tcPr>
            <w:tcW w:w="2960" w:type="dxa"/>
            <w:vAlign w:val="bottom"/>
            <w:tcBorders>
              <w:bottom w:val="single" w:sz="8" w:color="0000EE"/>
            </w:tcBorders>
            <w:gridSpan w:val="17"/>
          </w:tcPr>
          <w:p>
            <w:pPr>
              <w:spacing w:after="0" w:line="155" w:lineRule="exact"/>
              <w:rPr>
                <w:rFonts w:ascii="Arial" w:cs="Arial" w:eastAsia="Arial" w:hAnsi="Arial"/>
                <w:sz w:val="16"/>
                <w:szCs w:val="16"/>
                <w:color w:val="0000EE"/>
              </w:rPr>
            </w:pPr>
            <w:hyperlink w:anchor="page110">
              <w:r>
                <w:rPr>
                  <w:rFonts w:ascii="Arial" w:cs="Arial" w:eastAsia="Arial" w:hAnsi="Arial"/>
                  <w:sz w:val="16"/>
                  <w:szCs w:val="16"/>
                  <w:color w:val="0000EE"/>
                </w:rPr>
                <w:t>revoking your proxy or voting instructions</w:t>
              </w:r>
            </w:hyperlink>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69"/>
        </w:trPr>
        <w:tc>
          <w:tcPr>
            <w:tcW w:w="620" w:type="dxa"/>
            <w:vAlign w:val="bottom"/>
          </w:tcPr>
          <w:p>
            <w:pPr>
              <w:jc w:val="right"/>
              <w:ind w:right="339"/>
              <w:spacing w:after="0" w:line="169" w:lineRule="exact"/>
              <w:rPr>
                <w:sz w:val="20"/>
                <w:szCs w:val="20"/>
                <w:color w:val="auto"/>
              </w:rPr>
            </w:pPr>
            <w:r>
              <w:rPr>
                <w:rFonts w:ascii="Arial" w:cs="Arial" w:eastAsia="Arial" w:hAnsi="Arial"/>
                <w:sz w:val="16"/>
                <w:szCs w:val="16"/>
                <w:color w:val="auto"/>
              </w:rPr>
              <w:t>39</w:t>
            </w:r>
          </w:p>
        </w:tc>
        <w:tc>
          <w:tcPr>
            <w:tcW w:w="200" w:type="dxa"/>
            <w:vAlign w:val="bottom"/>
          </w:tcPr>
          <w:p>
            <w:pPr>
              <w:spacing w:after="0"/>
              <w:rPr>
                <w:sz w:val="14"/>
                <w:szCs w:val="14"/>
                <w:color w:val="auto"/>
              </w:rPr>
            </w:pPr>
          </w:p>
        </w:tc>
        <w:tc>
          <w:tcPr>
            <w:tcW w:w="1320" w:type="dxa"/>
            <w:vAlign w:val="bottom"/>
            <w:tcBorders>
              <w:bottom w:val="single" w:sz="8" w:color="0000EE"/>
            </w:tcBorders>
            <w:gridSpan w:val="7"/>
          </w:tcPr>
          <w:p>
            <w:pPr>
              <w:spacing w:after="0" w:line="155" w:lineRule="exact"/>
              <w:rPr>
                <w:rFonts w:ascii="Arial" w:cs="Arial" w:eastAsia="Arial" w:hAnsi="Arial"/>
                <w:sz w:val="16"/>
                <w:szCs w:val="16"/>
                <w:color w:val="0000EE"/>
              </w:rPr>
            </w:pPr>
            <w:hyperlink w:anchor="page111">
              <w:r>
                <w:rPr>
                  <w:rFonts w:ascii="Arial" w:cs="Arial" w:eastAsia="Arial" w:hAnsi="Arial"/>
                  <w:sz w:val="16"/>
                  <w:szCs w:val="16"/>
                  <w:color w:val="0000EE"/>
                </w:rPr>
                <w:t>confidential voting</w:t>
              </w:r>
            </w:hyperlink>
          </w:p>
        </w:tc>
        <w:tc>
          <w:tcPr>
            <w:tcW w:w="500" w:type="dxa"/>
            <w:vAlign w:val="bottom"/>
          </w:tcPr>
          <w:p>
            <w:pPr>
              <w:spacing w:after="0"/>
              <w:rPr>
                <w:sz w:val="14"/>
                <w:szCs w:val="14"/>
                <w:color w:val="auto"/>
              </w:rPr>
            </w:pPr>
          </w:p>
        </w:tc>
        <w:tc>
          <w:tcPr>
            <w:tcW w:w="760" w:type="dxa"/>
            <w:vAlign w:val="bottom"/>
            <w:gridSpan w:val="5"/>
          </w:tcPr>
          <w:p>
            <w:pPr>
              <w:spacing w:after="0"/>
              <w:rPr>
                <w:sz w:val="14"/>
                <w:szCs w:val="14"/>
                <w:color w:val="auto"/>
              </w:rPr>
            </w:pPr>
          </w:p>
        </w:tc>
        <w:tc>
          <w:tcPr>
            <w:tcW w:w="200" w:type="dxa"/>
            <w:vAlign w:val="bottom"/>
            <w:gridSpan w:val="3"/>
          </w:tcPr>
          <w:p>
            <w:pPr>
              <w:spacing w:after="0"/>
              <w:rPr>
                <w:sz w:val="14"/>
                <w:szCs w:val="14"/>
                <w:color w:val="auto"/>
              </w:rPr>
            </w:pPr>
          </w:p>
        </w:tc>
        <w:tc>
          <w:tcPr>
            <w:tcW w:w="320" w:type="dxa"/>
            <w:vAlign w:val="bottom"/>
            <w:gridSpan w:val="2"/>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69"/>
        </w:trPr>
        <w:tc>
          <w:tcPr>
            <w:tcW w:w="620" w:type="dxa"/>
            <w:vAlign w:val="bottom"/>
          </w:tcPr>
          <w:p>
            <w:pPr>
              <w:jc w:val="right"/>
              <w:ind w:right="339"/>
              <w:spacing w:after="0" w:line="169" w:lineRule="exact"/>
              <w:rPr>
                <w:sz w:val="20"/>
                <w:szCs w:val="20"/>
                <w:color w:val="auto"/>
              </w:rPr>
            </w:pPr>
            <w:r>
              <w:rPr>
                <w:rFonts w:ascii="Arial" w:cs="Arial" w:eastAsia="Arial" w:hAnsi="Arial"/>
                <w:sz w:val="16"/>
                <w:szCs w:val="16"/>
                <w:color w:val="auto"/>
              </w:rPr>
              <w:t>39</w:t>
            </w:r>
          </w:p>
        </w:tc>
        <w:tc>
          <w:tcPr>
            <w:tcW w:w="200" w:type="dxa"/>
            <w:vAlign w:val="bottom"/>
          </w:tcPr>
          <w:p>
            <w:pPr>
              <w:spacing w:after="0"/>
              <w:rPr>
                <w:sz w:val="14"/>
                <w:szCs w:val="14"/>
                <w:color w:val="auto"/>
              </w:rPr>
            </w:pPr>
          </w:p>
        </w:tc>
        <w:tc>
          <w:tcPr>
            <w:tcW w:w="1300" w:type="dxa"/>
            <w:vAlign w:val="bottom"/>
            <w:tcBorders>
              <w:bottom w:val="single" w:sz="8" w:color="0000EE"/>
            </w:tcBorders>
            <w:gridSpan w:val="6"/>
          </w:tcPr>
          <w:p>
            <w:pPr>
              <w:spacing w:after="0" w:line="155" w:lineRule="exact"/>
              <w:rPr>
                <w:rFonts w:ascii="Arial" w:cs="Arial" w:eastAsia="Arial" w:hAnsi="Arial"/>
                <w:sz w:val="16"/>
                <w:szCs w:val="16"/>
                <w:color w:val="0000EE"/>
                <w:w w:val="99"/>
              </w:rPr>
            </w:pPr>
            <w:hyperlink w:anchor="page111">
              <w:r>
                <w:rPr>
                  <w:rFonts w:ascii="Arial" w:cs="Arial" w:eastAsia="Arial" w:hAnsi="Arial"/>
                  <w:sz w:val="16"/>
                  <w:szCs w:val="16"/>
                  <w:color w:val="0000EE"/>
                  <w:w w:val="99"/>
                </w:rPr>
                <w:t>notice and access</w:t>
              </w:r>
            </w:hyperlink>
          </w:p>
        </w:tc>
        <w:tc>
          <w:tcPr>
            <w:tcW w:w="520" w:type="dxa"/>
            <w:vAlign w:val="bottom"/>
            <w:gridSpan w:val="2"/>
          </w:tcPr>
          <w:p>
            <w:pPr>
              <w:spacing w:after="0"/>
              <w:rPr>
                <w:sz w:val="14"/>
                <w:szCs w:val="14"/>
                <w:color w:val="auto"/>
              </w:rPr>
            </w:pPr>
          </w:p>
        </w:tc>
        <w:tc>
          <w:tcPr>
            <w:tcW w:w="760" w:type="dxa"/>
            <w:vAlign w:val="bottom"/>
            <w:gridSpan w:val="5"/>
          </w:tcPr>
          <w:p>
            <w:pPr>
              <w:spacing w:after="0"/>
              <w:rPr>
                <w:sz w:val="14"/>
                <w:szCs w:val="14"/>
                <w:color w:val="auto"/>
              </w:rPr>
            </w:pPr>
          </w:p>
        </w:tc>
        <w:tc>
          <w:tcPr>
            <w:tcW w:w="200" w:type="dxa"/>
            <w:vAlign w:val="bottom"/>
            <w:gridSpan w:val="3"/>
          </w:tcPr>
          <w:p>
            <w:pPr>
              <w:spacing w:after="0"/>
              <w:rPr>
                <w:sz w:val="14"/>
                <w:szCs w:val="14"/>
                <w:color w:val="auto"/>
              </w:rPr>
            </w:pPr>
          </w:p>
        </w:tc>
        <w:tc>
          <w:tcPr>
            <w:tcW w:w="320" w:type="dxa"/>
            <w:vAlign w:val="bottom"/>
            <w:gridSpan w:val="2"/>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69"/>
        </w:trPr>
        <w:tc>
          <w:tcPr>
            <w:tcW w:w="620" w:type="dxa"/>
            <w:vAlign w:val="bottom"/>
            <w:vMerge w:val="restart"/>
          </w:tcPr>
          <w:p>
            <w:pPr>
              <w:jc w:val="right"/>
              <w:ind w:right="339"/>
              <w:spacing w:after="0"/>
              <w:rPr>
                <w:sz w:val="20"/>
                <w:szCs w:val="20"/>
                <w:color w:val="auto"/>
              </w:rPr>
            </w:pPr>
            <w:r>
              <w:rPr>
                <w:rFonts w:ascii="Arial" w:cs="Arial" w:eastAsia="Arial" w:hAnsi="Arial"/>
                <w:sz w:val="18"/>
                <w:szCs w:val="18"/>
                <w:b w:val="1"/>
                <w:bCs w:val="1"/>
                <w:color w:val="0B2D71"/>
                <w:w w:val="89"/>
              </w:rPr>
              <w:t>40</w:t>
            </w:r>
          </w:p>
        </w:tc>
        <w:tc>
          <w:tcPr>
            <w:tcW w:w="200" w:type="dxa"/>
            <w:vAlign w:val="bottom"/>
          </w:tcPr>
          <w:p>
            <w:pPr>
              <w:spacing w:after="0"/>
              <w:rPr>
                <w:sz w:val="14"/>
                <w:szCs w:val="14"/>
                <w:color w:val="auto"/>
              </w:rPr>
            </w:pPr>
          </w:p>
        </w:tc>
        <w:tc>
          <w:tcPr>
            <w:tcW w:w="4680" w:type="dxa"/>
            <w:vAlign w:val="bottom"/>
            <w:gridSpan w:val="25"/>
          </w:tcPr>
          <w:p>
            <w:pPr>
              <w:spacing w:after="0" w:line="169" w:lineRule="exact"/>
              <w:rPr>
                <w:rFonts w:ascii="Arial" w:cs="Arial" w:eastAsia="Arial" w:hAnsi="Arial"/>
                <w:sz w:val="16"/>
                <w:szCs w:val="16"/>
                <w:color w:val="0000EE"/>
              </w:rPr>
            </w:pPr>
            <w:hyperlink w:anchor="page111">
              <w:r>
                <w:rPr>
                  <w:rFonts w:ascii="Arial" w:cs="Arial" w:eastAsia="Arial" w:hAnsi="Arial"/>
                  <w:sz w:val="16"/>
                  <w:szCs w:val="16"/>
                  <w:color w:val="0000EE"/>
                </w:rPr>
                <w:t>method and cost of soliciting and tabulating votes</w:t>
              </w:r>
            </w:hyperlink>
          </w:p>
        </w:tc>
        <w:tc>
          <w:tcPr>
            <w:tcW w:w="460" w:type="dxa"/>
            <w:vAlign w:val="bottom"/>
          </w:tcPr>
          <w:p>
            <w:pPr>
              <w:jc w:val="right"/>
              <w:spacing w:after="0" w:line="169" w:lineRule="exact"/>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01"/>
        </w:trPr>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820" w:type="dxa"/>
            <w:vAlign w:val="bottom"/>
            <w:tcBorders>
              <w:top w:val="single" w:sz="8" w:color="0000EE"/>
            </w:tcBorders>
            <w:gridSpan w:val="8"/>
            <w:vMerge w:val="restart"/>
          </w:tcPr>
          <w:p>
            <w:pPr>
              <w:spacing w:after="0" w:line="169" w:lineRule="exact"/>
              <w:rPr>
                <w:rFonts w:ascii="Arial" w:cs="Arial" w:eastAsia="Arial" w:hAnsi="Arial"/>
                <w:sz w:val="16"/>
                <w:szCs w:val="16"/>
                <w:color w:val="0000EE"/>
              </w:rPr>
            </w:pPr>
            <w:hyperlink w:anchor="page112">
              <w:r>
                <w:rPr>
                  <w:rFonts w:ascii="Arial" w:cs="Arial" w:eastAsia="Arial" w:hAnsi="Arial"/>
                  <w:sz w:val="16"/>
                  <w:szCs w:val="16"/>
                  <w:color w:val="0000EE"/>
                </w:rPr>
                <w:t>householding information</w:t>
              </w:r>
            </w:hyperlink>
          </w:p>
        </w:tc>
        <w:tc>
          <w:tcPr>
            <w:tcW w:w="1720" w:type="dxa"/>
            <w:vAlign w:val="bottom"/>
            <w:tcBorders>
              <w:top w:val="single" w:sz="8" w:color="0000EE"/>
            </w:tcBorders>
            <w:gridSpan w:val="12"/>
            <w:vMerge w:val="restart"/>
          </w:tcPr>
          <w:p>
            <w:pPr>
              <w:spacing w:after="0"/>
              <w:rPr>
                <w:sz w:val="8"/>
                <w:szCs w:val="8"/>
                <w:color w:val="auto"/>
              </w:rPr>
            </w:pPr>
          </w:p>
        </w:tc>
        <w:tc>
          <w:tcPr>
            <w:tcW w:w="1140" w:type="dxa"/>
            <w:vAlign w:val="bottom"/>
            <w:gridSpan w:val="5"/>
            <w:vMerge w:val="restart"/>
          </w:tcPr>
          <w:p>
            <w:pPr>
              <w:spacing w:after="0"/>
              <w:rPr>
                <w:sz w:val="8"/>
                <w:szCs w:val="8"/>
                <w:color w:val="auto"/>
              </w:rPr>
            </w:pPr>
          </w:p>
        </w:tc>
        <w:tc>
          <w:tcPr>
            <w:tcW w:w="460" w:type="dxa"/>
            <w:vAlign w:val="bottom"/>
            <w:vMerge w:val="restart"/>
          </w:tcPr>
          <w:p>
            <w:pPr>
              <w:jc w:val="right"/>
              <w:spacing w:after="0" w:line="169" w:lineRule="exact"/>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73"/>
        </w:trPr>
        <w:tc>
          <w:tcPr>
            <w:tcW w:w="620" w:type="dxa"/>
            <w:vAlign w:val="bottom"/>
            <w:vMerge w:val="restart"/>
          </w:tcPr>
          <w:p>
            <w:pPr>
              <w:jc w:val="right"/>
              <w:ind w:right="339"/>
              <w:spacing w:after="0"/>
              <w:rPr>
                <w:sz w:val="20"/>
                <w:szCs w:val="20"/>
                <w:color w:val="auto"/>
              </w:rPr>
            </w:pPr>
            <w:r>
              <w:rPr>
                <w:rFonts w:ascii="Arial" w:cs="Arial" w:eastAsia="Arial" w:hAnsi="Arial"/>
                <w:sz w:val="16"/>
                <w:szCs w:val="16"/>
                <w:color w:val="auto"/>
              </w:rPr>
              <w:t>40</w:t>
            </w:r>
          </w:p>
        </w:tc>
        <w:tc>
          <w:tcPr>
            <w:tcW w:w="200" w:type="dxa"/>
            <w:vAlign w:val="bottom"/>
          </w:tcPr>
          <w:p>
            <w:pPr>
              <w:spacing w:after="0"/>
              <w:rPr>
                <w:sz w:val="5"/>
                <w:szCs w:val="5"/>
                <w:color w:val="auto"/>
              </w:rPr>
            </w:pPr>
          </w:p>
        </w:tc>
        <w:tc>
          <w:tcPr>
            <w:tcW w:w="1820" w:type="dxa"/>
            <w:vAlign w:val="bottom"/>
            <w:tcBorders>
              <w:bottom w:val="single" w:sz="8" w:color="0000EE"/>
            </w:tcBorders>
            <w:gridSpan w:val="8"/>
            <w:vMerge w:val="continue"/>
          </w:tcPr>
          <w:p>
            <w:pPr>
              <w:spacing w:after="0"/>
              <w:rPr>
                <w:sz w:val="5"/>
                <w:szCs w:val="5"/>
                <w:color w:val="auto"/>
              </w:rPr>
            </w:pPr>
          </w:p>
        </w:tc>
        <w:tc>
          <w:tcPr>
            <w:tcW w:w="1720" w:type="dxa"/>
            <w:vAlign w:val="bottom"/>
            <w:gridSpan w:val="12"/>
            <w:vMerge w:val="continue"/>
          </w:tcPr>
          <w:p>
            <w:pPr>
              <w:spacing w:after="0"/>
              <w:rPr>
                <w:sz w:val="5"/>
                <w:szCs w:val="5"/>
                <w:color w:val="auto"/>
              </w:rPr>
            </w:pPr>
          </w:p>
        </w:tc>
        <w:tc>
          <w:tcPr>
            <w:tcW w:w="1140" w:type="dxa"/>
            <w:vAlign w:val="bottom"/>
            <w:gridSpan w:val="5"/>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680" w:type="dxa"/>
            <w:vAlign w:val="bottom"/>
            <w:gridSpan w:val="25"/>
            <w:vMerge w:val="restart"/>
          </w:tcPr>
          <w:p>
            <w:pPr>
              <w:spacing w:after="0" w:line="169" w:lineRule="exact"/>
              <w:rPr>
                <w:rFonts w:ascii="Arial" w:cs="Arial" w:eastAsia="Arial" w:hAnsi="Arial"/>
                <w:sz w:val="16"/>
                <w:szCs w:val="16"/>
                <w:color w:val="0000EE"/>
              </w:rPr>
            </w:pPr>
            <w:hyperlink w:anchor="page112">
              <w:r>
                <w:rPr>
                  <w:rFonts w:ascii="Arial" w:cs="Arial" w:eastAsia="Arial" w:hAnsi="Arial"/>
                  <w:sz w:val="16"/>
                  <w:szCs w:val="16"/>
                  <w:color w:val="0000EE"/>
                </w:rPr>
                <w:t>email delivery of future proxy materials</w:t>
              </w:r>
            </w:hyperlink>
          </w:p>
        </w:tc>
        <w:tc>
          <w:tcPr>
            <w:tcW w:w="460" w:type="dxa"/>
            <w:vAlign w:val="bottom"/>
            <w:vMerge w:val="restart"/>
          </w:tcPr>
          <w:p>
            <w:pPr>
              <w:jc w:val="right"/>
              <w:spacing w:after="0" w:line="169" w:lineRule="exact"/>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68"/>
        </w:trPr>
        <w:tc>
          <w:tcPr>
            <w:tcW w:w="620" w:type="dxa"/>
            <w:vAlign w:val="bottom"/>
            <w:vMerge w:val="restart"/>
          </w:tcPr>
          <w:p>
            <w:pPr>
              <w:jc w:val="right"/>
              <w:ind w:right="339"/>
              <w:spacing w:after="0"/>
              <w:rPr>
                <w:sz w:val="20"/>
                <w:szCs w:val="20"/>
                <w:color w:val="auto"/>
              </w:rPr>
            </w:pPr>
            <w:r>
              <w:rPr>
                <w:rFonts w:ascii="Arial" w:cs="Arial" w:eastAsia="Arial" w:hAnsi="Arial"/>
                <w:sz w:val="16"/>
                <w:szCs w:val="16"/>
                <w:color w:val="auto"/>
              </w:rPr>
              <w:t>62</w:t>
            </w:r>
          </w:p>
        </w:tc>
        <w:tc>
          <w:tcPr>
            <w:tcW w:w="200" w:type="dxa"/>
            <w:vAlign w:val="bottom"/>
          </w:tcPr>
          <w:p>
            <w:pPr>
              <w:spacing w:after="0"/>
              <w:rPr>
                <w:sz w:val="5"/>
                <w:szCs w:val="5"/>
                <w:color w:val="auto"/>
              </w:rPr>
            </w:pPr>
          </w:p>
        </w:tc>
        <w:tc>
          <w:tcPr>
            <w:tcW w:w="4680" w:type="dxa"/>
            <w:vAlign w:val="bottom"/>
            <w:gridSpan w:val="25"/>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680" w:type="dxa"/>
            <w:vAlign w:val="bottom"/>
            <w:gridSpan w:val="25"/>
            <w:vMerge w:val="restart"/>
          </w:tcPr>
          <w:p>
            <w:pPr>
              <w:spacing w:after="0" w:line="169" w:lineRule="exact"/>
              <w:rPr>
                <w:rFonts w:ascii="Arial" w:cs="Arial" w:eastAsia="Arial" w:hAnsi="Arial"/>
                <w:sz w:val="16"/>
                <w:szCs w:val="16"/>
                <w:color w:val="0000EE"/>
              </w:rPr>
            </w:pPr>
            <w:hyperlink w:anchor="page112">
              <w:r>
                <w:rPr>
                  <w:rFonts w:ascii="Arial" w:cs="Arial" w:eastAsia="Arial" w:hAnsi="Arial"/>
                  <w:sz w:val="16"/>
                  <w:szCs w:val="16"/>
                  <w:color w:val="0000EE"/>
                </w:rPr>
                <w:t>stockholder of record account maintenance</w:t>
              </w:r>
            </w:hyperlink>
          </w:p>
        </w:tc>
        <w:tc>
          <w:tcPr>
            <w:tcW w:w="460" w:type="dxa"/>
            <w:vAlign w:val="bottom"/>
            <w:vMerge w:val="restart"/>
          </w:tcPr>
          <w:p>
            <w:pPr>
              <w:jc w:val="right"/>
              <w:spacing w:after="0" w:line="169" w:lineRule="exact"/>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68"/>
        </w:trPr>
        <w:tc>
          <w:tcPr>
            <w:tcW w:w="620" w:type="dxa"/>
            <w:vAlign w:val="bottom"/>
            <w:vMerge w:val="restart"/>
          </w:tcPr>
          <w:p>
            <w:pPr>
              <w:jc w:val="right"/>
              <w:ind w:right="339"/>
              <w:spacing w:after="0"/>
              <w:rPr>
                <w:sz w:val="20"/>
                <w:szCs w:val="20"/>
                <w:color w:val="auto"/>
              </w:rPr>
            </w:pPr>
            <w:r>
              <w:rPr>
                <w:rFonts w:ascii="Arial" w:cs="Arial" w:eastAsia="Arial" w:hAnsi="Arial"/>
                <w:sz w:val="16"/>
                <w:szCs w:val="16"/>
                <w:color w:val="auto"/>
              </w:rPr>
              <w:t>65</w:t>
            </w:r>
          </w:p>
        </w:tc>
        <w:tc>
          <w:tcPr>
            <w:tcW w:w="200" w:type="dxa"/>
            <w:vAlign w:val="bottom"/>
          </w:tcPr>
          <w:p>
            <w:pPr>
              <w:spacing w:after="0"/>
              <w:rPr>
                <w:sz w:val="5"/>
                <w:szCs w:val="5"/>
                <w:color w:val="auto"/>
              </w:rPr>
            </w:pPr>
          </w:p>
        </w:tc>
        <w:tc>
          <w:tcPr>
            <w:tcW w:w="4680" w:type="dxa"/>
            <w:vAlign w:val="bottom"/>
            <w:gridSpan w:val="25"/>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420" w:type="dxa"/>
            <w:vAlign w:val="bottom"/>
            <w:gridSpan w:val="22"/>
            <w:vMerge w:val="restart"/>
          </w:tcPr>
          <w:p>
            <w:pPr>
              <w:spacing w:after="0" w:line="169" w:lineRule="exact"/>
              <w:rPr>
                <w:rFonts w:ascii="Arial" w:cs="Arial" w:eastAsia="Arial" w:hAnsi="Arial"/>
                <w:sz w:val="16"/>
                <w:szCs w:val="16"/>
                <w:color w:val="0000EE"/>
              </w:rPr>
            </w:pPr>
            <w:hyperlink w:anchor="page113">
              <w:r>
                <w:rPr>
                  <w:rFonts w:ascii="Arial" w:cs="Arial" w:eastAsia="Arial" w:hAnsi="Arial"/>
                  <w:sz w:val="16"/>
                  <w:szCs w:val="16"/>
                  <w:color w:val="0000EE"/>
                </w:rPr>
                <w:t>submission of stockholder proposals for 2023 annual meeting</w:t>
              </w:r>
            </w:hyperlink>
          </w:p>
        </w:tc>
        <w:tc>
          <w:tcPr>
            <w:tcW w:w="260" w:type="dxa"/>
            <w:vAlign w:val="bottom"/>
            <w:gridSpan w:val="3"/>
            <w:vMerge w:val="restart"/>
          </w:tcPr>
          <w:p>
            <w:pPr>
              <w:spacing w:after="0"/>
              <w:rPr>
                <w:sz w:val="8"/>
                <w:szCs w:val="8"/>
                <w:color w:val="auto"/>
              </w:rPr>
            </w:pPr>
          </w:p>
        </w:tc>
        <w:tc>
          <w:tcPr>
            <w:tcW w:w="460" w:type="dxa"/>
            <w:vAlign w:val="bottom"/>
            <w:vMerge w:val="restart"/>
          </w:tcPr>
          <w:p>
            <w:pPr>
              <w:jc w:val="right"/>
              <w:spacing w:after="0" w:line="169"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73"/>
        </w:trPr>
        <w:tc>
          <w:tcPr>
            <w:tcW w:w="620" w:type="dxa"/>
            <w:vAlign w:val="bottom"/>
            <w:vMerge w:val="restart"/>
          </w:tcPr>
          <w:p>
            <w:pPr>
              <w:jc w:val="right"/>
              <w:ind w:right="339"/>
              <w:spacing w:after="0"/>
              <w:rPr>
                <w:sz w:val="20"/>
                <w:szCs w:val="20"/>
                <w:color w:val="auto"/>
              </w:rPr>
            </w:pPr>
            <w:r>
              <w:rPr>
                <w:rFonts w:ascii="Arial" w:cs="Arial" w:eastAsia="Arial" w:hAnsi="Arial"/>
                <w:sz w:val="16"/>
                <w:szCs w:val="16"/>
                <w:color w:val="auto"/>
              </w:rPr>
              <w:t>66</w:t>
            </w:r>
          </w:p>
        </w:tc>
        <w:tc>
          <w:tcPr>
            <w:tcW w:w="200" w:type="dxa"/>
            <w:vAlign w:val="bottom"/>
          </w:tcPr>
          <w:p>
            <w:pPr>
              <w:spacing w:after="0"/>
              <w:rPr>
                <w:sz w:val="5"/>
                <w:szCs w:val="5"/>
                <w:color w:val="auto"/>
              </w:rPr>
            </w:pPr>
          </w:p>
        </w:tc>
        <w:tc>
          <w:tcPr>
            <w:tcW w:w="4420" w:type="dxa"/>
            <w:vAlign w:val="bottom"/>
            <w:tcBorders>
              <w:bottom w:val="single" w:sz="8" w:color="0000EE"/>
            </w:tcBorders>
            <w:gridSpan w:val="22"/>
            <w:vMerge w:val="continue"/>
          </w:tcPr>
          <w:p>
            <w:pPr>
              <w:spacing w:after="0"/>
              <w:rPr>
                <w:sz w:val="5"/>
                <w:szCs w:val="5"/>
                <w:color w:val="auto"/>
              </w:rPr>
            </w:pPr>
          </w:p>
        </w:tc>
        <w:tc>
          <w:tcPr>
            <w:tcW w:w="260" w:type="dxa"/>
            <w:vAlign w:val="bottom"/>
            <w:gridSpan w:val="3"/>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680" w:type="dxa"/>
            <w:vAlign w:val="bottom"/>
            <w:gridSpan w:val="25"/>
            <w:vMerge w:val="restart"/>
          </w:tcPr>
          <w:p>
            <w:pPr>
              <w:spacing w:after="0" w:line="169" w:lineRule="exact"/>
              <w:rPr>
                <w:rFonts w:ascii="Arial" w:cs="Arial" w:eastAsia="Arial" w:hAnsi="Arial"/>
                <w:sz w:val="16"/>
                <w:szCs w:val="16"/>
                <w:color w:val="0000EE"/>
              </w:rPr>
            </w:pPr>
            <w:hyperlink w:anchor="page114">
              <w:r>
                <w:rPr>
                  <w:rFonts w:ascii="Arial" w:cs="Arial" w:eastAsia="Arial" w:hAnsi="Arial"/>
                  <w:sz w:val="16"/>
                  <w:szCs w:val="16"/>
                  <w:color w:val="0000EE"/>
                </w:rPr>
                <w:t>rules for admission for the virtual annual meeting</w:t>
              </w:r>
            </w:hyperlink>
          </w:p>
        </w:tc>
        <w:tc>
          <w:tcPr>
            <w:tcW w:w="460" w:type="dxa"/>
            <w:vAlign w:val="bottom"/>
            <w:vMerge w:val="restart"/>
          </w:tcPr>
          <w:p>
            <w:pPr>
              <w:jc w:val="right"/>
              <w:spacing w:after="0" w:line="169" w:lineRule="exact"/>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68"/>
        </w:trPr>
        <w:tc>
          <w:tcPr>
            <w:tcW w:w="620" w:type="dxa"/>
            <w:vAlign w:val="bottom"/>
            <w:vMerge w:val="restart"/>
          </w:tcPr>
          <w:p>
            <w:pPr>
              <w:jc w:val="right"/>
              <w:ind w:right="339"/>
              <w:spacing w:after="0" w:line="149" w:lineRule="exact"/>
              <w:rPr>
                <w:sz w:val="20"/>
                <w:szCs w:val="20"/>
                <w:color w:val="auto"/>
              </w:rPr>
            </w:pPr>
            <w:r>
              <w:rPr>
                <w:rFonts w:ascii="Arial" w:cs="Arial" w:eastAsia="Arial" w:hAnsi="Arial"/>
                <w:sz w:val="16"/>
                <w:szCs w:val="16"/>
                <w:color w:val="auto"/>
              </w:rPr>
              <w:t>68</w:t>
            </w:r>
          </w:p>
        </w:tc>
        <w:tc>
          <w:tcPr>
            <w:tcW w:w="200" w:type="dxa"/>
            <w:vAlign w:val="bottom"/>
          </w:tcPr>
          <w:p>
            <w:pPr>
              <w:spacing w:after="0"/>
              <w:rPr>
                <w:sz w:val="5"/>
                <w:szCs w:val="5"/>
                <w:color w:val="auto"/>
              </w:rPr>
            </w:pPr>
          </w:p>
        </w:tc>
        <w:tc>
          <w:tcPr>
            <w:tcW w:w="4680" w:type="dxa"/>
            <w:vAlign w:val="bottom"/>
            <w:gridSpan w:val="25"/>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580" w:type="dxa"/>
            <w:vAlign w:val="bottom"/>
            <w:tcBorders>
              <w:top w:val="single" w:sz="8" w:color="0000EE"/>
            </w:tcBorders>
            <w:gridSpan w:val="13"/>
            <w:vMerge w:val="restart"/>
          </w:tcPr>
          <w:p>
            <w:pPr>
              <w:spacing w:after="0" w:line="169" w:lineRule="exact"/>
              <w:rPr>
                <w:rFonts w:ascii="Arial" w:cs="Arial" w:eastAsia="Arial" w:hAnsi="Arial"/>
                <w:sz w:val="16"/>
                <w:szCs w:val="16"/>
                <w:color w:val="0000EE"/>
              </w:rPr>
            </w:pPr>
            <w:hyperlink w:anchor="page114">
              <w:r>
                <w:rPr>
                  <w:rFonts w:ascii="Arial" w:cs="Arial" w:eastAsia="Arial" w:hAnsi="Arial"/>
                  <w:sz w:val="16"/>
                  <w:szCs w:val="16"/>
                  <w:color w:val="0000EE"/>
                </w:rPr>
                <w:t>attending the virtual annual meeting</w:t>
              </w:r>
            </w:hyperlink>
          </w:p>
        </w:tc>
        <w:tc>
          <w:tcPr>
            <w:tcW w:w="920" w:type="dxa"/>
            <w:vAlign w:val="bottom"/>
            <w:tcBorders>
              <w:top w:val="single" w:sz="8" w:color="0000EE"/>
            </w:tcBorders>
            <w:gridSpan w:val="6"/>
            <w:vMerge w:val="restart"/>
          </w:tcPr>
          <w:p>
            <w:pPr>
              <w:spacing w:after="0"/>
              <w:rPr>
                <w:sz w:val="5"/>
                <w:szCs w:val="5"/>
                <w:color w:val="auto"/>
              </w:rPr>
            </w:pPr>
          </w:p>
        </w:tc>
        <w:tc>
          <w:tcPr>
            <w:tcW w:w="1180" w:type="dxa"/>
            <w:vAlign w:val="bottom"/>
            <w:gridSpan w:val="6"/>
            <w:vMerge w:val="restart"/>
          </w:tcPr>
          <w:p>
            <w:pPr>
              <w:spacing w:after="0"/>
              <w:rPr>
                <w:sz w:val="5"/>
                <w:szCs w:val="5"/>
                <w:color w:val="auto"/>
              </w:rPr>
            </w:pPr>
          </w:p>
        </w:tc>
        <w:tc>
          <w:tcPr>
            <w:tcW w:w="460" w:type="dxa"/>
            <w:vAlign w:val="bottom"/>
            <w:vMerge w:val="restart"/>
          </w:tcPr>
          <w:p>
            <w:pPr>
              <w:jc w:val="right"/>
              <w:spacing w:after="0" w:line="169" w:lineRule="exact"/>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113"/>
        </w:trPr>
        <w:tc>
          <w:tcPr>
            <w:tcW w:w="620" w:type="dxa"/>
            <w:vAlign w:val="bottom"/>
            <w:vMerge w:val="restart"/>
          </w:tcPr>
          <w:p>
            <w:pPr>
              <w:jc w:val="right"/>
              <w:ind w:right="339"/>
              <w:spacing w:after="0"/>
              <w:rPr>
                <w:sz w:val="20"/>
                <w:szCs w:val="20"/>
                <w:color w:val="auto"/>
              </w:rPr>
            </w:pPr>
            <w:r>
              <w:rPr>
                <w:rFonts w:ascii="Arial" w:cs="Arial" w:eastAsia="Arial" w:hAnsi="Arial"/>
                <w:sz w:val="16"/>
                <w:szCs w:val="16"/>
                <w:color w:val="auto"/>
              </w:rPr>
              <w:t>70</w:t>
            </w:r>
          </w:p>
        </w:tc>
        <w:tc>
          <w:tcPr>
            <w:tcW w:w="200" w:type="dxa"/>
            <w:vAlign w:val="bottom"/>
          </w:tcPr>
          <w:p>
            <w:pPr>
              <w:spacing w:after="0"/>
              <w:rPr>
                <w:sz w:val="9"/>
                <w:szCs w:val="9"/>
                <w:color w:val="auto"/>
              </w:rPr>
            </w:pPr>
          </w:p>
        </w:tc>
        <w:tc>
          <w:tcPr>
            <w:tcW w:w="2580" w:type="dxa"/>
            <w:vAlign w:val="bottom"/>
            <w:tcBorders>
              <w:bottom w:val="single" w:sz="8" w:color="0000EE"/>
            </w:tcBorders>
            <w:gridSpan w:val="13"/>
            <w:vMerge w:val="continue"/>
          </w:tcPr>
          <w:p>
            <w:pPr>
              <w:spacing w:after="0"/>
              <w:rPr>
                <w:sz w:val="9"/>
                <w:szCs w:val="9"/>
                <w:color w:val="auto"/>
              </w:rPr>
            </w:pPr>
          </w:p>
        </w:tc>
        <w:tc>
          <w:tcPr>
            <w:tcW w:w="920" w:type="dxa"/>
            <w:vAlign w:val="bottom"/>
            <w:gridSpan w:val="6"/>
            <w:vMerge w:val="continue"/>
          </w:tcPr>
          <w:p>
            <w:pPr>
              <w:spacing w:after="0"/>
              <w:rPr>
                <w:sz w:val="9"/>
                <w:szCs w:val="9"/>
                <w:color w:val="auto"/>
              </w:rPr>
            </w:pPr>
          </w:p>
        </w:tc>
        <w:tc>
          <w:tcPr>
            <w:tcW w:w="1180" w:type="dxa"/>
            <w:vAlign w:val="bottom"/>
            <w:gridSpan w:val="6"/>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620" w:type="dxa"/>
            <w:vAlign w:val="bottom"/>
            <w:vMerge w:val="continue"/>
          </w:tcPr>
          <w:p>
            <w:pPr>
              <w:spacing w:after="0"/>
              <w:rPr>
                <w:sz w:val="8"/>
                <w:szCs w:val="8"/>
                <w:color w:val="auto"/>
              </w:rPr>
            </w:pPr>
          </w:p>
        </w:tc>
        <w:tc>
          <w:tcPr>
            <w:tcW w:w="4720" w:type="dxa"/>
            <w:vAlign w:val="bottom"/>
            <w:gridSpan w:val="25"/>
            <w:vMerge w:val="restart"/>
          </w:tcPr>
          <w:p>
            <w:pPr>
              <w:spacing w:after="0"/>
              <w:rPr>
                <w:rFonts w:ascii="Arial" w:cs="Arial" w:eastAsia="Arial" w:hAnsi="Arial"/>
                <w:sz w:val="18"/>
                <w:szCs w:val="18"/>
                <w:b w:val="1"/>
                <w:bCs w:val="1"/>
                <w:color w:val="0000EE"/>
                <w:w w:val="99"/>
              </w:rPr>
            </w:pPr>
            <w:hyperlink w:anchor="page118">
              <w:r>
                <w:rPr>
                  <w:rFonts w:ascii="Arial" w:cs="Arial" w:eastAsia="Arial" w:hAnsi="Arial"/>
                  <w:sz w:val="18"/>
                  <w:szCs w:val="18"/>
                  <w:b w:val="1"/>
                  <w:bCs w:val="1"/>
                  <w:color w:val="0000EE"/>
                  <w:w w:val="99"/>
                </w:rPr>
                <w:t>Appendix A: 2022 Long-term Incentive Plan of Chevron</w:t>
              </w:r>
            </w:hyperlink>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620" w:type="dxa"/>
            <w:vAlign w:val="bottom"/>
          </w:tcPr>
          <w:p>
            <w:pPr>
              <w:jc w:val="right"/>
              <w:ind w:right="339"/>
              <w:spacing w:after="0" w:line="143" w:lineRule="exact"/>
              <w:rPr>
                <w:sz w:val="20"/>
                <w:szCs w:val="20"/>
                <w:color w:val="auto"/>
              </w:rPr>
            </w:pPr>
            <w:r>
              <w:rPr>
                <w:rFonts w:ascii="Arial" w:cs="Arial" w:eastAsia="Arial" w:hAnsi="Arial"/>
                <w:sz w:val="16"/>
                <w:szCs w:val="16"/>
                <w:color w:val="auto"/>
              </w:rPr>
              <w:t>71</w:t>
            </w:r>
          </w:p>
        </w:tc>
        <w:tc>
          <w:tcPr>
            <w:tcW w:w="4720" w:type="dxa"/>
            <w:vAlign w:val="bottom"/>
            <w:tcBorders>
              <w:bottom w:val="single" w:sz="8" w:color="0000EE"/>
            </w:tcBorders>
            <w:gridSpan w:val="25"/>
            <w:vMerge w:val="continue"/>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0B2D71"/>
              </w:rPr>
              <w:t>A-1</w:t>
            </w:r>
          </w:p>
        </w:tc>
        <w:tc>
          <w:tcPr>
            <w:tcW w:w="0" w:type="dxa"/>
            <w:vAlign w:val="bottom"/>
          </w:tcPr>
          <w:p>
            <w:pPr>
              <w:spacing w:after="0"/>
              <w:rPr>
                <w:sz w:val="1"/>
                <w:szCs w:val="1"/>
                <w:color w:val="auto"/>
              </w:rPr>
            </w:pPr>
          </w:p>
        </w:tc>
      </w:tr>
      <w:tr>
        <w:trPr>
          <w:trHeight w:val="183"/>
        </w:trPr>
        <w:tc>
          <w:tcPr>
            <w:tcW w:w="620" w:type="dxa"/>
            <w:vAlign w:val="bottom"/>
          </w:tcPr>
          <w:p>
            <w:pPr>
              <w:jc w:val="right"/>
              <w:ind w:right="339"/>
              <w:spacing w:after="0" w:line="169" w:lineRule="exact"/>
              <w:rPr>
                <w:sz w:val="20"/>
                <w:szCs w:val="20"/>
                <w:color w:val="auto"/>
              </w:rPr>
            </w:pPr>
            <w:r>
              <w:rPr>
                <w:rFonts w:ascii="Arial" w:cs="Arial" w:eastAsia="Arial" w:hAnsi="Arial"/>
                <w:sz w:val="16"/>
                <w:szCs w:val="16"/>
                <w:color w:val="auto"/>
              </w:rPr>
              <w:t>74</w:t>
            </w:r>
          </w:p>
        </w:tc>
        <w:tc>
          <w:tcPr>
            <w:tcW w:w="4880" w:type="dxa"/>
            <w:vAlign w:val="bottom"/>
            <w:gridSpan w:val="26"/>
          </w:tcPr>
          <w:p>
            <w:pPr>
              <w:spacing w:after="0" w:line="169" w:lineRule="exact"/>
              <w:rPr>
                <w:rFonts w:ascii="Arial" w:cs="Arial" w:eastAsia="Arial" w:hAnsi="Arial"/>
                <w:sz w:val="18"/>
                <w:szCs w:val="18"/>
                <w:b w:val="1"/>
                <w:bCs w:val="1"/>
                <w:color w:val="0000EE"/>
              </w:rPr>
            </w:pPr>
            <w:hyperlink w:anchor="page118">
              <w:r>
                <w:rPr>
                  <w:rFonts w:ascii="Arial" w:cs="Arial" w:eastAsia="Arial" w:hAnsi="Arial"/>
                  <w:sz w:val="18"/>
                  <w:szCs w:val="18"/>
                  <w:b w:val="1"/>
                  <w:bCs w:val="1"/>
                  <w:color w:val="0000EE"/>
                </w:rPr>
                <w:t>Corporation</w:t>
              </w:r>
            </w:hyperlink>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4440" w:space="680"/>
            <w:col w:w="5960"/>
          </w:cols>
          <w:pgMar w:left="320" w:top="455" w:right="499" w:bottom="1440" w:gutter="0" w:footer="0" w:header="0"/>
          <w:type w:val="continuous"/>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jc w:val="center"/>
        <w:ind w:left="560" w:right="80"/>
        <w:spacing w:after="0" w:line="270" w:lineRule="auto"/>
        <w:rPr>
          <w:sz w:val="20"/>
          <w:szCs w:val="20"/>
          <w:color w:val="auto"/>
        </w:rPr>
      </w:pPr>
      <w:r>
        <w:rPr>
          <w:rFonts w:ascii="Arial" w:cs="Arial" w:eastAsia="Arial" w:hAnsi="Arial"/>
          <w:sz w:val="20"/>
          <w:szCs w:val="20"/>
          <w:b w:val="1"/>
          <w:bCs w:val="1"/>
          <w:color w:val="auto"/>
        </w:rPr>
        <w:t>Cautionary statements relevant to forward-looking information for the purpose of “safe harbor” provisions of the private securities litigation reform act of 1995</w:t>
      </w:r>
    </w:p>
    <w:p>
      <w:pPr>
        <w:spacing w:after="0" w:line="140"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The statements in this Proxy Statement, including without limitation those relating to the action areas of Chevron’s energy transition strategy in the “Chevron’s Approach to the Energy Transition” section, are forward-looking statements based on management’s current expectations, estimates and projections and, accordingly, involve risks and uncertainties that could cause actual outcomes and results to differ materially from those expressed or forecasted herein. Words or phrases such as “anticipates,” “expects,” “intends,” “plans,” “targets,” “advances,” “commits,” “drives,” “aims,” “forecasts,” “projects,” “believes,” “approaches,” “seeks,” “schedules,” “estimates,” “positions,” “pursues,” “may,” “can,” “could,” “should,” “will,” “budgets,” “outlook,” “trends,” “guidance,” “focus,” “on track,” “goals,” “objectives,” “strategies,” “opportunities,” “poised,” “potential,” “ambitions,” “aspires” and similar expressions are intended to identify such forward-looking statements. Factors that may cause actual results to differ materially from those contemplated by the statements in this Proxy Statement can be found in our most recent Annual Report on Form 10-K filed with the U.S. Securities and Exchange Commission and in the Quarterly Reports on Form 10-Q that we will subsequently file under the headings “Risk Factors” and “Cautionary Statements Relevant to Forward-Looking Information for the Purpose of ‘Safe Harbor’ Provisions of the Private Securities Litigation Reform Act of 1995.” The reader should not place undue reliance on these forward-looking statements, which speak only as of the date of this report. Unless legally required, Chevron undertakes no obligation to update publicly any forward-looking statements, whether as a result of new information, future events or otherwise.</w:t>
      </w:r>
    </w:p>
    <w:p>
      <w:pPr>
        <w:sectPr>
          <w:pgSz w:w="11900" w:h="16838" w:orient="portrait"/>
          <w:cols w:equalWidth="0" w:num="1">
            <w:col w:w="11000"/>
          </w:cols>
          <w:pgMar w:left="320" w:top="455" w:right="5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0B2D71"/>
        </w:rPr>
        <w:t>Proxy statement</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Chevron Corporation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6001 Bollinger Canyon Road</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San Ramon, CA 94583-2324</w:t>
      </w:r>
    </w:p>
    <w:p>
      <w:pPr>
        <w:spacing w:after="0" w:line="97" w:lineRule="exact"/>
        <w:rPr>
          <w:sz w:val="20"/>
          <w:szCs w:val="20"/>
          <w:color w:val="auto"/>
        </w:rPr>
      </w:pPr>
    </w:p>
    <w:p>
      <w:pPr>
        <w:jc w:val="both"/>
        <w:ind w:left="120" w:right="40"/>
        <w:spacing w:after="0" w:line="266" w:lineRule="auto"/>
        <w:rPr>
          <w:sz w:val="20"/>
          <w:szCs w:val="20"/>
          <w:color w:val="auto"/>
        </w:rPr>
      </w:pPr>
      <w:r>
        <w:rPr>
          <w:rFonts w:ascii="Arial" w:cs="Arial" w:eastAsia="Arial" w:hAnsi="Arial"/>
          <w:sz w:val="16"/>
          <w:szCs w:val="16"/>
          <w:color w:val="auto"/>
        </w:rPr>
        <w:t>Your Board of Directors is providing you with these Proxy Materials in connection with its solicitation of proxies to be voted at Chevron Corporation’s 2022 Annual Meeting of Stockholders to be held by live audio webcast (www.virtualshareholdermeeting.com/CVX2022) on Wednesday, May 25, 2022, at 8:00 a.m. PDT, and at any postponement or adjournment of the Annual Meeting.</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this Proxy Statement, Chevron and its subsidiaries may also be referred to as “we,” “our,” “the Company,” “the Corporation,” or “Chevron.”</w:t>
      </w:r>
      <w:r>
        <w:rPr>
          <w:rFonts w:ascii="Arial" w:cs="Arial" w:eastAsia="Arial" w:hAnsi="Arial"/>
          <w:sz w:val="27"/>
          <w:szCs w:val="27"/>
          <w:color w:val="auto"/>
          <w:vertAlign w:val="superscript"/>
        </w:rPr>
        <w:t>1</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0B2D71"/>
        </w:rPr>
        <w:t>Virtual annual meeting</w:t>
      </w:r>
    </w:p>
    <w:p>
      <w:pPr>
        <w:spacing w:after="0" w:line="208" w:lineRule="exact"/>
        <w:rPr>
          <w:sz w:val="20"/>
          <w:szCs w:val="20"/>
          <w:color w:val="auto"/>
        </w:rPr>
      </w:pPr>
    </w:p>
    <w:p>
      <w:pPr>
        <w:ind w:left="120" w:right="260"/>
        <w:spacing w:after="0" w:line="256" w:lineRule="auto"/>
        <w:rPr>
          <w:sz w:val="20"/>
          <w:szCs w:val="20"/>
          <w:color w:val="auto"/>
        </w:rPr>
      </w:pPr>
      <w:r>
        <w:rPr>
          <w:rFonts w:ascii="Arial" w:cs="Arial" w:eastAsia="Arial" w:hAnsi="Arial"/>
          <w:sz w:val="16"/>
          <w:szCs w:val="16"/>
          <w:color w:val="auto"/>
        </w:rPr>
        <w:t>We are pleased to announce that the Company will conduct its Annual Meeting on the above date and time solely by live audio webcast in lieu of an in-person meeting. Your Board believes this meeting format will enhance and facilitate attendance by providing convenient access for all of our stockholders. In addition, this meeting format will help eliminate public health concerns around the COVID-19 pandemic and the significant costs associated with holding an in-person meeting. We have planned and designed the meeting to encourage stockholder participation, protect stockholder rights, and promote transparency.</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0B2D71"/>
        </w:rPr>
        <w:t>Items of business</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Your Board is asking you to take the following actions at the Annual Meeting:</w:t>
      </w:r>
    </w:p>
    <w:p>
      <w:pPr>
        <w:spacing w:after="0" w:line="262" w:lineRule="exact"/>
        <w:rPr>
          <w:sz w:val="20"/>
          <w:szCs w:val="20"/>
          <w:color w:val="auto"/>
        </w:rPr>
      </w:pPr>
    </w:p>
    <w:tbl>
      <w:tblPr>
        <w:tblLayout w:type="fixed"/>
        <w:tblInd w:w="130" w:type="dxa"/>
        <w:tblCellMar>
          <w:top w:w="0" w:type="dxa"/>
          <w:left w:w="0" w:type="dxa"/>
          <w:bottom w:w="0" w:type="dxa"/>
          <w:right w:w="0" w:type="dxa"/>
        </w:tblCellMar>
      </w:tblPr>
      <w:tr>
        <w:trPr>
          <w:trHeight w:val="263"/>
        </w:trPr>
        <w:tc>
          <w:tcPr>
            <w:tcW w:w="2920" w:type="dxa"/>
            <w:vAlign w:val="bottom"/>
            <w:tcBorders>
              <w:left w:val="single" w:sz="8" w:color="7F7F7F"/>
              <w:bottom w:val="single" w:sz="8" w:color="0066B2"/>
              <w:right w:val="single" w:sz="8" w:color="0066B2"/>
            </w:tcBorders>
            <w:shd w:val="clear" w:color="auto" w:fill="0066B2"/>
          </w:tcPr>
          <w:p>
            <w:pPr>
              <w:ind w:left="1260"/>
              <w:spacing w:after="0"/>
              <w:rPr>
                <w:sz w:val="20"/>
                <w:szCs w:val="20"/>
                <w:color w:val="auto"/>
              </w:rPr>
            </w:pPr>
            <w:r>
              <w:rPr>
                <w:rFonts w:ascii="Arial" w:cs="Arial" w:eastAsia="Arial" w:hAnsi="Arial"/>
                <w:sz w:val="16"/>
                <w:szCs w:val="16"/>
                <w:b w:val="1"/>
                <w:bCs w:val="1"/>
                <w:color w:val="FFFFFF"/>
              </w:rPr>
              <w:t>Item(s)</w:t>
            </w:r>
          </w:p>
        </w:tc>
        <w:tc>
          <w:tcPr>
            <w:tcW w:w="3540" w:type="dxa"/>
            <w:vAlign w:val="bottom"/>
            <w:tcBorders>
              <w:bottom w:val="single" w:sz="8" w:color="0066B2"/>
              <w:right w:val="single" w:sz="8" w:color="0066B2"/>
            </w:tcBorders>
            <w:shd w:val="clear" w:color="auto" w:fill="0066B2"/>
          </w:tcPr>
          <w:p>
            <w:pPr>
              <w:jc w:val="center"/>
              <w:spacing w:after="0"/>
              <w:rPr>
                <w:sz w:val="20"/>
                <w:szCs w:val="20"/>
                <w:color w:val="auto"/>
              </w:rPr>
            </w:pPr>
            <w:r>
              <w:rPr>
                <w:rFonts w:ascii="Arial" w:cs="Arial" w:eastAsia="Arial" w:hAnsi="Arial"/>
                <w:sz w:val="16"/>
                <w:szCs w:val="16"/>
                <w:b w:val="1"/>
                <w:bCs w:val="1"/>
                <w:color w:val="FFFFFF"/>
              </w:rPr>
              <w:t>Your Board’s recommendation</w:t>
            </w:r>
          </w:p>
        </w:tc>
        <w:tc>
          <w:tcPr>
            <w:tcW w:w="4460" w:type="dxa"/>
            <w:vAlign w:val="bottom"/>
            <w:tcBorders>
              <w:bottom w:val="single" w:sz="8" w:color="0066B2"/>
              <w:right w:val="single" w:sz="8" w:color="7F7F7F"/>
            </w:tcBorders>
            <w:shd w:val="clear" w:color="auto" w:fill="0066B2"/>
          </w:tcPr>
          <w:p>
            <w:pPr>
              <w:ind w:left="1620"/>
              <w:spacing w:after="0"/>
              <w:rPr>
                <w:sz w:val="20"/>
                <w:szCs w:val="20"/>
                <w:color w:val="auto"/>
              </w:rPr>
            </w:pPr>
            <w:r>
              <w:rPr>
                <w:rFonts w:ascii="Arial" w:cs="Arial" w:eastAsia="Arial" w:hAnsi="Arial"/>
                <w:sz w:val="16"/>
                <w:szCs w:val="16"/>
                <w:b w:val="1"/>
                <w:bCs w:val="1"/>
                <w:color w:val="FFFFFF"/>
              </w:rPr>
              <w:t>Vote required</w:t>
            </w:r>
          </w:p>
        </w:tc>
        <w:tc>
          <w:tcPr>
            <w:tcW w:w="0" w:type="dxa"/>
            <w:vAlign w:val="bottom"/>
          </w:tcPr>
          <w:p>
            <w:pPr>
              <w:spacing w:after="0"/>
              <w:rPr>
                <w:sz w:val="1"/>
                <w:szCs w:val="1"/>
                <w:color w:val="auto"/>
              </w:rPr>
            </w:pPr>
          </w:p>
        </w:tc>
      </w:tr>
      <w:tr>
        <w:trPr>
          <w:trHeight w:val="167"/>
        </w:trPr>
        <w:tc>
          <w:tcPr>
            <w:tcW w:w="2920" w:type="dxa"/>
            <w:vAlign w:val="bottom"/>
            <w:tcBorders>
              <w:left w:val="single" w:sz="8" w:color="7F7F7F"/>
              <w:right w:val="single" w:sz="8" w:color="7F7F7F"/>
            </w:tcBorders>
          </w:tcPr>
          <w:p>
            <w:pPr>
              <w:ind w:left="160"/>
              <w:spacing w:after="0"/>
              <w:rPr>
                <w:sz w:val="20"/>
                <w:szCs w:val="20"/>
                <w:color w:val="auto"/>
              </w:rPr>
            </w:pPr>
            <w:r>
              <w:rPr>
                <w:rFonts w:ascii="Arial" w:cs="Arial" w:eastAsia="Arial" w:hAnsi="Arial"/>
                <w:sz w:val="14"/>
                <w:szCs w:val="14"/>
                <w:color w:val="auto"/>
              </w:rPr>
              <w:t>Item 1: Elect 12 Directors named in this</w:t>
            </w:r>
          </w:p>
        </w:tc>
        <w:tc>
          <w:tcPr>
            <w:tcW w:w="3540" w:type="dxa"/>
            <w:vAlign w:val="bottom"/>
            <w:tcBorders>
              <w:right w:val="single" w:sz="8" w:color="7F7F7F"/>
            </w:tcBorders>
          </w:tcPr>
          <w:p>
            <w:pPr>
              <w:jc w:val="center"/>
              <w:spacing w:after="0" w:line="167" w:lineRule="exact"/>
              <w:rPr>
                <w:sz w:val="20"/>
                <w:szCs w:val="20"/>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0B2D71"/>
              </w:rPr>
              <w:t>for</w:t>
            </w:r>
          </w:p>
        </w:tc>
        <w:tc>
          <w:tcPr>
            <w:tcW w:w="4460" w:type="dxa"/>
            <w:vAlign w:val="bottom"/>
            <w:tcBorders>
              <w:right w:val="single" w:sz="8" w:color="7F7F7F"/>
            </w:tcBorders>
          </w:tcPr>
          <w:p>
            <w:pPr>
              <w:ind w:left="200"/>
              <w:spacing w:after="0"/>
              <w:rPr>
                <w:sz w:val="20"/>
                <w:szCs w:val="20"/>
                <w:color w:val="auto"/>
              </w:rPr>
            </w:pPr>
            <w:r>
              <w:rPr>
                <w:rFonts w:ascii="Arial" w:cs="Arial" w:eastAsia="Arial" w:hAnsi="Arial"/>
                <w:sz w:val="14"/>
                <w:szCs w:val="14"/>
                <w:color w:val="auto"/>
              </w:rPr>
              <w:t>Each Director nominee who receives a majority of the votes</w:t>
            </w:r>
          </w:p>
        </w:tc>
        <w:tc>
          <w:tcPr>
            <w:tcW w:w="0" w:type="dxa"/>
            <w:vAlign w:val="bottom"/>
          </w:tcPr>
          <w:p>
            <w:pPr>
              <w:spacing w:after="0"/>
              <w:rPr>
                <w:sz w:val="1"/>
                <w:szCs w:val="1"/>
                <w:color w:val="auto"/>
              </w:rPr>
            </w:pPr>
          </w:p>
        </w:tc>
      </w:tr>
      <w:tr>
        <w:trPr>
          <w:trHeight w:val="148"/>
        </w:trPr>
        <w:tc>
          <w:tcPr>
            <w:tcW w:w="2920" w:type="dxa"/>
            <w:vAlign w:val="bottom"/>
            <w:tcBorders>
              <w:left w:val="single" w:sz="8" w:color="7F7F7F"/>
              <w:right w:val="single" w:sz="8" w:color="7F7F7F"/>
            </w:tcBorders>
          </w:tcPr>
          <w:p>
            <w:pPr>
              <w:ind w:left="160"/>
              <w:spacing w:after="0" w:line="148" w:lineRule="exact"/>
              <w:rPr>
                <w:sz w:val="20"/>
                <w:szCs w:val="20"/>
                <w:color w:val="auto"/>
              </w:rPr>
            </w:pPr>
            <w:r>
              <w:rPr>
                <w:rFonts w:ascii="Arial" w:cs="Arial" w:eastAsia="Arial" w:hAnsi="Arial"/>
                <w:sz w:val="14"/>
                <w:szCs w:val="14"/>
                <w:color w:val="auto"/>
              </w:rPr>
              <w:t>Proxy Statement</w:t>
            </w:r>
          </w:p>
        </w:tc>
        <w:tc>
          <w:tcPr>
            <w:tcW w:w="3540" w:type="dxa"/>
            <w:vAlign w:val="bottom"/>
            <w:tcBorders>
              <w:right w:val="single" w:sz="8" w:color="7F7F7F"/>
            </w:tcBorders>
            <w:vMerge w:val="restart"/>
          </w:tcPr>
          <w:p>
            <w:pPr>
              <w:jc w:val="center"/>
              <w:spacing w:after="0"/>
              <w:rPr>
                <w:sz w:val="20"/>
                <w:szCs w:val="20"/>
                <w:color w:val="auto"/>
              </w:rPr>
            </w:pPr>
            <w:r>
              <w:rPr>
                <w:rFonts w:ascii="Arial" w:cs="Arial" w:eastAsia="Arial" w:hAnsi="Arial"/>
                <w:sz w:val="16"/>
                <w:szCs w:val="16"/>
                <w:color w:val="auto"/>
                <w:w w:val="99"/>
              </w:rPr>
              <w:t>(each</w:t>
            </w:r>
          </w:p>
        </w:tc>
        <w:tc>
          <w:tcPr>
            <w:tcW w:w="4460" w:type="dxa"/>
            <w:vAlign w:val="bottom"/>
            <w:tcBorders>
              <w:right w:val="single" w:sz="8" w:color="7F7F7F"/>
            </w:tcBorders>
          </w:tcPr>
          <w:p>
            <w:pPr>
              <w:ind w:left="200"/>
              <w:spacing w:after="0" w:line="148" w:lineRule="exact"/>
              <w:rPr>
                <w:sz w:val="20"/>
                <w:szCs w:val="20"/>
                <w:color w:val="auto"/>
              </w:rPr>
            </w:pPr>
            <w:r>
              <w:rPr>
                <w:rFonts w:ascii="Arial" w:cs="Arial" w:eastAsia="Arial" w:hAnsi="Arial"/>
                <w:sz w:val="14"/>
                <w:szCs w:val="14"/>
                <w:color w:val="auto"/>
              </w:rPr>
              <w:t>cast (i.e., the number of shares voted FOR a Director</w:t>
            </w:r>
          </w:p>
        </w:tc>
        <w:tc>
          <w:tcPr>
            <w:tcW w:w="0" w:type="dxa"/>
            <w:vAlign w:val="bottom"/>
          </w:tcPr>
          <w:p>
            <w:pPr>
              <w:spacing w:after="0"/>
              <w:rPr>
                <w:sz w:val="1"/>
                <w:szCs w:val="1"/>
                <w:color w:val="auto"/>
              </w:rPr>
            </w:pPr>
          </w:p>
        </w:tc>
      </w:tr>
      <w:tr>
        <w:trPr>
          <w:trHeight w:val="76"/>
        </w:trPr>
        <w:tc>
          <w:tcPr>
            <w:tcW w:w="2920" w:type="dxa"/>
            <w:vAlign w:val="bottom"/>
            <w:tcBorders>
              <w:left w:val="single" w:sz="8" w:color="7F7F7F"/>
              <w:right w:val="single" w:sz="8" w:color="7F7F7F"/>
            </w:tcBorders>
          </w:tcPr>
          <w:p>
            <w:pPr>
              <w:spacing w:after="0"/>
              <w:rPr>
                <w:sz w:val="6"/>
                <w:szCs w:val="6"/>
                <w:color w:val="auto"/>
              </w:rPr>
            </w:pPr>
          </w:p>
        </w:tc>
        <w:tc>
          <w:tcPr>
            <w:tcW w:w="3540" w:type="dxa"/>
            <w:vAlign w:val="bottom"/>
            <w:tcBorders>
              <w:right w:val="single" w:sz="8" w:color="7F7F7F"/>
            </w:tcBorders>
            <w:vMerge w:val="continue"/>
          </w:tcPr>
          <w:p>
            <w:pPr>
              <w:spacing w:after="0"/>
              <w:rPr>
                <w:sz w:val="6"/>
                <w:szCs w:val="6"/>
                <w:color w:val="auto"/>
              </w:rPr>
            </w:pPr>
          </w:p>
        </w:tc>
        <w:tc>
          <w:tcPr>
            <w:tcW w:w="4460" w:type="dxa"/>
            <w:vAlign w:val="bottom"/>
            <w:tcBorders>
              <w:right w:val="single" w:sz="8" w:color="7F7F7F"/>
            </w:tcBorders>
            <w:vMerge w:val="restart"/>
          </w:tcPr>
          <w:p>
            <w:pPr>
              <w:ind w:left="200"/>
              <w:spacing w:after="0"/>
              <w:rPr>
                <w:sz w:val="20"/>
                <w:szCs w:val="20"/>
                <w:color w:val="auto"/>
              </w:rPr>
            </w:pPr>
            <w:r>
              <w:rPr>
                <w:rFonts w:ascii="Arial" w:cs="Arial" w:eastAsia="Arial" w:hAnsi="Arial"/>
                <w:sz w:val="14"/>
                <w:szCs w:val="14"/>
                <w:color w:val="auto"/>
              </w:rPr>
              <w:t>nominee must exceed the number of shares voted AGAINST</w:t>
            </w:r>
          </w:p>
        </w:tc>
        <w:tc>
          <w:tcPr>
            <w:tcW w:w="0" w:type="dxa"/>
            <w:vAlign w:val="bottom"/>
          </w:tcPr>
          <w:p>
            <w:pPr>
              <w:spacing w:after="0"/>
              <w:rPr>
                <w:sz w:val="1"/>
                <w:szCs w:val="1"/>
                <w:color w:val="auto"/>
              </w:rPr>
            </w:pPr>
          </w:p>
        </w:tc>
      </w:tr>
      <w:tr>
        <w:trPr>
          <w:trHeight w:val="86"/>
        </w:trPr>
        <w:tc>
          <w:tcPr>
            <w:tcW w:w="2920" w:type="dxa"/>
            <w:vAlign w:val="bottom"/>
            <w:tcBorders>
              <w:left w:val="single" w:sz="8" w:color="7F7F7F"/>
              <w:right w:val="single" w:sz="8" w:color="7F7F7F"/>
            </w:tcBorders>
          </w:tcPr>
          <w:p>
            <w:pPr>
              <w:spacing w:after="0"/>
              <w:rPr>
                <w:sz w:val="7"/>
                <w:szCs w:val="7"/>
                <w:color w:val="auto"/>
              </w:rPr>
            </w:pPr>
          </w:p>
        </w:tc>
        <w:tc>
          <w:tcPr>
            <w:tcW w:w="3540" w:type="dxa"/>
            <w:vAlign w:val="bottom"/>
            <w:tcBorders>
              <w:right w:val="single" w:sz="8" w:color="7F7F7F"/>
            </w:tcBorders>
            <w:vMerge w:val="restart"/>
          </w:tcPr>
          <w:p>
            <w:pPr>
              <w:jc w:val="center"/>
              <w:spacing w:after="0"/>
              <w:rPr>
                <w:sz w:val="20"/>
                <w:szCs w:val="20"/>
                <w:color w:val="auto"/>
              </w:rPr>
            </w:pPr>
            <w:r>
              <w:rPr>
                <w:rFonts w:ascii="Arial" w:cs="Arial" w:eastAsia="Arial" w:hAnsi="Arial"/>
                <w:sz w:val="16"/>
                <w:szCs w:val="16"/>
                <w:color w:val="auto"/>
                <w:w w:val="99"/>
              </w:rPr>
              <w:t>Director</w:t>
            </w:r>
          </w:p>
        </w:tc>
        <w:tc>
          <w:tcPr>
            <w:tcW w:w="4460" w:type="dxa"/>
            <w:vAlign w:val="bottom"/>
            <w:tcBorders>
              <w:right w:val="single" w:sz="8" w:color="7F7F7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920" w:type="dxa"/>
            <w:vAlign w:val="bottom"/>
            <w:tcBorders>
              <w:left w:val="single" w:sz="8" w:color="7F7F7F"/>
              <w:right w:val="single" w:sz="8" w:color="7F7F7F"/>
            </w:tcBorders>
          </w:tcPr>
          <w:p>
            <w:pPr>
              <w:spacing w:after="0"/>
              <w:rPr>
                <w:sz w:val="8"/>
                <w:szCs w:val="8"/>
                <w:color w:val="auto"/>
              </w:rPr>
            </w:pPr>
          </w:p>
        </w:tc>
        <w:tc>
          <w:tcPr>
            <w:tcW w:w="3540" w:type="dxa"/>
            <w:vAlign w:val="bottom"/>
            <w:tcBorders>
              <w:right w:val="single" w:sz="8" w:color="7F7F7F"/>
            </w:tcBorders>
            <w:vMerge w:val="continue"/>
          </w:tcPr>
          <w:p>
            <w:pPr>
              <w:spacing w:after="0"/>
              <w:rPr>
                <w:sz w:val="8"/>
                <w:szCs w:val="8"/>
                <w:color w:val="auto"/>
              </w:rPr>
            </w:pPr>
          </w:p>
        </w:tc>
        <w:tc>
          <w:tcPr>
            <w:tcW w:w="4460" w:type="dxa"/>
            <w:vAlign w:val="bottom"/>
            <w:tcBorders>
              <w:right w:val="single" w:sz="8" w:color="7F7F7F"/>
            </w:tcBorders>
            <w:vMerge w:val="restart"/>
          </w:tcPr>
          <w:p>
            <w:pPr>
              <w:ind w:left="200"/>
              <w:spacing w:after="0"/>
              <w:rPr>
                <w:sz w:val="20"/>
                <w:szCs w:val="20"/>
                <w:color w:val="auto"/>
              </w:rPr>
            </w:pPr>
            <w:r>
              <w:rPr>
                <w:rFonts w:ascii="Arial" w:cs="Arial" w:eastAsia="Arial" w:hAnsi="Arial"/>
                <w:sz w:val="14"/>
                <w:szCs w:val="14"/>
                <w:color w:val="auto"/>
              </w:rPr>
              <w:t>that Director nominee, excluding abstentions) will be elected</w:t>
            </w:r>
          </w:p>
        </w:tc>
        <w:tc>
          <w:tcPr>
            <w:tcW w:w="0" w:type="dxa"/>
            <w:vAlign w:val="bottom"/>
          </w:tcPr>
          <w:p>
            <w:pPr>
              <w:spacing w:after="0"/>
              <w:rPr>
                <w:sz w:val="1"/>
                <w:szCs w:val="1"/>
                <w:color w:val="auto"/>
              </w:rPr>
            </w:pPr>
          </w:p>
        </w:tc>
      </w:tr>
      <w:tr>
        <w:trPr>
          <w:trHeight w:val="59"/>
        </w:trPr>
        <w:tc>
          <w:tcPr>
            <w:tcW w:w="2920" w:type="dxa"/>
            <w:vAlign w:val="bottom"/>
            <w:tcBorders>
              <w:left w:val="single" w:sz="8" w:color="7F7F7F"/>
              <w:right w:val="single" w:sz="8" w:color="7F7F7F"/>
            </w:tcBorders>
          </w:tcPr>
          <w:p>
            <w:pPr>
              <w:spacing w:after="0"/>
              <w:rPr>
                <w:sz w:val="5"/>
                <w:szCs w:val="5"/>
                <w:color w:val="auto"/>
              </w:rPr>
            </w:pPr>
          </w:p>
        </w:tc>
        <w:tc>
          <w:tcPr>
            <w:tcW w:w="3540" w:type="dxa"/>
            <w:vAlign w:val="bottom"/>
            <w:tcBorders>
              <w:right w:val="single" w:sz="8" w:color="7F7F7F"/>
            </w:tcBorders>
            <w:vMerge w:val="restart"/>
          </w:tcPr>
          <w:p>
            <w:pPr>
              <w:jc w:val="center"/>
              <w:spacing w:after="0"/>
              <w:rPr>
                <w:sz w:val="20"/>
                <w:szCs w:val="20"/>
                <w:color w:val="auto"/>
              </w:rPr>
            </w:pPr>
            <w:r>
              <w:rPr>
                <w:rFonts w:ascii="Arial" w:cs="Arial" w:eastAsia="Arial" w:hAnsi="Arial"/>
                <w:sz w:val="16"/>
                <w:szCs w:val="16"/>
                <w:color w:val="auto"/>
              </w:rPr>
              <w:t>nominee)</w:t>
            </w:r>
          </w:p>
        </w:tc>
        <w:tc>
          <w:tcPr>
            <w:tcW w:w="4460" w:type="dxa"/>
            <w:vAlign w:val="bottom"/>
            <w:tcBorders>
              <w:right w:val="single" w:sz="8" w:color="7F7F7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920" w:type="dxa"/>
            <w:vAlign w:val="bottom"/>
            <w:tcBorders>
              <w:left w:val="single" w:sz="8" w:color="7F7F7F"/>
              <w:bottom w:val="single" w:sz="8" w:color="7F7F7F"/>
              <w:right w:val="single" w:sz="8" w:color="7F7F7F"/>
            </w:tcBorders>
          </w:tcPr>
          <w:p>
            <w:pPr>
              <w:spacing w:after="0"/>
              <w:rPr>
                <w:sz w:val="16"/>
                <w:szCs w:val="16"/>
                <w:color w:val="auto"/>
              </w:rPr>
            </w:pPr>
          </w:p>
        </w:tc>
        <w:tc>
          <w:tcPr>
            <w:tcW w:w="3540" w:type="dxa"/>
            <w:vAlign w:val="bottom"/>
            <w:tcBorders>
              <w:bottom w:val="single" w:sz="8" w:color="7F7F7F"/>
              <w:right w:val="single" w:sz="8" w:color="7F7F7F"/>
            </w:tcBorders>
            <w:vMerge w:val="continue"/>
          </w:tcPr>
          <w:p>
            <w:pPr>
              <w:spacing w:after="0"/>
              <w:rPr>
                <w:sz w:val="16"/>
                <w:szCs w:val="16"/>
                <w:color w:val="auto"/>
              </w:rPr>
            </w:pPr>
          </w:p>
        </w:tc>
        <w:tc>
          <w:tcPr>
            <w:tcW w:w="4460" w:type="dxa"/>
            <w:vAlign w:val="bottom"/>
            <w:tcBorders>
              <w:bottom w:val="single" w:sz="8" w:color="7F7F7F"/>
              <w:right w:val="single" w:sz="8" w:color="7F7F7F"/>
            </w:tcBorders>
          </w:tcPr>
          <w:p>
            <w:pPr>
              <w:ind w:left="200"/>
              <w:spacing w:after="0"/>
              <w:rPr>
                <w:sz w:val="20"/>
                <w:szCs w:val="20"/>
                <w:color w:val="auto"/>
              </w:rPr>
            </w:pPr>
            <w:r>
              <w:rPr>
                <w:rFonts w:ascii="Arial" w:cs="Arial" w:eastAsia="Arial" w:hAnsi="Arial"/>
                <w:sz w:val="14"/>
                <w:szCs w:val="14"/>
                <w:color w:val="auto"/>
              </w:rPr>
              <w:t>a Director in an uncontested election.</w:t>
            </w:r>
          </w:p>
        </w:tc>
        <w:tc>
          <w:tcPr>
            <w:tcW w:w="0" w:type="dxa"/>
            <w:vAlign w:val="bottom"/>
          </w:tcPr>
          <w:p>
            <w:pPr>
              <w:spacing w:after="0"/>
              <w:rPr>
                <w:sz w:val="1"/>
                <w:szCs w:val="1"/>
                <w:color w:val="auto"/>
              </w:rPr>
            </w:pPr>
          </w:p>
        </w:tc>
      </w:tr>
      <w:tr>
        <w:trPr>
          <w:trHeight w:val="191"/>
        </w:trPr>
        <w:tc>
          <w:tcPr>
            <w:tcW w:w="2920" w:type="dxa"/>
            <w:vAlign w:val="bottom"/>
            <w:tcBorders>
              <w:left w:val="single" w:sz="8" w:color="7F7F7F"/>
              <w:right w:val="single" w:sz="8" w:color="7F7F7F"/>
            </w:tcBorders>
          </w:tcPr>
          <w:p>
            <w:pPr>
              <w:ind w:left="160"/>
              <w:spacing w:after="0"/>
              <w:rPr>
                <w:sz w:val="20"/>
                <w:szCs w:val="20"/>
                <w:color w:val="auto"/>
              </w:rPr>
            </w:pPr>
            <w:r>
              <w:rPr>
                <w:rFonts w:ascii="Arial" w:cs="Arial" w:eastAsia="Arial" w:hAnsi="Arial"/>
                <w:sz w:val="14"/>
                <w:szCs w:val="14"/>
                <w:color w:val="auto"/>
              </w:rPr>
              <w:t>Item 2: Vote to ratify the appointment of</w:t>
            </w:r>
          </w:p>
        </w:tc>
        <w:tc>
          <w:tcPr>
            <w:tcW w:w="3540" w:type="dxa"/>
            <w:vAlign w:val="bottom"/>
            <w:tcBorders>
              <w:right w:val="single" w:sz="8" w:color="7F7F7F"/>
            </w:tcBorders>
            <w:vMerge w:val="restart"/>
          </w:tcPr>
          <w:p>
            <w:pPr>
              <w:jc w:val="center"/>
              <w:spacing w:after="0"/>
              <w:rPr>
                <w:sz w:val="20"/>
                <w:szCs w:val="20"/>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0B2D71"/>
              </w:rPr>
              <w:t>for</w:t>
            </w:r>
          </w:p>
        </w:tc>
        <w:tc>
          <w:tcPr>
            <w:tcW w:w="4460" w:type="dxa"/>
            <w:vAlign w:val="bottom"/>
            <w:tcBorders>
              <w:right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20" w:type="dxa"/>
            <w:vAlign w:val="bottom"/>
            <w:tcBorders>
              <w:left w:val="single" w:sz="8" w:color="7F7F7F"/>
              <w:right w:val="single" w:sz="8" w:color="7F7F7F"/>
            </w:tcBorders>
          </w:tcPr>
          <w:p>
            <w:pPr>
              <w:ind w:left="160"/>
              <w:spacing w:after="0"/>
              <w:rPr>
                <w:sz w:val="20"/>
                <w:szCs w:val="20"/>
                <w:color w:val="auto"/>
              </w:rPr>
            </w:pPr>
            <w:r>
              <w:rPr>
                <w:rFonts w:ascii="Arial" w:cs="Arial" w:eastAsia="Arial" w:hAnsi="Arial"/>
                <w:sz w:val="14"/>
                <w:szCs w:val="14"/>
                <w:color w:val="auto"/>
              </w:rPr>
              <w:t>the independent registered public</w:t>
            </w:r>
          </w:p>
        </w:tc>
        <w:tc>
          <w:tcPr>
            <w:tcW w:w="3540" w:type="dxa"/>
            <w:vAlign w:val="bottom"/>
            <w:tcBorders>
              <w:right w:val="single" w:sz="8" w:color="7F7F7F"/>
            </w:tcBorders>
            <w:vMerge w:val="continue"/>
          </w:tcPr>
          <w:p>
            <w:pPr>
              <w:spacing w:after="0"/>
              <w:rPr>
                <w:sz w:val="14"/>
                <w:szCs w:val="14"/>
                <w:color w:val="auto"/>
              </w:rPr>
            </w:pPr>
          </w:p>
        </w:tc>
        <w:tc>
          <w:tcPr>
            <w:tcW w:w="4460" w:type="dxa"/>
            <w:vAlign w:val="bottom"/>
            <w:tcBorders>
              <w:right w:val="single" w:sz="8" w:color="7F7F7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920" w:type="dxa"/>
            <w:vAlign w:val="bottom"/>
            <w:tcBorders>
              <w:left w:val="single" w:sz="8" w:color="7F7F7F"/>
              <w:right w:val="single" w:sz="8" w:color="7F7F7F"/>
            </w:tcBorders>
          </w:tcPr>
          <w:p>
            <w:pPr>
              <w:ind w:left="160"/>
              <w:spacing w:after="0"/>
              <w:rPr>
                <w:sz w:val="20"/>
                <w:szCs w:val="20"/>
                <w:color w:val="auto"/>
              </w:rPr>
            </w:pPr>
            <w:r>
              <w:rPr>
                <w:rFonts w:ascii="Arial" w:cs="Arial" w:eastAsia="Arial" w:hAnsi="Arial"/>
                <w:sz w:val="14"/>
                <w:szCs w:val="14"/>
                <w:color w:val="auto"/>
              </w:rPr>
              <w:t>accounting firm</w:t>
            </w:r>
          </w:p>
        </w:tc>
        <w:tc>
          <w:tcPr>
            <w:tcW w:w="3540" w:type="dxa"/>
            <w:vAlign w:val="bottom"/>
            <w:tcBorders>
              <w:right w:val="single" w:sz="8" w:color="7F7F7F"/>
            </w:tcBorders>
          </w:tcPr>
          <w:p>
            <w:pPr>
              <w:spacing w:after="0"/>
              <w:rPr>
                <w:sz w:val="16"/>
                <w:szCs w:val="16"/>
                <w:color w:val="auto"/>
              </w:rPr>
            </w:pPr>
          </w:p>
        </w:tc>
        <w:tc>
          <w:tcPr>
            <w:tcW w:w="4460" w:type="dxa"/>
            <w:vAlign w:val="bottom"/>
            <w:tcBorders>
              <w:right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920" w:type="dxa"/>
            <w:vAlign w:val="bottom"/>
            <w:tcBorders>
              <w:left w:val="single" w:sz="8" w:color="7F7F7F"/>
              <w:bottom w:val="single" w:sz="8" w:color="7F7F7F"/>
              <w:right w:val="single" w:sz="8" w:color="7F7F7F"/>
            </w:tcBorders>
          </w:tcPr>
          <w:p>
            <w:pPr>
              <w:spacing w:after="0"/>
              <w:rPr>
                <w:sz w:val="3"/>
                <w:szCs w:val="3"/>
                <w:color w:val="auto"/>
              </w:rPr>
            </w:pPr>
          </w:p>
        </w:tc>
        <w:tc>
          <w:tcPr>
            <w:tcW w:w="3540" w:type="dxa"/>
            <w:vAlign w:val="bottom"/>
            <w:tcBorders>
              <w:bottom w:val="single" w:sz="8" w:color="7F7F7F"/>
              <w:right w:val="single" w:sz="8" w:color="7F7F7F"/>
            </w:tcBorders>
          </w:tcPr>
          <w:p>
            <w:pPr>
              <w:spacing w:after="0"/>
              <w:rPr>
                <w:sz w:val="3"/>
                <w:szCs w:val="3"/>
                <w:color w:val="auto"/>
              </w:rPr>
            </w:pPr>
          </w:p>
        </w:tc>
        <w:tc>
          <w:tcPr>
            <w:tcW w:w="4460" w:type="dxa"/>
            <w:vAlign w:val="bottom"/>
            <w:tcBorders>
              <w:right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920" w:type="dxa"/>
            <w:vAlign w:val="bottom"/>
            <w:tcBorders>
              <w:left w:val="single" w:sz="8" w:color="7F7F7F"/>
              <w:right w:val="single" w:sz="8" w:color="7F7F7F"/>
            </w:tcBorders>
          </w:tcPr>
          <w:p>
            <w:pPr>
              <w:ind w:left="160"/>
              <w:spacing w:after="0"/>
              <w:rPr>
                <w:sz w:val="20"/>
                <w:szCs w:val="20"/>
                <w:color w:val="auto"/>
              </w:rPr>
            </w:pPr>
            <w:r>
              <w:rPr>
                <w:rFonts w:ascii="Arial" w:cs="Arial" w:eastAsia="Arial" w:hAnsi="Arial"/>
                <w:sz w:val="14"/>
                <w:szCs w:val="14"/>
                <w:color w:val="auto"/>
              </w:rPr>
              <w:t>Item 3: Vote to approve, on an advisory</w:t>
            </w:r>
          </w:p>
        </w:tc>
        <w:tc>
          <w:tcPr>
            <w:tcW w:w="3540" w:type="dxa"/>
            <w:vAlign w:val="bottom"/>
            <w:tcBorders>
              <w:right w:val="single" w:sz="8" w:color="7F7F7F"/>
            </w:tcBorders>
            <w:vMerge w:val="restart"/>
          </w:tcPr>
          <w:p>
            <w:pPr>
              <w:jc w:val="center"/>
              <w:spacing w:after="0"/>
              <w:rPr>
                <w:sz w:val="20"/>
                <w:szCs w:val="20"/>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0B2D71"/>
              </w:rPr>
              <w:t>for</w:t>
            </w:r>
          </w:p>
        </w:tc>
        <w:tc>
          <w:tcPr>
            <w:tcW w:w="4460" w:type="dxa"/>
            <w:vAlign w:val="bottom"/>
            <w:tcBorders>
              <w:right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20" w:type="dxa"/>
            <w:vAlign w:val="bottom"/>
            <w:tcBorders>
              <w:left w:val="single" w:sz="8" w:color="7F7F7F"/>
              <w:right w:val="single" w:sz="8" w:color="7F7F7F"/>
            </w:tcBorders>
          </w:tcPr>
          <w:p>
            <w:pPr>
              <w:ind w:left="160"/>
              <w:spacing w:after="0"/>
              <w:rPr>
                <w:sz w:val="20"/>
                <w:szCs w:val="20"/>
                <w:color w:val="auto"/>
              </w:rPr>
            </w:pPr>
            <w:r>
              <w:rPr>
                <w:rFonts w:ascii="Arial" w:cs="Arial" w:eastAsia="Arial" w:hAnsi="Arial"/>
                <w:sz w:val="14"/>
                <w:szCs w:val="14"/>
                <w:color w:val="auto"/>
              </w:rPr>
              <w:t>basis, Named Executive Officer</w:t>
            </w:r>
          </w:p>
        </w:tc>
        <w:tc>
          <w:tcPr>
            <w:tcW w:w="3540" w:type="dxa"/>
            <w:vAlign w:val="bottom"/>
            <w:tcBorders>
              <w:right w:val="single" w:sz="8" w:color="7F7F7F"/>
            </w:tcBorders>
            <w:vMerge w:val="continue"/>
          </w:tcPr>
          <w:p>
            <w:pPr>
              <w:spacing w:after="0"/>
              <w:rPr>
                <w:sz w:val="14"/>
                <w:szCs w:val="14"/>
                <w:color w:val="auto"/>
              </w:rPr>
            </w:pPr>
          </w:p>
        </w:tc>
        <w:tc>
          <w:tcPr>
            <w:tcW w:w="4460" w:type="dxa"/>
            <w:vAlign w:val="bottom"/>
            <w:tcBorders>
              <w:right w:val="single" w:sz="8" w:color="7F7F7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920" w:type="dxa"/>
            <w:vAlign w:val="bottom"/>
            <w:tcBorders>
              <w:left w:val="single" w:sz="8" w:color="7F7F7F"/>
              <w:right w:val="single" w:sz="8" w:color="7F7F7F"/>
            </w:tcBorders>
          </w:tcPr>
          <w:p>
            <w:pPr>
              <w:ind w:left="160"/>
              <w:spacing w:after="0"/>
              <w:rPr>
                <w:sz w:val="20"/>
                <w:szCs w:val="20"/>
                <w:color w:val="auto"/>
              </w:rPr>
            </w:pPr>
            <w:r>
              <w:rPr>
                <w:rFonts w:ascii="Arial" w:cs="Arial" w:eastAsia="Arial" w:hAnsi="Arial"/>
                <w:sz w:val="14"/>
                <w:szCs w:val="14"/>
                <w:color w:val="auto"/>
              </w:rPr>
              <w:t>compensation</w:t>
            </w:r>
          </w:p>
        </w:tc>
        <w:tc>
          <w:tcPr>
            <w:tcW w:w="3540" w:type="dxa"/>
            <w:vAlign w:val="bottom"/>
            <w:tcBorders>
              <w:right w:val="single" w:sz="8" w:color="7F7F7F"/>
            </w:tcBorders>
          </w:tcPr>
          <w:p>
            <w:pPr>
              <w:spacing w:after="0"/>
              <w:rPr>
                <w:sz w:val="16"/>
                <w:szCs w:val="16"/>
                <w:color w:val="auto"/>
              </w:rPr>
            </w:pPr>
          </w:p>
        </w:tc>
        <w:tc>
          <w:tcPr>
            <w:tcW w:w="4460" w:type="dxa"/>
            <w:vAlign w:val="bottom"/>
            <w:tcBorders>
              <w:right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920" w:type="dxa"/>
            <w:vAlign w:val="bottom"/>
            <w:tcBorders>
              <w:left w:val="single" w:sz="8" w:color="7F7F7F"/>
              <w:bottom w:val="single" w:sz="8" w:color="7F7F7F"/>
              <w:right w:val="single" w:sz="8" w:color="7F7F7F"/>
            </w:tcBorders>
          </w:tcPr>
          <w:p>
            <w:pPr>
              <w:spacing w:after="0"/>
              <w:rPr>
                <w:sz w:val="3"/>
                <w:szCs w:val="3"/>
                <w:color w:val="auto"/>
              </w:rPr>
            </w:pPr>
          </w:p>
        </w:tc>
        <w:tc>
          <w:tcPr>
            <w:tcW w:w="3540" w:type="dxa"/>
            <w:vAlign w:val="bottom"/>
            <w:tcBorders>
              <w:bottom w:val="single" w:sz="8" w:color="7F7F7F"/>
              <w:right w:val="single" w:sz="8" w:color="7F7F7F"/>
            </w:tcBorders>
          </w:tcPr>
          <w:p>
            <w:pPr>
              <w:spacing w:after="0"/>
              <w:rPr>
                <w:sz w:val="3"/>
                <w:szCs w:val="3"/>
                <w:color w:val="auto"/>
              </w:rPr>
            </w:pPr>
          </w:p>
        </w:tc>
        <w:tc>
          <w:tcPr>
            <w:tcW w:w="4460" w:type="dxa"/>
            <w:vAlign w:val="bottom"/>
            <w:tcBorders>
              <w:right w:val="single" w:sz="8" w:color="7F7F7F"/>
            </w:tcBorders>
            <w:vMerge w:val="restart"/>
          </w:tcPr>
          <w:p>
            <w:pPr>
              <w:ind w:left="200"/>
              <w:spacing w:after="0"/>
              <w:rPr>
                <w:sz w:val="20"/>
                <w:szCs w:val="20"/>
                <w:color w:val="auto"/>
              </w:rPr>
            </w:pPr>
            <w:r>
              <w:rPr>
                <w:rFonts w:ascii="Arial" w:cs="Arial" w:eastAsia="Arial" w:hAnsi="Arial"/>
                <w:sz w:val="14"/>
                <w:szCs w:val="14"/>
                <w:color w:val="auto"/>
              </w:rPr>
              <w:t>These items are approved if the number of shares voted FOR</w:t>
            </w:r>
          </w:p>
        </w:tc>
        <w:tc>
          <w:tcPr>
            <w:tcW w:w="0" w:type="dxa"/>
            <w:vAlign w:val="bottom"/>
          </w:tcPr>
          <w:p>
            <w:pPr>
              <w:spacing w:after="0"/>
              <w:rPr>
                <w:sz w:val="1"/>
                <w:szCs w:val="1"/>
                <w:color w:val="auto"/>
              </w:rPr>
            </w:pPr>
          </w:p>
        </w:tc>
      </w:tr>
      <w:tr>
        <w:trPr>
          <w:trHeight w:val="169"/>
        </w:trPr>
        <w:tc>
          <w:tcPr>
            <w:tcW w:w="2920" w:type="dxa"/>
            <w:vAlign w:val="bottom"/>
            <w:tcBorders>
              <w:left w:val="single" w:sz="8" w:color="7F7F7F"/>
              <w:right w:val="single" w:sz="8" w:color="7F7F7F"/>
            </w:tcBorders>
          </w:tcPr>
          <w:p>
            <w:pPr>
              <w:ind w:left="160"/>
              <w:spacing w:after="0"/>
              <w:rPr>
                <w:sz w:val="20"/>
                <w:szCs w:val="20"/>
                <w:color w:val="auto"/>
              </w:rPr>
            </w:pPr>
            <w:r>
              <w:rPr>
                <w:rFonts w:ascii="Arial" w:cs="Arial" w:eastAsia="Arial" w:hAnsi="Arial"/>
                <w:sz w:val="14"/>
                <w:szCs w:val="14"/>
                <w:color w:val="auto"/>
              </w:rPr>
              <w:t>Item 4: Vote to approve the 2022 Long-</w:t>
            </w:r>
          </w:p>
        </w:tc>
        <w:tc>
          <w:tcPr>
            <w:tcW w:w="3540" w:type="dxa"/>
            <w:vAlign w:val="bottom"/>
            <w:tcBorders>
              <w:right w:val="single" w:sz="8" w:color="7F7F7F"/>
            </w:tcBorders>
            <w:vMerge w:val="restart"/>
          </w:tcPr>
          <w:p>
            <w:pPr>
              <w:jc w:val="center"/>
              <w:spacing w:after="0"/>
              <w:rPr>
                <w:sz w:val="20"/>
                <w:szCs w:val="20"/>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0B2D71"/>
              </w:rPr>
              <w:t>for</w:t>
            </w:r>
          </w:p>
        </w:tc>
        <w:tc>
          <w:tcPr>
            <w:tcW w:w="4460" w:type="dxa"/>
            <w:vAlign w:val="bottom"/>
            <w:tcBorders>
              <w:right w:val="single" w:sz="8" w:color="7F7F7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20" w:type="dxa"/>
            <w:vAlign w:val="bottom"/>
            <w:tcBorders>
              <w:left w:val="single" w:sz="8" w:color="7F7F7F"/>
              <w:right w:val="single" w:sz="8" w:color="7F7F7F"/>
            </w:tcBorders>
          </w:tcPr>
          <w:p>
            <w:pPr>
              <w:ind w:left="160"/>
              <w:spacing w:after="0"/>
              <w:rPr>
                <w:sz w:val="20"/>
                <w:szCs w:val="20"/>
                <w:color w:val="auto"/>
              </w:rPr>
            </w:pPr>
            <w:r>
              <w:rPr>
                <w:rFonts w:ascii="Arial" w:cs="Arial" w:eastAsia="Arial" w:hAnsi="Arial"/>
                <w:sz w:val="14"/>
                <w:szCs w:val="14"/>
                <w:color w:val="auto"/>
              </w:rPr>
              <w:t>Term Incentive Plan of Chevron</w:t>
            </w:r>
          </w:p>
        </w:tc>
        <w:tc>
          <w:tcPr>
            <w:tcW w:w="3540" w:type="dxa"/>
            <w:vAlign w:val="bottom"/>
            <w:tcBorders>
              <w:right w:val="single" w:sz="8" w:color="7F7F7F"/>
            </w:tcBorders>
            <w:vMerge w:val="continue"/>
          </w:tcPr>
          <w:p>
            <w:pPr>
              <w:spacing w:after="0"/>
              <w:rPr>
                <w:sz w:val="15"/>
                <w:szCs w:val="15"/>
                <w:color w:val="auto"/>
              </w:rPr>
            </w:pPr>
          </w:p>
        </w:tc>
        <w:tc>
          <w:tcPr>
            <w:tcW w:w="4460" w:type="dxa"/>
            <w:vAlign w:val="bottom"/>
            <w:tcBorders>
              <w:right w:val="single" w:sz="8" w:color="7F7F7F"/>
            </w:tcBorders>
          </w:tcPr>
          <w:p>
            <w:pPr>
              <w:ind w:left="200"/>
              <w:spacing w:after="0"/>
              <w:rPr>
                <w:sz w:val="20"/>
                <w:szCs w:val="20"/>
                <w:color w:val="auto"/>
              </w:rPr>
            </w:pPr>
            <w:r>
              <w:rPr>
                <w:rFonts w:ascii="Arial" w:cs="Arial" w:eastAsia="Arial" w:hAnsi="Arial"/>
                <w:sz w:val="14"/>
                <w:szCs w:val="14"/>
                <w:color w:val="auto"/>
              </w:rPr>
              <w:t>exceeds the number of shares voted AGAINST.</w:t>
            </w:r>
          </w:p>
        </w:tc>
        <w:tc>
          <w:tcPr>
            <w:tcW w:w="0" w:type="dxa"/>
            <w:vAlign w:val="bottom"/>
          </w:tcPr>
          <w:p>
            <w:pPr>
              <w:spacing w:after="0"/>
              <w:rPr>
                <w:sz w:val="1"/>
                <w:szCs w:val="1"/>
                <w:color w:val="auto"/>
              </w:rPr>
            </w:pPr>
          </w:p>
        </w:tc>
      </w:tr>
      <w:tr>
        <w:trPr>
          <w:trHeight w:val="190"/>
        </w:trPr>
        <w:tc>
          <w:tcPr>
            <w:tcW w:w="2920" w:type="dxa"/>
            <w:vAlign w:val="bottom"/>
            <w:tcBorders>
              <w:left w:val="single" w:sz="8" w:color="7F7F7F"/>
              <w:right w:val="single" w:sz="8" w:color="7F7F7F"/>
            </w:tcBorders>
          </w:tcPr>
          <w:p>
            <w:pPr>
              <w:ind w:left="160"/>
              <w:spacing w:after="0"/>
              <w:rPr>
                <w:sz w:val="20"/>
                <w:szCs w:val="20"/>
                <w:color w:val="auto"/>
              </w:rPr>
            </w:pPr>
            <w:r>
              <w:rPr>
                <w:rFonts w:ascii="Arial" w:cs="Arial" w:eastAsia="Arial" w:hAnsi="Arial"/>
                <w:sz w:val="14"/>
                <w:szCs w:val="14"/>
                <w:color w:val="auto"/>
              </w:rPr>
              <w:t>Corporation</w:t>
            </w:r>
          </w:p>
        </w:tc>
        <w:tc>
          <w:tcPr>
            <w:tcW w:w="3540" w:type="dxa"/>
            <w:vAlign w:val="bottom"/>
            <w:tcBorders>
              <w:right w:val="single" w:sz="8" w:color="7F7F7F"/>
            </w:tcBorders>
          </w:tcPr>
          <w:p>
            <w:pPr>
              <w:spacing w:after="0"/>
              <w:rPr>
                <w:sz w:val="16"/>
                <w:szCs w:val="16"/>
                <w:color w:val="auto"/>
              </w:rPr>
            </w:pPr>
          </w:p>
        </w:tc>
        <w:tc>
          <w:tcPr>
            <w:tcW w:w="4460" w:type="dxa"/>
            <w:vAlign w:val="bottom"/>
            <w:tcBorders>
              <w:right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920" w:type="dxa"/>
            <w:vAlign w:val="bottom"/>
            <w:tcBorders>
              <w:left w:val="single" w:sz="8" w:color="7F7F7F"/>
              <w:bottom w:val="single" w:sz="8" w:color="7F7F7F"/>
              <w:right w:val="single" w:sz="8" w:color="7F7F7F"/>
            </w:tcBorders>
          </w:tcPr>
          <w:p>
            <w:pPr>
              <w:spacing w:after="0"/>
              <w:rPr>
                <w:sz w:val="3"/>
                <w:szCs w:val="3"/>
                <w:color w:val="auto"/>
              </w:rPr>
            </w:pPr>
          </w:p>
        </w:tc>
        <w:tc>
          <w:tcPr>
            <w:tcW w:w="3540" w:type="dxa"/>
            <w:vAlign w:val="bottom"/>
            <w:tcBorders>
              <w:bottom w:val="single" w:sz="8" w:color="7F7F7F"/>
              <w:right w:val="single" w:sz="8" w:color="7F7F7F"/>
            </w:tcBorders>
          </w:tcPr>
          <w:p>
            <w:pPr>
              <w:spacing w:after="0"/>
              <w:rPr>
                <w:sz w:val="3"/>
                <w:szCs w:val="3"/>
                <w:color w:val="auto"/>
              </w:rPr>
            </w:pPr>
          </w:p>
        </w:tc>
        <w:tc>
          <w:tcPr>
            <w:tcW w:w="4460" w:type="dxa"/>
            <w:vAlign w:val="bottom"/>
            <w:tcBorders>
              <w:right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920" w:type="dxa"/>
            <w:vAlign w:val="bottom"/>
            <w:tcBorders>
              <w:left w:val="single" w:sz="8" w:color="7F7F7F"/>
              <w:right w:val="single" w:sz="8" w:color="7F7F7F"/>
            </w:tcBorders>
          </w:tcPr>
          <w:p>
            <w:pPr>
              <w:ind w:left="160"/>
              <w:spacing w:after="0"/>
              <w:rPr>
                <w:sz w:val="20"/>
                <w:szCs w:val="20"/>
                <w:color w:val="auto"/>
              </w:rPr>
            </w:pPr>
            <w:r>
              <w:rPr>
                <w:rFonts w:ascii="Arial" w:cs="Arial" w:eastAsia="Arial" w:hAnsi="Arial"/>
                <w:sz w:val="14"/>
                <w:szCs w:val="14"/>
                <w:color w:val="auto"/>
              </w:rPr>
              <w:t>Items 5–10: Vote on six stockholder</w:t>
            </w:r>
          </w:p>
        </w:tc>
        <w:tc>
          <w:tcPr>
            <w:tcW w:w="3540" w:type="dxa"/>
            <w:vAlign w:val="bottom"/>
            <w:tcBorders>
              <w:right w:val="single" w:sz="8" w:color="7F7F7F"/>
            </w:tcBorders>
          </w:tcPr>
          <w:p>
            <w:pPr>
              <w:jc w:val="center"/>
              <w:spacing w:after="0" w:line="183" w:lineRule="exact"/>
              <w:rPr>
                <w:sz w:val="20"/>
                <w:szCs w:val="20"/>
                <w:color w:val="auto"/>
              </w:rPr>
            </w:pPr>
            <w:r>
              <w:rPr>
                <w:rFonts w:ascii="Arial" w:cs="Arial" w:eastAsia="Arial" w:hAnsi="Arial"/>
                <w:sz w:val="16"/>
                <w:szCs w:val="16"/>
                <w:color w:val="auto"/>
                <w:w w:val="99"/>
              </w:rPr>
              <w:t xml:space="preserve">Vote </w:t>
            </w:r>
            <w:r>
              <w:rPr>
                <w:rFonts w:ascii="Arial" w:cs="Arial" w:eastAsia="Arial" w:hAnsi="Arial"/>
                <w:sz w:val="16"/>
                <w:szCs w:val="16"/>
                <w:b w:val="1"/>
                <w:bCs w:val="1"/>
                <w:color w:val="0B2D71"/>
                <w:w w:val="99"/>
              </w:rPr>
              <w:t>against</w:t>
            </w:r>
            <w:r>
              <w:rPr>
                <w:rFonts w:ascii="Arial" w:cs="Arial" w:eastAsia="Arial" w:hAnsi="Arial"/>
                <w:sz w:val="16"/>
                <w:szCs w:val="16"/>
                <w:color w:val="auto"/>
                <w:w w:val="99"/>
              </w:rPr>
              <w:t xml:space="preserve"> items</w:t>
            </w:r>
          </w:p>
        </w:tc>
        <w:tc>
          <w:tcPr>
            <w:tcW w:w="4460" w:type="dxa"/>
            <w:vAlign w:val="bottom"/>
            <w:tcBorders>
              <w:right w:val="single" w:sz="8" w:color="7F7F7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20" w:type="dxa"/>
            <w:vAlign w:val="bottom"/>
            <w:tcBorders>
              <w:left w:val="single" w:sz="8" w:color="7F7F7F"/>
              <w:right w:val="single" w:sz="8" w:color="7F7F7F"/>
            </w:tcBorders>
          </w:tcPr>
          <w:p>
            <w:pPr>
              <w:ind w:left="160"/>
              <w:spacing w:after="0"/>
              <w:rPr>
                <w:sz w:val="20"/>
                <w:szCs w:val="20"/>
                <w:color w:val="auto"/>
              </w:rPr>
            </w:pPr>
            <w:r>
              <w:rPr>
                <w:rFonts w:ascii="Arial" w:cs="Arial" w:eastAsia="Arial" w:hAnsi="Arial"/>
                <w:sz w:val="14"/>
                <w:szCs w:val="14"/>
                <w:color w:val="auto"/>
              </w:rPr>
              <w:t>proposals, if properly presented</w:t>
            </w:r>
          </w:p>
        </w:tc>
        <w:tc>
          <w:tcPr>
            <w:tcW w:w="3540" w:type="dxa"/>
            <w:vAlign w:val="bottom"/>
            <w:tcBorders>
              <w:right w:val="single" w:sz="8" w:color="7F7F7F"/>
            </w:tcBorders>
            <w:vMerge w:val="restart"/>
          </w:tcPr>
          <w:p>
            <w:pPr>
              <w:jc w:val="center"/>
              <w:spacing w:after="0"/>
              <w:rPr>
                <w:sz w:val="20"/>
                <w:szCs w:val="20"/>
                <w:color w:val="auto"/>
              </w:rPr>
            </w:pPr>
            <w:r>
              <w:rPr>
                <w:rFonts w:ascii="Arial" w:cs="Arial" w:eastAsia="Arial" w:hAnsi="Arial"/>
                <w:sz w:val="16"/>
                <w:szCs w:val="16"/>
                <w:color w:val="auto"/>
              </w:rPr>
              <w:t>5, 6, and 8-10</w:t>
            </w:r>
          </w:p>
        </w:tc>
        <w:tc>
          <w:tcPr>
            <w:tcW w:w="4460" w:type="dxa"/>
            <w:vAlign w:val="bottom"/>
            <w:tcBorders>
              <w:right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920" w:type="dxa"/>
            <w:vAlign w:val="bottom"/>
            <w:tcBorders>
              <w:left w:val="single" w:sz="8" w:color="7F7F7F"/>
              <w:right w:val="single" w:sz="8" w:color="7F7F7F"/>
            </w:tcBorders>
          </w:tcPr>
          <w:p>
            <w:pPr>
              <w:spacing w:after="0"/>
              <w:rPr>
                <w:sz w:val="14"/>
                <w:szCs w:val="14"/>
                <w:color w:val="auto"/>
              </w:rPr>
            </w:pPr>
          </w:p>
        </w:tc>
        <w:tc>
          <w:tcPr>
            <w:tcW w:w="3540" w:type="dxa"/>
            <w:vAlign w:val="bottom"/>
            <w:tcBorders>
              <w:right w:val="single" w:sz="8" w:color="7F7F7F"/>
            </w:tcBorders>
            <w:vMerge w:val="continue"/>
          </w:tcPr>
          <w:p>
            <w:pPr>
              <w:spacing w:after="0"/>
              <w:rPr>
                <w:sz w:val="14"/>
                <w:szCs w:val="14"/>
                <w:color w:val="auto"/>
              </w:rPr>
            </w:pPr>
          </w:p>
        </w:tc>
        <w:tc>
          <w:tcPr>
            <w:tcW w:w="4460" w:type="dxa"/>
            <w:vAlign w:val="bottom"/>
            <w:tcBorders>
              <w:right w:val="single" w:sz="8" w:color="7F7F7F"/>
            </w:tcBorders>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2920" w:type="dxa"/>
            <w:vAlign w:val="bottom"/>
            <w:tcBorders>
              <w:left w:val="single" w:sz="8" w:color="7F7F7F"/>
              <w:right w:val="single" w:sz="8" w:color="7F7F7F"/>
            </w:tcBorders>
          </w:tcPr>
          <w:p>
            <w:pPr>
              <w:spacing w:after="0"/>
              <w:rPr>
                <w:sz w:val="24"/>
                <w:szCs w:val="24"/>
                <w:color w:val="auto"/>
              </w:rPr>
            </w:pPr>
          </w:p>
        </w:tc>
        <w:tc>
          <w:tcPr>
            <w:tcW w:w="3540" w:type="dxa"/>
            <w:vAlign w:val="bottom"/>
            <w:tcBorders>
              <w:right w:val="single" w:sz="8" w:color="7F7F7F"/>
            </w:tcBorders>
          </w:tcPr>
          <w:p>
            <w:pPr>
              <w:jc w:val="center"/>
              <w:spacing w:after="0"/>
              <w:rPr>
                <w:sz w:val="20"/>
                <w:szCs w:val="20"/>
                <w:color w:val="auto"/>
              </w:rPr>
            </w:pPr>
            <w:r>
              <w:rPr>
                <w:rFonts w:ascii="Arial" w:cs="Arial" w:eastAsia="Arial" w:hAnsi="Arial"/>
                <w:sz w:val="16"/>
                <w:szCs w:val="16"/>
                <w:color w:val="auto"/>
                <w:w w:val="99"/>
              </w:rPr>
              <w:t xml:space="preserve">and </w:t>
            </w:r>
            <w:r>
              <w:rPr>
                <w:rFonts w:ascii="Arial" w:cs="Arial" w:eastAsia="Arial" w:hAnsi="Arial"/>
                <w:sz w:val="16"/>
                <w:szCs w:val="16"/>
                <w:b w:val="1"/>
                <w:bCs w:val="1"/>
                <w:color w:val="0B2D71"/>
                <w:w w:val="99"/>
              </w:rPr>
              <w:t>for</w:t>
            </w:r>
            <w:r>
              <w:rPr>
                <w:rFonts w:ascii="Arial" w:cs="Arial" w:eastAsia="Arial" w:hAnsi="Arial"/>
                <w:sz w:val="16"/>
                <w:szCs w:val="16"/>
                <w:color w:val="auto"/>
                <w:w w:val="99"/>
              </w:rPr>
              <w:t xml:space="preserve"> item 7</w:t>
            </w:r>
          </w:p>
        </w:tc>
        <w:tc>
          <w:tcPr>
            <w:tcW w:w="4460" w:type="dxa"/>
            <w:vAlign w:val="bottom"/>
            <w:tcBorders>
              <w:right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920" w:type="dxa"/>
            <w:vAlign w:val="bottom"/>
            <w:tcBorders>
              <w:left w:val="single" w:sz="8" w:color="7F7F7F"/>
              <w:bottom w:val="single" w:sz="8" w:color="7F7F7F"/>
              <w:right w:val="single" w:sz="8" w:color="7F7F7F"/>
            </w:tcBorders>
          </w:tcPr>
          <w:p>
            <w:pPr>
              <w:spacing w:after="0"/>
              <w:rPr>
                <w:sz w:val="6"/>
                <w:szCs w:val="6"/>
                <w:color w:val="auto"/>
              </w:rPr>
            </w:pPr>
          </w:p>
        </w:tc>
        <w:tc>
          <w:tcPr>
            <w:tcW w:w="3540" w:type="dxa"/>
            <w:vAlign w:val="bottom"/>
            <w:tcBorders>
              <w:bottom w:val="single" w:sz="8" w:color="7F7F7F"/>
              <w:right w:val="single" w:sz="8" w:color="7F7F7F"/>
            </w:tcBorders>
          </w:tcPr>
          <w:p>
            <w:pPr>
              <w:spacing w:after="0"/>
              <w:rPr>
                <w:sz w:val="6"/>
                <w:szCs w:val="6"/>
                <w:color w:val="auto"/>
              </w:rPr>
            </w:pPr>
          </w:p>
        </w:tc>
        <w:tc>
          <w:tcPr>
            <w:tcW w:w="4460" w:type="dxa"/>
            <w:vAlign w:val="bottom"/>
            <w:tcBorders>
              <w:bottom w:val="single" w:sz="8" w:color="7F7F7F"/>
              <w:right w:val="single" w:sz="8" w:color="7F7F7F"/>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If you are a street name stockholder (i.e., you own your shares through a bank, broker, or other holder of record) and do not vote your shares, your bank, broker, or other holder of record may, but is not required to, vote your shares at its discretion ONLY on Item 2. If you do not give your bank, broker, or other holder of record instructions on how to vote your shares on Item 1 or Items 3 through 10, your shares will not be voted on those matters. If you have shares in an employee stock or retirement benefit plan and do not vote those shares, the plan trustee or fiduciary may or may not vote your shares, in accordance with the terms of the plan. Any shares not voted on Items 1 through 10 (whether by abstention, broker nonvote, or otherwise) will have no impact on that particular item. We urge you to promptly provide voting instructions to your broker to ensure that your shares are voted on all of the items, even if you plan to attend the Annual Meeting.</w:t>
      </w:r>
    </w:p>
    <w:p>
      <w:pPr>
        <w:spacing w:after="0" w:line="73"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We are not aware of any matters that are expected to be presented for a vote at the Annual Meeting other than those described above. If any other matter is properly brought before the Annual Meeting by or at the direction of the Board, the proxy holders identified in the “Voting and Additional Information– Appointment of Proxy Holders” section of this Proxy Statement intend to vote the proxies in accordance with their best judgment. When conducting the Annual Meeting, the Chair or his designee may refuse to allow a vote on any matter not made in compliance with our By-Laws and the procedures described in the “Voting and Additional Information–Submission of Stockholder Proposals for 2022 Annual Meeting” section of the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22371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38" w:lineRule="exact"/>
        <w:rPr>
          <w:sz w:val="20"/>
          <w:szCs w:val="20"/>
          <w:color w:val="auto"/>
        </w:rPr>
      </w:pPr>
    </w:p>
    <w:p>
      <w:pPr>
        <w:ind w:left="240" w:right="60" w:hanging="124"/>
        <w:spacing w:after="0" w:line="213" w:lineRule="auto"/>
        <w:tabs>
          <w:tab w:leader="none" w:pos="240" w:val="left"/>
        </w:tabs>
        <w:numPr>
          <w:ilvl w:val="0"/>
          <w:numId w:val="8"/>
        </w:numPr>
        <w:rPr>
          <w:rFonts w:ascii="Arial" w:cs="Arial" w:eastAsia="Arial" w:hAnsi="Arial"/>
          <w:sz w:val="24"/>
          <w:szCs w:val="24"/>
          <w:color w:val="auto"/>
          <w:vertAlign w:val="superscript"/>
        </w:rPr>
      </w:pPr>
      <w:r>
        <w:rPr>
          <w:rFonts w:ascii="Arial" w:cs="Arial" w:eastAsia="Arial" w:hAnsi="Arial"/>
          <w:sz w:val="14"/>
          <w:szCs w:val="14"/>
          <w:color w:val="auto"/>
        </w:rPr>
        <w:t>As used in this Proxy Statement, the term “Chevron” and such terms as “the Company,” “the Corporation,” “our,” “we,” “us” and “its” may refer to Chevron Corporation, one or more of its consolidated subsidiaries, or all of them taken as a whole, but unless stated otherwise they do not include “affiliates” of Chevron — i.e., those companies accounted for by the equity method (generally owned 50% or less) or non-equity method investments. All of these terms are used for convenience only and are not intended as a precise description of any of the separate companies, each of which manages its own affairs.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1</w:t>
      </w:r>
    </w:p>
    <w:p>
      <w:pPr>
        <w:sectPr>
          <w:pgSz w:w="11900" w:h="16838" w:orient="portrait"/>
          <w:cols w:equalWidth="0" w:num="1">
            <w:col w:w="11120"/>
          </w:cols>
          <w:pgMar w:left="320" w:top="455" w:right="4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0B2D71"/>
        </w:rPr>
        <w:t>Election of directors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0B2D71"/>
        </w:rPr>
        <w:t>(Item 1 on the proxy card)</w:t>
      </w:r>
    </w:p>
    <w:p>
      <w:pPr>
        <w:spacing w:after="0" w:line="128"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The Board Nominating and Governance Committee (the “Governance Committee”) recommended, and the Board set, a current Board size of 12 Directors. Each of the nominees is a current Director and was previously elected at Chevron’s 2021 Annual Meeting of Stockholders. Directors are elected annually and serve for a one-year term or until their successors are elected. If any nominee is unable to serve as a Director–a circumstance we do not anticipate–the Board by resolution may reduce the number of Directors or choose a substitute. Your Board has determined that each non-employee Director is independent in accordance with the New York Stock Exchange (“NYSE”) Corporate Governance Standards and has no material relationship with Chevron other than as a Director.</w:t>
      </w:r>
    </w:p>
    <w:p>
      <w:pPr>
        <w:spacing w:after="0" w:line="58"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0B2D71"/>
        </w:rPr>
        <w:t>Director election requirements</w:t>
      </w:r>
    </w:p>
    <w:p>
      <w:pPr>
        <w:sectPr>
          <w:pgSz w:w="11900" w:h="16838" w:orient="portrait"/>
          <w:cols w:equalWidth="0" w:num="1">
            <w:col w:w="11100"/>
          </w:cols>
          <w:pgMar w:left="320" w:top="455" w:right="479" w:bottom="1440" w:gutter="0" w:footer="0" w:header="0"/>
        </w:sectPr>
      </w:pPr>
    </w:p>
    <w:p>
      <w:pPr>
        <w:spacing w:after="0" w:line="202"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Each Director nominee who receives a majority of the votes cast (i.e., the number of shares voted FOR a Director nominee must exceed the number of shares voted AGAINST that Director nominee, excluding abstentions) will be elected a Director in an uncontested election.</w:t>
      </w:r>
    </w:p>
    <w:p>
      <w:pPr>
        <w:spacing w:after="0" w:line="70"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color w:val="auto"/>
        </w:rPr>
        <w:t>Under Chevron’s By-Laws, in an uncontested election, any Director nominated for re-election who receives more AGAINST votes than FOR votes must submit an offer of</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resignation to the Board. The Governance Committee must then consider all relevant facts and circumstances, including the Director’s qualifications, past and expected future contributions, the overall composition of the Board, and whether Chevron would meet regulatory or similar requirements without the Director, and make a recommendation to the Board on the action to take with respect to the offer of resignation.</w:t>
      </w:r>
    </w:p>
    <w:p>
      <w:pPr>
        <w:spacing w:after="0" w:line="507" w:lineRule="exact"/>
        <w:rPr>
          <w:sz w:val="20"/>
          <w:szCs w:val="20"/>
          <w:color w:val="auto"/>
        </w:rPr>
      </w:pPr>
    </w:p>
    <w:p>
      <w:pPr>
        <w:sectPr>
          <w:pgSz w:w="11900" w:h="16838" w:orient="portrait"/>
          <w:cols w:equalWidth="0" w:num="2">
            <w:col w:w="5360" w:space="380"/>
            <w:col w:w="5360"/>
          </w:cols>
          <w:pgMar w:left="320" w:top="455" w:right="479" w:bottom="1440" w:gutter="0" w:footer="0" w:header="0"/>
          <w:type w:val="continuous"/>
        </w:sectPr>
      </w:pP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0B2D71"/>
        </w:rPr>
        <w:t>Director qualifications and nomination processes</w:t>
      </w:r>
    </w:p>
    <w:p>
      <w:pPr>
        <w:sectPr>
          <w:pgSz w:w="11900" w:h="16838" w:orient="portrait"/>
          <w:cols w:equalWidth="0" w:num="1">
            <w:col w:w="11100"/>
          </w:cols>
          <w:pgMar w:left="320" w:top="455" w:right="479" w:bottom="1440" w:gutter="0" w:footer="0" w:header="0"/>
          <w:type w:val="continuous"/>
        </w:sectPr>
      </w:pPr>
    </w:p>
    <w:p>
      <w:pPr>
        <w:spacing w:after="0" w:line="202"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The Governance Committee is responsible for recommending to the Board the qualifications for Board membership and for identifying, assessing, and recommending qualified Director candidates for the Board’s consideration. The Board membership qualifications and nomination procedures are set forth in Chevron’s Corporate Governance Guidelines, which are available on our website at www.chevron.com/investors/corporate-governance.</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All Directors should have the following attributes:</w:t>
      </w:r>
    </w:p>
    <w:p>
      <w:pPr>
        <w:spacing w:after="0" w:line="86" w:lineRule="exact"/>
        <w:rPr>
          <w:sz w:val="20"/>
          <w:szCs w:val="20"/>
          <w:color w:val="auto"/>
        </w:rPr>
      </w:pPr>
    </w:p>
    <w:p>
      <w:pPr>
        <w:ind w:left="380" w:right="60" w:hanging="183"/>
        <w:spacing w:after="0" w:line="259"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highest professional and personal ethics and values, consistent with The Chevron Way and our Business Conduct and Ethics Code, both of which are available on Chevron’s website at www.chevron.com;</w:t>
      </w:r>
    </w:p>
    <w:p>
      <w:pPr>
        <w:spacing w:after="0" w:line="42" w:lineRule="exact"/>
        <w:rPr>
          <w:rFonts w:ascii="Arial" w:cs="Arial" w:eastAsia="Arial" w:hAnsi="Arial"/>
          <w:sz w:val="16"/>
          <w:szCs w:val="16"/>
          <w:color w:val="auto"/>
        </w:rPr>
      </w:pPr>
    </w:p>
    <w:p>
      <w:pPr>
        <w:ind w:left="380" w:hanging="183"/>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commitment to building stockholder value;</w:t>
      </w:r>
    </w:p>
    <w:p>
      <w:pPr>
        <w:spacing w:after="0" w:line="86" w:lineRule="exact"/>
        <w:rPr>
          <w:rFonts w:ascii="Arial" w:cs="Arial" w:eastAsia="Arial" w:hAnsi="Arial"/>
          <w:sz w:val="16"/>
          <w:szCs w:val="16"/>
          <w:color w:val="auto"/>
        </w:rPr>
      </w:pPr>
    </w:p>
    <w:p>
      <w:pPr>
        <w:ind w:left="380" w:right="40" w:hanging="183"/>
        <w:spacing w:after="0" w:line="266"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Business acumen and broad experience and expertise at the policy-making level in one or more of the skills, qualifications, and experiences delineated below;</w:t>
      </w:r>
    </w:p>
    <w:p>
      <w:pPr>
        <w:spacing w:after="0" w:line="36" w:lineRule="exact"/>
        <w:rPr>
          <w:rFonts w:ascii="Arial" w:cs="Arial" w:eastAsia="Arial" w:hAnsi="Arial"/>
          <w:sz w:val="16"/>
          <w:szCs w:val="16"/>
          <w:color w:val="auto"/>
        </w:rPr>
      </w:pPr>
    </w:p>
    <w:p>
      <w:pPr>
        <w:ind w:left="380" w:right="280" w:hanging="183"/>
        <w:spacing w:after="0" w:line="286"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ability to provide insights and practical wisdom based on the individual’s experience or expertise;</w:t>
      </w:r>
    </w:p>
    <w:p>
      <w:pPr>
        <w:spacing w:after="0" w:line="20" w:lineRule="exact"/>
        <w:rPr>
          <w:rFonts w:ascii="Arial" w:cs="Arial" w:eastAsia="Arial" w:hAnsi="Arial"/>
          <w:sz w:val="16"/>
          <w:szCs w:val="16"/>
          <w:color w:val="auto"/>
        </w:rPr>
      </w:pPr>
    </w:p>
    <w:p>
      <w:pPr>
        <w:ind w:left="380" w:hanging="183"/>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Sufficient time to effectively carry out duties as a Director; and</w:t>
      </w:r>
    </w:p>
    <w:p>
      <w:pPr>
        <w:spacing w:after="0" w:line="86" w:lineRule="exact"/>
        <w:rPr>
          <w:rFonts w:ascii="Arial" w:cs="Arial" w:eastAsia="Arial" w:hAnsi="Arial"/>
          <w:sz w:val="16"/>
          <w:szCs w:val="16"/>
          <w:color w:val="auto"/>
        </w:rPr>
      </w:pPr>
    </w:p>
    <w:p>
      <w:pPr>
        <w:ind w:left="380" w:right="460" w:hanging="183"/>
        <w:spacing w:after="0" w:line="266"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Independence (at least a majority of the Board must consist of independent Directors, as defined by the NYSE Corporate Governance Standards).</w:t>
      </w:r>
    </w:p>
    <w:p>
      <w:pPr>
        <w:spacing w:after="0" w:line="63" w:lineRule="exact"/>
        <w:rPr>
          <w:sz w:val="20"/>
          <w:szCs w:val="20"/>
          <w:color w:val="auto"/>
        </w:rPr>
      </w:pPr>
    </w:p>
    <w:p>
      <w:pPr>
        <w:ind w:left="120" w:right="360"/>
        <w:spacing w:after="0" w:line="271" w:lineRule="auto"/>
        <w:rPr>
          <w:sz w:val="20"/>
          <w:szCs w:val="20"/>
          <w:color w:val="auto"/>
        </w:rPr>
      </w:pPr>
      <w:r>
        <w:rPr>
          <w:rFonts w:ascii="Arial" w:cs="Arial" w:eastAsia="Arial" w:hAnsi="Arial"/>
          <w:sz w:val="16"/>
          <w:szCs w:val="16"/>
          <w:b w:val="1"/>
          <w:bCs w:val="1"/>
          <w:color w:val="auto"/>
        </w:rPr>
        <w:t>When conducting its review of the appropriate skills and qualifications desired of Directors, the Governance Committee particularly considers:</w:t>
      </w:r>
    </w:p>
    <w:p>
      <w:pPr>
        <w:spacing w:after="0" w:line="25" w:lineRule="exact"/>
        <w:rPr>
          <w:sz w:val="20"/>
          <w:szCs w:val="20"/>
          <w:color w:val="auto"/>
        </w:rPr>
      </w:pPr>
    </w:p>
    <w:p>
      <w:pPr>
        <w:ind w:left="380" w:right="440" w:hanging="183"/>
        <w:spacing w:after="0" w:line="286" w:lineRule="auto"/>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Leadership experience in business as a chief executive officer, senior executive, or leader of significant business operations;</w:t>
      </w:r>
    </w:p>
    <w:p>
      <w:pPr>
        <w:spacing w:after="0" w:line="20" w:lineRule="exact"/>
        <w:rPr>
          <w:rFonts w:ascii="Arial" w:cs="Arial" w:eastAsia="Arial" w:hAnsi="Arial"/>
          <w:sz w:val="16"/>
          <w:szCs w:val="16"/>
          <w:color w:val="auto"/>
        </w:rPr>
      </w:pPr>
    </w:p>
    <w:p>
      <w:pPr>
        <w:ind w:left="380" w:right="720" w:hanging="183"/>
        <w:spacing w:after="0" w:line="286" w:lineRule="auto"/>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Expertise in science, technology, engineering, research, or academia;</w:t>
      </w:r>
    </w:p>
    <w:p>
      <w:pPr>
        <w:spacing w:after="0" w:line="20" w:lineRule="exact"/>
        <w:rPr>
          <w:rFonts w:ascii="Arial" w:cs="Arial" w:eastAsia="Arial" w:hAnsi="Arial"/>
          <w:sz w:val="16"/>
          <w:szCs w:val="16"/>
          <w:color w:val="auto"/>
        </w:rPr>
      </w:pPr>
    </w:p>
    <w:p>
      <w:pPr>
        <w:ind w:left="380" w:right="260" w:hanging="183"/>
        <w:spacing w:after="0" w:line="286" w:lineRule="auto"/>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Extensive knowledge of governmental, regulatory, legal, or public policy issues;</w:t>
      </w:r>
    </w:p>
    <w:p>
      <w:pPr>
        <w:spacing w:after="0" w:line="20" w:lineRule="exact"/>
        <w:rPr>
          <w:rFonts w:ascii="Arial" w:cs="Arial" w:eastAsia="Arial" w:hAnsi="Arial"/>
          <w:sz w:val="16"/>
          <w:szCs w:val="16"/>
          <w:color w:val="auto"/>
        </w:rPr>
      </w:pPr>
    </w:p>
    <w:p>
      <w:pPr>
        <w:ind w:left="380" w:hanging="183"/>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Expertise in finance, financial disclosure, or financial accounting;</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260" w:hanging="185"/>
        <w:spacing w:after="0"/>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Experience in global business or international affairs;</w:t>
      </w:r>
    </w:p>
    <w:p>
      <w:pPr>
        <w:spacing w:after="0" w:line="86" w:lineRule="exact"/>
        <w:rPr>
          <w:rFonts w:ascii="Arial" w:cs="Arial" w:eastAsia="Arial" w:hAnsi="Arial"/>
          <w:sz w:val="16"/>
          <w:szCs w:val="16"/>
          <w:color w:val="auto"/>
        </w:rPr>
      </w:pPr>
    </w:p>
    <w:p>
      <w:pPr>
        <w:ind w:left="260" w:right="180" w:hanging="185"/>
        <w:spacing w:after="0" w:line="286" w:lineRule="auto"/>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Experience in environmental affairs (including with respect to climate change issues);</w:t>
      </w:r>
    </w:p>
    <w:p>
      <w:pPr>
        <w:spacing w:after="0" w:line="20" w:lineRule="exact"/>
        <w:rPr>
          <w:rFonts w:ascii="Arial" w:cs="Arial" w:eastAsia="Arial" w:hAnsi="Arial"/>
          <w:sz w:val="16"/>
          <w:szCs w:val="16"/>
          <w:color w:val="auto"/>
        </w:rPr>
      </w:pPr>
    </w:p>
    <w:p>
      <w:pPr>
        <w:ind w:left="260" w:hanging="185"/>
        <w:spacing w:after="0"/>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Experience in leading business transformation;</w:t>
      </w:r>
    </w:p>
    <w:p>
      <w:pPr>
        <w:spacing w:after="0" w:line="86" w:lineRule="exact"/>
        <w:rPr>
          <w:rFonts w:ascii="Arial" w:cs="Arial" w:eastAsia="Arial" w:hAnsi="Arial"/>
          <w:sz w:val="16"/>
          <w:szCs w:val="16"/>
          <w:color w:val="auto"/>
        </w:rPr>
      </w:pPr>
    </w:p>
    <w:p>
      <w:pPr>
        <w:ind w:left="260" w:hanging="185"/>
        <w:spacing w:after="0"/>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Service as a public company director;</w:t>
      </w:r>
    </w:p>
    <w:p>
      <w:pPr>
        <w:spacing w:after="0" w:line="86" w:lineRule="exact"/>
        <w:rPr>
          <w:rFonts w:ascii="Arial" w:cs="Arial" w:eastAsia="Arial" w:hAnsi="Arial"/>
          <w:sz w:val="16"/>
          <w:szCs w:val="16"/>
          <w:color w:val="auto"/>
        </w:rPr>
      </w:pPr>
    </w:p>
    <w:p>
      <w:pPr>
        <w:ind w:left="260" w:hanging="185"/>
        <w:spacing w:after="0"/>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Diversity of age, gender, and ethnicity; and</w:t>
      </w:r>
    </w:p>
    <w:p>
      <w:pPr>
        <w:spacing w:after="0" w:line="86" w:lineRule="exact"/>
        <w:rPr>
          <w:rFonts w:ascii="Arial" w:cs="Arial" w:eastAsia="Arial" w:hAnsi="Arial"/>
          <w:sz w:val="16"/>
          <w:szCs w:val="16"/>
          <w:color w:val="auto"/>
        </w:rPr>
      </w:pPr>
    </w:p>
    <w:p>
      <w:pPr>
        <w:ind w:left="260" w:right="100" w:hanging="185"/>
        <w:spacing w:after="0" w:line="259" w:lineRule="auto"/>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Such other factors as the Governance Committee deems appropriate, given the current and anticipated needs of the Board and the Company, to maintain a balance of knowledge, experience, background, and capability.</w:t>
      </w:r>
    </w:p>
    <w:p>
      <w:pPr>
        <w:spacing w:after="0" w:line="70"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b w:val="1"/>
          <w:bCs w:val="1"/>
          <w:color w:val="auto"/>
        </w:rPr>
        <w:t>In addition, Directors should limit their other board memberships to a number that permits them, given their individual circumstances, to perform all of their Director duties:</w:t>
      </w:r>
    </w:p>
    <w:p>
      <w:pPr>
        <w:spacing w:after="0" w:line="25" w:lineRule="exact"/>
        <w:rPr>
          <w:sz w:val="20"/>
          <w:szCs w:val="20"/>
          <w:color w:val="auto"/>
        </w:rPr>
      </w:pPr>
    </w:p>
    <w:p>
      <w:pPr>
        <w:ind w:left="320" w:right="300" w:hanging="191"/>
        <w:spacing w:after="0" w:line="286" w:lineRule="auto"/>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Director should not serve on the board of more than five publicly traded companies;</w:t>
      </w:r>
    </w:p>
    <w:p>
      <w:pPr>
        <w:spacing w:after="0" w:line="20" w:lineRule="exact"/>
        <w:rPr>
          <w:rFonts w:ascii="Arial" w:cs="Arial" w:eastAsia="Arial" w:hAnsi="Arial"/>
          <w:sz w:val="16"/>
          <w:szCs w:val="16"/>
          <w:color w:val="auto"/>
        </w:rPr>
      </w:pPr>
    </w:p>
    <w:p>
      <w:pPr>
        <w:ind w:left="320" w:right="100" w:hanging="191"/>
        <w:spacing w:after="0" w:line="259" w:lineRule="auto"/>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Director who serves as a board Chair or Lead Director of a publicly traded company should not serve on the boards of more than four publicly traded companies (including the board of the company for which the Director is board Chair or Lead Director); and</w:t>
      </w:r>
    </w:p>
    <w:p>
      <w:pPr>
        <w:spacing w:after="0" w:line="42" w:lineRule="exact"/>
        <w:rPr>
          <w:rFonts w:ascii="Arial" w:cs="Arial" w:eastAsia="Arial" w:hAnsi="Arial"/>
          <w:sz w:val="16"/>
          <w:szCs w:val="16"/>
          <w:color w:val="auto"/>
        </w:rPr>
      </w:pPr>
    </w:p>
    <w:p>
      <w:pPr>
        <w:ind w:left="320" w:right="20" w:hanging="191"/>
        <w:spacing w:after="0" w:line="259" w:lineRule="auto"/>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Director who serves as a Chief Executive Officer of a publicly traded company should not serve on the boards of more than three publicly traded companies (including the company for which the Director is CEO).</w:t>
      </w:r>
    </w:p>
    <w:p>
      <w:pPr>
        <w:spacing w:after="0" w:line="70"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Governance Committee regularly reviews the foregoing attributes, skills and qualifications required of Directors in the context of the current operating requirements of the Company and the long-term interests of stockholders. When recommending nominees for the Board, the Governance Committee discusses each nominee in the context of the foregoing attributes, skills, qualifications, and time commitments, including the foregoing limits on public company directorships, to ensure that the nominees and Board as a whole meet the requirements and needs of the company.</w:t>
      </w:r>
    </w:p>
    <w:p>
      <w:pPr>
        <w:spacing w:after="0" w:line="326" w:lineRule="exact"/>
        <w:rPr>
          <w:sz w:val="20"/>
          <w:szCs w:val="20"/>
          <w:color w:val="auto"/>
        </w:rPr>
      </w:pPr>
    </w:p>
    <w:p>
      <w:pPr>
        <w:sectPr>
          <w:pgSz w:w="11900" w:h="16838" w:orient="portrait"/>
          <w:cols w:equalWidth="0" w:num="2">
            <w:col w:w="5300" w:space="440"/>
            <w:col w:w="5360"/>
          </w:cols>
          <w:pgMar w:left="320" w:top="455" w:right="479" w:bottom="1440" w:gutter="0" w:footer="0" w:header="0"/>
          <w:type w:val="continuous"/>
        </w:sectPr>
      </w:pP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Chevron Corporation – 2022 Proxy Statement</w:t>
      </w:r>
    </w:p>
    <w:p>
      <w:pPr>
        <w:sectPr>
          <w:pgSz w:w="11900" w:h="16838" w:orient="portrait"/>
          <w:cols w:equalWidth="0" w:num="1">
            <w:col w:w="11100"/>
          </w:cols>
          <w:pgMar w:left="320" w:top="455" w:right="479" w:bottom="1440" w:gutter="0" w:footer="0" w:header="0"/>
          <w:type w:val="continuous"/>
        </w:sectPr>
      </w:pPr>
    </w:p>
    <w:p>
      <w:pPr>
        <w:spacing w:after="0" w:line="65"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2</w:t>
      </w:r>
    </w:p>
    <w:p>
      <w:pPr>
        <w:sectPr>
          <w:pgSz w:w="11900" w:h="16838" w:orient="portrait"/>
          <w:cols w:equalWidth="0" w:num="1">
            <w:col w:w="11100"/>
          </w:cols>
          <w:pgMar w:left="320" w:top="455" w:right="47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208280</wp:posOffset>
            </wp:positionV>
            <wp:extent cx="133731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37310" cy="145415"/>
                    </a:xfrm>
                    <a:prstGeom prst="rect">
                      <a:avLst/>
                    </a:prstGeom>
                    <a:noFill/>
                  </pic:spPr>
                </pic:pic>
              </a:graphicData>
            </a:graphic>
          </wp:anchor>
        </w:drawing>
      </w:r>
    </w:p>
    <w:p>
      <w:pPr>
        <w:spacing w:after="0" w:line="339"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FFFFFF"/>
        </w:rPr>
        <w:t>Election of directors</w:t>
      </w:r>
    </w:p>
    <w:p>
      <w:pPr>
        <w:spacing w:after="0" w:line="172" w:lineRule="exact"/>
        <w:rPr>
          <w:sz w:val="20"/>
          <w:szCs w:val="20"/>
          <w:color w:val="auto"/>
        </w:rPr>
      </w:pPr>
    </w:p>
    <w:p>
      <w:pPr>
        <w:ind w:left="120" w:right="580"/>
        <w:spacing w:after="0" w:line="286" w:lineRule="auto"/>
        <w:rPr>
          <w:sz w:val="20"/>
          <w:szCs w:val="20"/>
          <w:color w:val="auto"/>
        </w:rPr>
      </w:pPr>
      <w:r>
        <w:rPr>
          <w:rFonts w:ascii="Arial" w:cs="Arial" w:eastAsia="Arial" w:hAnsi="Arial"/>
          <w:sz w:val="16"/>
          <w:szCs w:val="16"/>
          <w:color w:val="auto"/>
        </w:rPr>
        <w:t>These skills, experiences, and expertise are critical to the Board’s ability to provide effective oversight of the Company and are directly relevant to Chevron’s business, strategy, and operations.</w:t>
      </w:r>
    </w:p>
    <w:p>
      <w:pPr>
        <w:spacing w:after="0" w:line="177" w:lineRule="exact"/>
        <w:rPr>
          <w:sz w:val="20"/>
          <w:szCs w:val="20"/>
          <w:color w:val="auto"/>
        </w:rPr>
      </w:pPr>
    </w:p>
    <w:tbl>
      <w:tblPr>
        <w:tblLayout w:type="fixed"/>
        <w:tblInd w:w="130" w:type="dxa"/>
        <w:tblCellMar>
          <w:top w:w="0" w:type="dxa"/>
          <w:left w:w="0" w:type="dxa"/>
          <w:bottom w:w="0" w:type="dxa"/>
          <w:right w:w="0" w:type="dxa"/>
        </w:tblCellMar>
      </w:tblPr>
      <w:tr>
        <w:trPr>
          <w:trHeight w:val="247"/>
        </w:trPr>
        <w:tc>
          <w:tcPr>
            <w:tcW w:w="3860" w:type="dxa"/>
            <w:vAlign w:val="bottom"/>
            <w:tcBorders>
              <w:top w:val="single" w:sz="8" w:color="7F7F7F"/>
              <w:left w:val="single" w:sz="8" w:color="7F7F7F"/>
            </w:tcBorders>
            <w:shd w:val="clear" w:color="auto" w:fill="D8D8D8"/>
          </w:tcPr>
          <w:p>
            <w:pPr>
              <w:ind w:left="160"/>
              <w:spacing w:after="0"/>
              <w:rPr>
                <w:sz w:val="20"/>
                <w:szCs w:val="20"/>
                <w:color w:val="auto"/>
              </w:rPr>
            </w:pPr>
            <w:r>
              <w:rPr>
                <w:rFonts w:ascii="Arial" w:cs="Arial" w:eastAsia="Arial" w:hAnsi="Arial"/>
                <w:sz w:val="14"/>
                <w:szCs w:val="14"/>
                <w:b w:val="1"/>
                <w:bCs w:val="1"/>
                <w:color w:val="auto"/>
              </w:rPr>
              <w:t>CEO/Senior Executive/Leader of Significant</w:t>
            </w:r>
          </w:p>
        </w:tc>
        <w:tc>
          <w:tcPr>
            <w:tcW w:w="7140" w:type="dxa"/>
            <w:vAlign w:val="bottom"/>
            <w:tcBorders>
              <w:top w:val="single" w:sz="8" w:color="7F7F7F"/>
              <w:right w:val="single" w:sz="8" w:color="7F7F7F"/>
            </w:tcBorders>
            <w:shd w:val="clear" w:color="auto" w:fill="D8D8D8"/>
          </w:tcPr>
          <w:p>
            <w:pPr>
              <w:ind w:left="60"/>
              <w:spacing w:after="0" w:line="248" w:lineRule="exact"/>
              <w:rPr>
                <w:sz w:val="20"/>
                <w:szCs w:val="20"/>
                <w:color w:val="auto"/>
              </w:rPr>
            </w:pPr>
            <w:r>
              <w:rPr>
                <w:rFonts w:ascii="Arial" w:cs="Arial" w:eastAsia="Arial" w:hAnsi="Arial"/>
                <w:sz w:val="14"/>
                <w:szCs w:val="14"/>
                <w:color w:val="auto"/>
              </w:rPr>
              <w:t>Chevron employs approximately 43,000</w:t>
            </w:r>
            <w:r>
              <w:rPr>
                <w:rFonts w:ascii="Arial" w:cs="Arial" w:eastAsia="Arial" w:hAnsi="Arial"/>
                <w:sz w:val="24"/>
                <w:szCs w:val="24"/>
                <w:color w:val="auto"/>
                <w:vertAlign w:val="superscript"/>
              </w:rPr>
              <w:t>1</w:t>
            </w:r>
            <w:r>
              <w:rPr>
                <w:rFonts w:ascii="Arial" w:cs="Arial" w:eastAsia="Arial" w:hAnsi="Arial"/>
                <w:sz w:val="14"/>
                <w:szCs w:val="14"/>
                <w:color w:val="auto"/>
              </w:rPr>
              <w:t xml:space="preserve"> people in business units throughout the world. Chevron’s operations</w:t>
            </w:r>
          </w:p>
        </w:tc>
      </w:tr>
      <w:tr>
        <w:trPr>
          <w:trHeight w:val="205"/>
        </w:trPr>
        <w:tc>
          <w:tcPr>
            <w:tcW w:w="3860" w:type="dxa"/>
            <w:vAlign w:val="bottom"/>
            <w:tcBorders>
              <w:left w:val="single" w:sz="8" w:color="7F7F7F"/>
              <w:bottom w:val="single" w:sz="8" w:color="D8D8D8"/>
            </w:tcBorders>
            <w:shd w:val="clear" w:color="auto" w:fill="D8D8D8"/>
          </w:tcPr>
          <w:p>
            <w:pPr>
              <w:ind w:left="160"/>
              <w:spacing w:after="0"/>
              <w:rPr>
                <w:sz w:val="20"/>
                <w:szCs w:val="20"/>
                <w:color w:val="auto"/>
              </w:rPr>
            </w:pPr>
            <w:r>
              <w:rPr>
                <w:rFonts w:ascii="Arial" w:cs="Arial" w:eastAsia="Arial" w:hAnsi="Arial"/>
                <w:sz w:val="14"/>
                <w:szCs w:val="14"/>
                <w:b w:val="1"/>
                <w:bCs w:val="1"/>
                <w:color w:val="auto"/>
              </w:rPr>
              <w:t>Operations</w:t>
            </w:r>
          </w:p>
        </w:tc>
        <w:tc>
          <w:tcPr>
            <w:tcW w:w="7140" w:type="dxa"/>
            <w:vAlign w:val="bottom"/>
            <w:tcBorders>
              <w:bottom w:val="single" w:sz="8" w:color="D8D8D8"/>
              <w:right w:val="single" w:sz="8" w:color="7F7F7F"/>
            </w:tcBorders>
            <w:shd w:val="clear" w:color="auto" w:fill="D8D8D8"/>
          </w:tcPr>
          <w:p>
            <w:pPr>
              <w:ind w:left="60"/>
              <w:spacing w:after="0"/>
              <w:rPr>
                <w:sz w:val="20"/>
                <w:szCs w:val="20"/>
                <w:color w:val="auto"/>
              </w:rPr>
            </w:pPr>
            <w:r>
              <w:rPr>
                <w:rFonts w:ascii="Arial" w:cs="Arial" w:eastAsia="Arial" w:hAnsi="Arial"/>
                <w:sz w:val="14"/>
                <w:szCs w:val="14"/>
                <w:color w:val="auto"/>
              </w:rPr>
              <w:t>involve complex organizations and processes, strategic planning, and risk management.</w:t>
            </w:r>
          </w:p>
        </w:tc>
      </w:tr>
      <w:tr>
        <w:trPr>
          <w:trHeight w:val="234"/>
        </w:trPr>
        <w:tc>
          <w:tcPr>
            <w:tcW w:w="3860" w:type="dxa"/>
            <w:vAlign w:val="bottom"/>
            <w:tcBorders>
              <w:left w:val="single" w:sz="8" w:color="7F7F7F"/>
            </w:tcBorders>
          </w:tcPr>
          <w:p>
            <w:pPr>
              <w:ind w:left="160"/>
              <w:spacing w:after="0"/>
              <w:rPr>
                <w:sz w:val="20"/>
                <w:szCs w:val="20"/>
                <w:color w:val="auto"/>
              </w:rPr>
            </w:pPr>
            <w:r>
              <w:rPr>
                <w:rFonts w:ascii="Arial" w:cs="Arial" w:eastAsia="Arial" w:hAnsi="Arial"/>
                <w:sz w:val="14"/>
                <w:szCs w:val="14"/>
                <w:b w:val="1"/>
                <w:bCs w:val="1"/>
                <w:color w:val="auto"/>
              </w:rPr>
              <w:t>Science/Technology/Engineering/Research/Academia</w:t>
            </w:r>
          </w:p>
        </w:tc>
        <w:tc>
          <w:tcPr>
            <w:tcW w:w="7140" w:type="dxa"/>
            <w:vAlign w:val="bottom"/>
            <w:tcBorders>
              <w:right w:val="single" w:sz="8" w:color="7F7F7F"/>
            </w:tcBorders>
          </w:tcPr>
          <w:p>
            <w:pPr>
              <w:ind w:left="60"/>
              <w:spacing w:after="0"/>
              <w:rPr>
                <w:sz w:val="20"/>
                <w:szCs w:val="20"/>
                <w:color w:val="auto"/>
              </w:rPr>
            </w:pPr>
            <w:r>
              <w:rPr>
                <w:rFonts w:ascii="Arial" w:cs="Arial" w:eastAsia="Arial" w:hAnsi="Arial"/>
                <w:sz w:val="14"/>
                <w:szCs w:val="14"/>
                <w:color w:val="auto"/>
              </w:rPr>
              <w:t>Technology and engineering are at the core of Chevron’s business and are key to finding, developing,</w:t>
            </w:r>
          </w:p>
        </w:tc>
      </w:tr>
      <w:tr>
        <w:trPr>
          <w:trHeight w:val="162"/>
        </w:trPr>
        <w:tc>
          <w:tcPr>
            <w:tcW w:w="3860" w:type="dxa"/>
            <w:vAlign w:val="bottom"/>
            <w:tcBorders>
              <w:left w:val="single" w:sz="8" w:color="7F7F7F"/>
            </w:tcBorders>
          </w:tcPr>
          <w:p>
            <w:pPr>
              <w:spacing w:after="0"/>
              <w:rPr>
                <w:sz w:val="14"/>
                <w:szCs w:val="14"/>
                <w:color w:val="auto"/>
              </w:rPr>
            </w:pPr>
          </w:p>
        </w:tc>
        <w:tc>
          <w:tcPr>
            <w:tcW w:w="7140" w:type="dxa"/>
            <w:vAlign w:val="bottom"/>
            <w:tcBorders>
              <w:right w:val="single" w:sz="8" w:color="7F7F7F"/>
            </w:tcBorders>
          </w:tcPr>
          <w:p>
            <w:pPr>
              <w:ind w:left="60"/>
              <w:spacing w:after="0"/>
              <w:rPr>
                <w:sz w:val="20"/>
                <w:szCs w:val="20"/>
                <w:color w:val="auto"/>
              </w:rPr>
            </w:pPr>
            <w:r>
              <w:rPr>
                <w:rFonts w:ascii="Arial" w:cs="Arial" w:eastAsia="Arial" w:hAnsi="Arial"/>
                <w:sz w:val="14"/>
                <w:szCs w:val="14"/>
                <w:color w:val="auto"/>
              </w:rPr>
              <w:t>producing, processing, and refining oil and natural gas, as well as assessing new energy sources. Our</w:t>
            </w:r>
          </w:p>
        </w:tc>
      </w:tr>
      <w:tr>
        <w:trPr>
          <w:trHeight w:val="190"/>
        </w:trPr>
        <w:tc>
          <w:tcPr>
            <w:tcW w:w="3860" w:type="dxa"/>
            <w:vAlign w:val="bottom"/>
            <w:tcBorders>
              <w:left w:val="single" w:sz="8" w:color="7F7F7F"/>
            </w:tcBorders>
          </w:tcPr>
          <w:p>
            <w:pPr>
              <w:spacing w:after="0"/>
              <w:rPr>
                <w:sz w:val="16"/>
                <w:szCs w:val="16"/>
                <w:color w:val="auto"/>
              </w:rPr>
            </w:pPr>
          </w:p>
        </w:tc>
        <w:tc>
          <w:tcPr>
            <w:tcW w:w="7140" w:type="dxa"/>
            <w:vAlign w:val="bottom"/>
            <w:tcBorders>
              <w:right w:val="single" w:sz="8" w:color="7F7F7F"/>
            </w:tcBorders>
          </w:tcPr>
          <w:p>
            <w:pPr>
              <w:ind w:left="60"/>
              <w:spacing w:after="0"/>
              <w:rPr>
                <w:sz w:val="20"/>
                <w:szCs w:val="20"/>
                <w:color w:val="auto"/>
              </w:rPr>
            </w:pPr>
            <w:r>
              <w:rPr>
                <w:rFonts w:ascii="Arial" w:cs="Arial" w:eastAsia="Arial" w:hAnsi="Arial"/>
                <w:sz w:val="14"/>
                <w:szCs w:val="14"/>
                <w:color w:val="auto"/>
              </w:rPr>
              <w:t>business processes are complex and highly technical.</w:t>
            </w:r>
          </w:p>
        </w:tc>
      </w:tr>
      <w:tr>
        <w:trPr>
          <w:trHeight w:val="35"/>
        </w:trPr>
        <w:tc>
          <w:tcPr>
            <w:tcW w:w="3860" w:type="dxa"/>
            <w:vAlign w:val="bottom"/>
            <w:tcBorders>
              <w:left w:val="single" w:sz="8" w:color="7F7F7F"/>
            </w:tcBorders>
          </w:tcPr>
          <w:p>
            <w:pPr>
              <w:spacing w:after="0"/>
              <w:rPr>
                <w:sz w:val="3"/>
                <w:szCs w:val="3"/>
                <w:color w:val="auto"/>
              </w:rPr>
            </w:pPr>
          </w:p>
        </w:tc>
        <w:tc>
          <w:tcPr>
            <w:tcW w:w="7140" w:type="dxa"/>
            <w:vAlign w:val="bottom"/>
            <w:tcBorders>
              <w:right w:val="single" w:sz="8" w:color="7F7F7F"/>
            </w:tcBorders>
          </w:tcPr>
          <w:p>
            <w:pPr>
              <w:spacing w:after="0"/>
              <w:rPr>
                <w:sz w:val="3"/>
                <w:szCs w:val="3"/>
                <w:color w:val="auto"/>
              </w:rPr>
            </w:pPr>
          </w:p>
        </w:tc>
      </w:tr>
      <w:tr>
        <w:trPr>
          <w:trHeight w:val="234"/>
        </w:trPr>
        <w:tc>
          <w:tcPr>
            <w:tcW w:w="386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4"/>
                <w:szCs w:val="14"/>
                <w:b w:val="1"/>
                <w:bCs w:val="1"/>
                <w:color w:val="auto"/>
              </w:rPr>
              <w:t>Government/Regulatory/Legal/Public Policy</w:t>
            </w:r>
          </w:p>
        </w:tc>
        <w:tc>
          <w:tcPr>
            <w:tcW w:w="7140" w:type="dxa"/>
            <w:vAlign w:val="bottom"/>
            <w:tcBorders>
              <w:right w:val="single" w:sz="8" w:color="7F7F7F"/>
            </w:tcBorders>
            <w:shd w:val="clear" w:color="auto" w:fill="D8D8D8"/>
          </w:tcPr>
          <w:p>
            <w:pPr>
              <w:ind w:left="60"/>
              <w:spacing w:after="0"/>
              <w:rPr>
                <w:sz w:val="20"/>
                <w:szCs w:val="20"/>
                <w:color w:val="auto"/>
              </w:rPr>
            </w:pPr>
            <w:r>
              <w:rPr>
                <w:rFonts w:ascii="Arial" w:cs="Arial" w:eastAsia="Arial" w:hAnsi="Arial"/>
                <w:sz w:val="14"/>
                <w:szCs w:val="14"/>
                <w:color w:val="auto"/>
              </w:rPr>
              <w:t>Chevron’s operations require compliance with a variety of regulatory requirements in numerous countries and</w:t>
            </w:r>
          </w:p>
        </w:tc>
      </w:tr>
      <w:tr>
        <w:trPr>
          <w:trHeight w:val="162"/>
        </w:trPr>
        <w:tc>
          <w:tcPr>
            <w:tcW w:w="3860" w:type="dxa"/>
            <w:vAlign w:val="bottom"/>
            <w:tcBorders>
              <w:left w:val="single" w:sz="8" w:color="7F7F7F"/>
            </w:tcBorders>
            <w:shd w:val="clear" w:color="auto" w:fill="D8D8D8"/>
          </w:tcPr>
          <w:p>
            <w:pPr>
              <w:spacing w:after="0"/>
              <w:rPr>
                <w:sz w:val="14"/>
                <w:szCs w:val="14"/>
                <w:color w:val="auto"/>
              </w:rPr>
            </w:pPr>
          </w:p>
        </w:tc>
        <w:tc>
          <w:tcPr>
            <w:tcW w:w="7140" w:type="dxa"/>
            <w:vAlign w:val="bottom"/>
            <w:tcBorders>
              <w:right w:val="single" w:sz="8" w:color="7F7F7F"/>
            </w:tcBorders>
            <w:shd w:val="clear" w:color="auto" w:fill="D8D8D8"/>
          </w:tcPr>
          <w:p>
            <w:pPr>
              <w:ind w:left="60"/>
              <w:spacing w:after="0"/>
              <w:rPr>
                <w:sz w:val="20"/>
                <w:szCs w:val="20"/>
                <w:color w:val="auto"/>
              </w:rPr>
            </w:pPr>
            <w:r>
              <w:rPr>
                <w:rFonts w:ascii="Arial" w:cs="Arial" w:eastAsia="Arial" w:hAnsi="Arial"/>
                <w:sz w:val="14"/>
                <w:szCs w:val="14"/>
                <w:color w:val="auto"/>
              </w:rPr>
              <w:t>involve relationships with various governmental entities and nongovernmental organizations throughout the</w:t>
            </w:r>
          </w:p>
        </w:tc>
      </w:tr>
      <w:tr>
        <w:trPr>
          <w:trHeight w:val="205"/>
        </w:trPr>
        <w:tc>
          <w:tcPr>
            <w:tcW w:w="3860" w:type="dxa"/>
            <w:vAlign w:val="bottom"/>
            <w:tcBorders>
              <w:left w:val="single" w:sz="8" w:color="7F7F7F"/>
              <w:bottom w:val="single" w:sz="8" w:color="D8D8D8"/>
            </w:tcBorders>
            <w:shd w:val="clear" w:color="auto" w:fill="D8D8D8"/>
          </w:tcPr>
          <w:p>
            <w:pPr>
              <w:spacing w:after="0"/>
              <w:rPr>
                <w:sz w:val="17"/>
                <w:szCs w:val="17"/>
                <w:color w:val="auto"/>
              </w:rPr>
            </w:pPr>
          </w:p>
        </w:tc>
        <w:tc>
          <w:tcPr>
            <w:tcW w:w="7140" w:type="dxa"/>
            <w:vAlign w:val="bottom"/>
            <w:tcBorders>
              <w:bottom w:val="single" w:sz="8" w:color="D8D8D8"/>
              <w:right w:val="single" w:sz="8" w:color="7F7F7F"/>
            </w:tcBorders>
            <w:shd w:val="clear" w:color="auto" w:fill="D8D8D8"/>
          </w:tcPr>
          <w:p>
            <w:pPr>
              <w:ind w:left="60"/>
              <w:spacing w:after="0"/>
              <w:rPr>
                <w:sz w:val="20"/>
                <w:szCs w:val="20"/>
                <w:color w:val="auto"/>
              </w:rPr>
            </w:pPr>
            <w:r>
              <w:rPr>
                <w:rFonts w:ascii="Arial" w:cs="Arial" w:eastAsia="Arial" w:hAnsi="Arial"/>
                <w:sz w:val="14"/>
                <w:szCs w:val="14"/>
                <w:color w:val="auto"/>
              </w:rPr>
              <w:t>world.</w:t>
            </w:r>
          </w:p>
        </w:tc>
      </w:tr>
      <w:tr>
        <w:trPr>
          <w:trHeight w:val="234"/>
        </w:trPr>
        <w:tc>
          <w:tcPr>
            <w:tcW w:w="3860" w:type="dxa"/>
            <w:vAlign w:val="bottom"/>
            <w:tcBorders>
              <w:left w:val="single" w:sz="8" w:color="7F7F7F"/>
            </w:tcBorders>
          </w:tcPr>
          <w:p>
            <w:pPr>
              <w:ind w:left="160"/>
              <w:spacing w:after="0"/>
              <w:rPr>
                <w:sz w:val="20"/>
                <w:szCs w:val="20"/>
                <w:color w:val="auto"/>
              </w:rPr>
            </w:pPr>
            <w:r>
              <w:rPr>
                <w:rFonts w:ascii="Arial" w:cs="Arial" w:eastAsia="Arial" w:hAnsi="Arial"/>
                <w:sz w:val="14"/>
                <w:szCs w:val="14"/>
                <w:b w:val="1"/>
                <w:bCs w:val="1"/>
                <w:color w:val="auto"/>
              </w:rPr>
              <w:t>Finance/Financial Disclosure/Financial Accounting</w:t>
            </w:r>
          </w:p>
        </w:tc>
        <w:tc>
          <w:tcPr>
            <w:tcW w:w="7140" w:type="dxa"/>
            <w:vAlign w:val="bottom"/>
            <w:tcBorders>
              <w:right w:val="single" w:sz="8" w:color="7F7F7F"/>
            </w:tcBorders>
          </w:tcPr>
          <w:p>
            <w:pPr>
              <w:ind w:left="60"/>
              <w:spacing w:after="0"/>
              <w:rPr>
                <w:sz w:val="20"/>
                <w:szCs w:val="20"/>
                <w:color w:val="auto"/>
              </w:rPr>
            </w:pPr>
            <w:r>
              <w:rPr>
                <w:rFonts w:ascii="Arial" w:cs="Arial" w:eastAsia="Arial" w:hAnsi="Arial"/>
                <w:sz w:val="14"/>
                <w:szCs w:val="14"/>
                <w:color w:val="auto"/>
              </w:rPr>
              <w:t>Chevron’s business is multifaceted and requires complex financial management, capital allocation, and</w:t>
            </w:r>
          </w:p>
        </w:tc>
      </w:tr>
      <w:tr>
        <w:trPr>
          <w:trHeight w:val="190"/>
        </w:trPr>
        <w:tc>
          <w:tcPr>
            <w:tcW w:w="3860" w:type="dxa"/>
            <w:vAlign w:val="bottom"/>
            <w:tcBorders>
              <w:left w:val="single" w:sz="8" w:color="7F7F7F"/>
            </w:tcBorders>
          </w:tcPr>
          <w:p>
            <w:pPr>
              <w:spacing w:after="0"/>
              <w:rPr>
                <w:sz w:val="16"/>
                <w:szCs w:val="16"/>
                <w:color w:val="auto"/>
              </w:rPr>
            </w:pPr>
          </w:p>
        </w:tc>
        <w:tc>
          <w:tcPr>
            <w:tcW w:w="7140" w:type="dxa"/>
            <w:vAlign w:val="bottom"/>
            <w:tcBorders>
              <w:right w:val="single" w:sz="8" w:color="7F7F7F"/>
            </w:tcBorders>
          </w:tcPr>
          <w:p>
            <w:pPr>
              <w:ind w:left="60"/>
              <w:spacing w:after="0"/>
              <w:rPr>
                <w:sz w:val="20"/>
                <w:szCs w:val="20"/>
                <w:color w:val="auto"/>
              </w:rPr>
            </w:pPr>
            <w:r>
              <w:rPr>
                <w:rFonts w:ascii="Arial" w:cs="Arial" w:eastAsia="Arial" w:hAnsi="Arial"/>
                <w:sz w:val="14"/>
                <w:szCs w:val="14"/>
                <w:color w:val="auto"/>
              </w:rPr>
              <w:t>financial reporting processes.</w:t>
            </w:r>
          </w:p>
        </w:tc>
      </w:tr>
      <w:tr>
        <w:trPr>
          <w:trHeight w:val="35"/>
        </w:trPr>
        <w:tc>
          <w:tcPr>
            <w:tcW w:w="3860" w:type="dxa"/>
            <w:vAlign w:val="bottom"/>
            <w:tcBorders>
              <w:left w:val="single" w:sz="8" w:color="7F7F7F"/>
            </w:tcBorders>
          </w:tcPr>
          <w:p>
            <w:pPr>
              <w:spacing w:after="0"/>
              <w:rPr>
                <w:sz w:val="3"/>
                <w:szCs w:val="3"/>
                <w:color w:val="auto"/>
              </w:rPr>
            </w:pPr>
          </w:p>
        </w:tc>
        <w:tc>
          <w:tcPr>
            <w:tcW w:w="7140" w:type="dxa"/>
            <w:vAlign w:val="bottom"/>
            <w:tcBorders>
              <w:right w:val="single" w:sz="8" w:color="7F7F7F"/>
            </w:tcBorders>
          </w:tcPr>
          <w:p>
            <w:pPr>
              <w:spacing w:after="0"/>
              <w:rPr>
                <w:sz w:val="3"/>
                <w:szCs w:val="3"/>
                <w:color w:val="auto"/>
              </w:rPr>
            </w:pPr>
          </w:p>
        </w:tc>
      </w:tr>
      <w:tr>
        <w:trPr>
          <w:trHeight w:val="234"/>
        </w:trPr>
        <w:tc>
          <w:tcPr>
            <w:tcW w:w="386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4"/>
                <w:szCs w:val="14"/>
                <w:b w:val="1"/>
                <w:bCs w:val="1"/>
                <w:color w:val="auto"/>
              </w:rPr>
              <w:t>Global Business/International Affairs</w:t>
            </w:r>
          </w:p>
        </w:tc>
        <w:tc>
          <w:tcPr>
            <w:tcW w:w="7140" w:type="dxa"/>
            <w:vAlign w:val="bottom"/>
            <w:tcBorders>
              <w:right w:val="single" w:sz="8" w:color="7F7F7F"/>
            </w:tcBorders>
            <w:shd w:val="clear" w:color="auto" w:fill="D8D8D8"/>
          </w:tcPr>
          <w:p>
            <w:pPr>
              <w:ind w:left="60"/>
              <w:spacing w:after="0"/>
              <w:rPr>
                <w:sz w:val="20"/>
                <w:szCs w:val="20"/>
                <w:color w:val="auto"/>
              </w:rPr>
            </w:pPr>
            <w:r>
              <w:rPr>
                <w:rFonts w:ascii="Arial" w:cs="Arial" w:eastAsia="Arial" w:hAnsi="Arial"/>
                <w:sz w:val="14"/>
                <w:szCs w:val="14"/>
                <w:color w:val="auto"/>
              </w:rPr>
              <w:t>Chevron conducts business around the globe. Our business success is derived from an understanding of</w:t>
            </w:r>
          </w:p>
        </w:tc>
      </w:tr>
      <w:tr>
        <w:trPr>
          <w:trHeight w:val="162"/>
        </w:trPr>
        <w:tc>
          <w:tcPr>
            <w:tcW w:w="3860" w:type="dxa"/>
            <w:vAlign w:val="bottom"/>
            <w:tcBorders>
              <w:left w:val="single" w:sz="8" w:color="7F7F7F"/>
            </w:tcBorders>
            <w:shd w:val="clear" w:color="auto" w:fill="D8D8D8"/>
          </w:tcPr>
          <w:p>
            <w:pPr>
              <w:spacing w:after="0"/>
              <w:rPr>
                <w:sz w:val="14"/>
                <w:szCs w:val="14"/>
                <w:color w:val="auto"/>
              </w:rPr>
            </w:pPr>
          </w:p>
        </w:tc>
        <w:tc>
          <w:tcPr>
            <w:tcW w:w="7140" w:type="dxa"/>
            <w:vAlign w:val="bottom"/>
            <w:tcBorders>
              <w:right w:val="single" w:sz="8" w:color="7F7F7F"/>
            </w:tcBorders>
            <w:shd w:val="clear" w:color="auto" w:fill="D8D8D8"/>
          </w:tcPr>
          <w:p>
            <w:pPr>
              <w:ind w:left="60"/>
              <w:spacing w:after="0"/>
              <w:rPr>
                <w:sz w:val="20"/>
                <w:szCs w:val="20"/>
                <w:color w:val="auto"/>
              </w:rPr>
            </w:pPr>
            <w:r>
              <w:rPr>
                <w:rFonts w:ascii="Arial" w:cs="Arial" w:eastAsia="Arial" w:hAnsi="Arial"/>
                <w:sz w:val="14"/>
                <w:szCs w:val="14"/>
                <w:color w:val="auto"/>
              </w:rPr>
              <w:t>diverse business environments, economic conditions, and cultures and a broad perspective on global</w:t>
            </w:r>
          </w:p>
        </w:tc>
      </w:tr>
      <w:tr>
        <w:trPr>
          <w:trHeight w:val="205"/>
        </w:trPr>
        <w:tc>
          <w:tcPr>
            <w:tcW w:w="3860" w:type="dxa"/>
            <w:vAlign w:val="bottom"/>
            <w:tcBorders>
              <w:left w:val="single" w:sz="8" w:color="7F7F7F"/>
              <w:bottom w:val="single" w:sz="8" w:color="D8D8D8"/>
            </w:tcBorders>
            <w:shd w:val="clear" w:color="auto" w:fill="D8D8D8"/>
          </w:tcPr>
          <w:p>
            <w:pPr>
              <w:spacing w:after="0"/>
              <w:rPr>
                <w:sz w:val="17"/>
                <w:szCs w:val="17"/>
                <w:color w:val="auto"/>
              </w:rPr>
            </w:pPr>
          </w:p>
        </w:tc>
        <w:tc>
          <w:tcPr>
            <w:tcW w:w="7140" w:type="dxa"/>
            <w:vAlign w:val="bottom"/>
            <w:tcBorders>
              <w:bottom w:val="single" w:sz="8" w:color="D8D8D8"/>
              <w:right w:val="single" w:sz="8" w:color="7F7F7F"/>
            </w:tcBorders>
            <w:shd w:val="clear" w:color="auto" w:fill="D8D8D8"/>
          </w:tcPr>
          <w:p>
            <w:pPr>
              <w:ind w:left="60"/>
              <w:spacing w:after="0"/>
              <w:rPr>
                <w:sz w:val="20"/>
                <w:szCs w:val="20"/>
                <w:color w:val="auto"/>
              </w:rPr>
            </w:pPr>
            <w:r>
              <w:rPr>
                <w:rFonts w:ascii="Arial" w:cs="Arial" w:eastAsia="Arial" w:hAnsi="Arial"/>
                <w:sz w:val="14"/>
                <w:szCs w:val="14"/>
                <w:color w:val="auto"/>
              </w:rPr>
              <w:t>business opportunities.</w:t>
            </w:r>
          </w:p>
        </w:tc>
      </w:tr>
      <w:tr>
        <w:trPr>
          <w:trHeight w:val="234"/>
        </w:trPr>
        <w:tc>
          <w:tcPr>
            <w:tcW w:w="3860" w:type="dxa"/>
            <w:vAlign w:val="bottom"/>
            <w:tcBorders>
              <w:left w:val="single" w:sz="8" w:color="7F7F7F"/>
            </w:tcBorders>
          </w:tcPr>
          <w:p>
            <w:pPr>
              <w:ind w:left="160"/>
              <w:spacing w:after="0"/>
              <w:rPr>
                <w:sz w:val="20"/>
                <w:szCs w:val="20"/>
                <w:color w:val="auto"/>
              </w:rPr>
            </w:pPr>
            <w:r>
              <w:rPr>
                <w:rFonts w:ascii="Arial" w:cs="Arial" w:eastAsia="Arial" w:hAnsi="Arial"/>
                <w:sz w:val="14"/>
                <w:szCs w:val="14"/>
                <w:b w:val="1"/>
                <w:bCs w:val="1"/>
                <w:color w:val="auto"/>
              </w:rPr>
              <w:t>Environmental</w:t>
            </w:r>
          </w:p>
        </w:tc>
        <w:tc>
          <w:tcPr>
            <w:tcW w:w="7140" w:type="dxa"/>
            <w:vAlign w:val="bottom"/>
            <w:tcBorders>
              <w:right w:val="single" w:sz="8" w:color="7F7F7F"/>
            </w:tcBorders>
          </w:tcPr>
          <w:p>
            <w:pPr>
              <w:ind w:left="60"/>
              <w:spacing w:after="0"/>
              <w:rPr>
                <w:sz w:val="20"/>
                <w:szCs w:val="20"/>
                <w:color w:val="auto"/>
              </w:rPr>
            </w:pPr>
            <w:r>
              <w:rPr>
                <w:rFonts w:ascii="Arial" w:cs="Arial" w:eastAsia="Arial" w:hAnsi="Arial"/>
                <w:sz w:val="14"/>
                <w:szCs w:val="14"/>
                <w:color w:val="auto"/>
              </w:rPr>
              <w:t>We place the highest priority on the health and safety of our workforce and the protection of our assets, the</w:t>
            </w:r>
          </w:p>
        </w:tc>
      </w:tr>
      <w:tr>
        <w:trPr>
          <w:trHeight w:val="162"/>
        </w:trPr>
        <w:tc>
          <w:tcPr>
            <w:tcW w:w="3860" w:type="dxa"/>
            <w:vAlign w:val="bottom"/>
            <w:tcBorders>
              <w:left w:val="single" w:sz="8" w:color="7F7F7F"/>
            </w:tcBorders>
          </w:tcPr>
          <w:p>
            <w:pPr>
              <w:spacing w:after="0"/>
              <w:rPr>
                <w:sz w:val="14"/>
                <w:szCs w:val="14"/>
                <w:color w:val="auto"/>
              </w:rPr>
            </w:pPr>
          </w:p>
        </w:tc>
        <w:tc>
          <w:tcPr>
            <w:tcW w:w="7140" w:type="dxa"/>
            <w:vAlign w:val="bottom"/>
            <w:tcBorders>
              <w:right w:val="single" w:sz="8" w:color="7F7F7F"/>
            </w:tcBorders>
          </w:tcPr>
          <w:p>
            <w:pPr>
              <w:ind w:left="60"/>
              <w:spacing w:after="0"/>
              <w:rPr>
                <w:sz w:val="20"/>
                <w:szCs w:val="20"/>
                <w:color w:val="auto"/>
              </w:rPr>
            </w:pPr>
            <w:r>
              <w:rPr>
                <w:rFonts w:ascii="Arial" w:cs="Arial" w:eastAsia="Arial" w:hAnsi="Arial"/>
                <w:sz w:val="14"/>
                <w:szCs w:val="14"/>
                <w:color w:val="auto"/>
              </w:rPr>
              <w:t>communities where we operate, and the environment. We are committed to continuously improving our</w:t>
            </w:r>
          </w:p>
        </w:tc>
      </w:tr>
      <w:tr>
        <w:trPr>
          <w:trHeight w:val="190"/>
        </w:trPr>
        <w:tc>
          <w:tcPr>
            <w:tcW w:w="3860" w:type="dxa"/>
            <w:vAlign w:val="bottom"/>
            <w:tcBorders>
              <w:left w:val="single" w:sz="8" w:color="7F7F7F"/>
            </w:tcBorders>
          </w:tcPr>
          <w:p>
            <w:pPr>
              <w:spacing w:after="0"/>
              <w:rPr>
                <w:sz w:val="16"/>
                <w:szCs w:val="16"/>
                <w:color w:val="auto"/>
              </w:rPr>
            </w:pPr>
          </w:p>
        </w:tc>
        <w:tc>
          <w:tcPr>
            <w:tcW w:w="7140" w:type="dxa"/>
            <w:vAlign w:val="bottom"/>
            <w:tcBorders>
              <w:right w:val="single" w:sz="8" w:color="7F7F7F"/>
            </w:tcBorders>
          </w:tcPr>
          <w:p>
            <w:pPr>
              <w:ind w:left="60"/>
              <w:spacing w:after="0"/>
              <w:rPr>
                <w:sz w:val="20"/>
                <w:szCs w:val="20"/>
                <w:color w:val="auto"/>
              </w:rPr>
            </w:pPr>
            <w:r>
              <w:rPr>
                <w:rFonts w:ascii="Arial" w:cs="Arial" w:eastAsia="Arial" w:hAnsi="Arial"/>
                <w:sz w:val="14"/>
                <w:szCs w:val="14"/>
                <w:color w:val="auto"/>
              </w:rPr>
              <w:t>environmental performance and reducing the potential impacts of our operations.</w:t>
            </w:r>
          </w:p>
        </w:tc>
      </w:tr>
      <w:tr>
        <w:trPr>
          <w:trHeight w:val="35"/>
        </w:trPr>
        <w:tc>
          <w:tcPr>
            <w:tcW w:w="3860" w:type="dxa"/>
            <w:vAlign w:val="bottom"/>
            <w:tcBorders>
              <w:left w:val="single" w:sz="8" w:color="7F7F7F"/>
            </w:tcBorders>
          </w:tcPr>
          <w:p>
            <w:pPr>
              <w:spacing w:after="0"/>
              <w:rPr>
                <w:sz w:val="3"/>
                <w:szCs w:val="3"/>
                <w:color w:val="auto"/>
              </w:rPr>
            </w:pPr>
          </w:p>
        </w:tc>
        <w:tc>
          <w:tcPr>
            <w:tcW w:w="7140" w:type="dxa"/>
            <w:vAlign w:val="bottom"/>
            <w:tcBorders>
              <w:right w:val="single" w:sz="8" w:color="7F7F7F"/>
            </w:tcBorders>
          </w:tcPr>
          <w:p>
            <w:pPr>
              <w:spacing w:after="0"/>
              <w:rPr>
                <w:sz w:val="3"/>
                <w:szCs w:val="3"/>
                <w:color w:val="auto"/>
              </w:rPr>
            </w:pPr>
          </w:p>
        </w:tc>
      </w:tr>
      <w:tr>
        <w:trPr>
          <w:trHeight w:val="277"/>
        </w:trPr>
        <w:tc>
          <w:tcPr>
            <w:tcW w:w="3860" w:type="dxa"/>
            <w:vAlign w:val="bottom"/>
            <w:tcBorders>
              <w:left w:val="single" w:sz="8" w:color="7F7F7F"/>
              <w:bottom w:val="single" w:sz="8" w:color="D8D8D8"/>
            </w:tcBorders>
            <w:shd w:val="clear" w:color="auto" w:fill="D8D8D8"/>
          </w:tcPr>
          <w:p>
            <w:pPr>
              <w:ind w:left="160"/>
              <w:spacing w:after="0"/>
              <w:rPr>
                <w:sz w:val="20"/>
                <w:szCs w:val="20"/>
                <w:color w:val="auto"/>
              </w:rPr>
            </w:pPr>
            <w:r>
              <w:rPr>
                <w:rFonts w:ascii="Arial" w:cs="Arial" w:eastAsia="Arial" w:hAnsi="Arial"/>
                <w:sz w:val="14"/>
                <w:szCs w:val="14"/>
                <w:b w:val="1"/>
                <w:bCs w:val="1"/>
                <w:color w:val="auto"/>
              </w:rPr>
              <w:t>Leading Business Transformation</w:t>
            </w:r>
          </w:p>
        </w:tc>
        <w:tc>
          <w:tcPr>
            <w:tcW w:w="7140" w:type="dxa"/>
            <w:vAlign w:val="bottom"/>
            <w:tcBorders>
              <w:bottom w:val="single" w:sz="8" w:color="D8D8D8"/>
              <w:right w:val="single" w:sz="8" w:color="7F7F7F"/>
            </w:tcBorders>
            <w:shd w:val="clear" w:color="auto" w:fill="D8D8D8"/>
          </w:tcPr>
          <w:p>
            <w:pPr>
              <w:ind w:left="60"/>
              <w:spacing w:after="0"/>
              <w:rPr>
                <w:sz w:val="20"/>
                <w:szCs w:val="20"/>
                <w:color w:val="auto"/>
              </w:rPr>
            </w:pPr>
            <w:r>
              <w:rPr>
                <w:rFonts w:ascii="Arial" w:cs="Arial" w:eastAsia="Arial" w:hAnsi="Arial"/>
                <w:sz w:val="14"/>
                <w:szCs w:val="14"/>
                <w:color w:val="auto"/>
              </w:rPr>
              <w:t>Chevron’s strategy is to leverage our strengths to deliver lower carbon energy to a growing world.</w:t>
            </w:r>
          </w:p>
        </w:tc>
      </w:tr>
      <w:tr>
        <w:trPr>
          <w:trHeight w:val="20"/>
        </w:trPr>
        <w:tc>
          <w:tcPr>
            <w:tcW w:w="3860" w:type="dxa"/>
            <w:vAlign w:val="bottom"/>
            <w:tcBorders>
              <w:left w:val="single" w:sz="8" w:color="7F7F7F"/>
            </w:tcBorders>
            <w:shd w:val="clear" w:color="auto" w:fill="7F7F7F"/>
          </w:tcPr>
          <w:p>
            <w:pPr>
              <w:spacing w:after="0" w:line="20" w:lineRule="exact"/>
              <w:rPr>
                <w:sz w:val="1"/>
                <w:szCs w:val="1"/>
                <w:color w:val="auto"/>
              </w:rPr>
            </w:pPr>
          </w:p>
        </w:tc>
        <w:tc>
          <w:tcPr>
            <w:tcW w:w="7140" w:type="dxa"/>
            <w:vAlign w:val="bottom"/>
            <w:tcBorders>
              <w:right w:val="single" w:sz="8" w:color="7F7F7F"/>
            </w:tcBorders>
            <w:shd w:val="clear" w:color="auto" w:fill="7F7F7F"/>
          </w:tcPr>
          <w:p>
            <w:pPr>
              <w:spacing w:after="0" w:line="20" w:lineRule="exact"/>
              <w:rPr>
                <w:sz w:val="1"/>
                <w:szCs w:val="1"/>
                <w:color w:val="auto"/>
              </w:rPr>
            </w:pPr>
          </w:p>
        </w:tc>
      </w:tr>
    </w:tbl>
    <w:p>
      <w:pPr>
        <w:spacing w:after="0" w:line="148"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24"/>
          <w:szCs w:val="24"/>
          <w:color w:val="auto"/>
          <w:vertAlign w:val="superscript"/>
        </w:rPr>
      </w:pPr>
      <w:r>
        <w:rPr>
          <w:rFonts w:ascii="Arial" w:cs="Arial" w:eastAsia="Arial" w:hAnsi="Arial"/>
          <w:sz w:val="14"/>
          <w:szCs w:val="14"/>
          <w:color w:val="auto"/>
        </w:rPr>
        <w:t>Data as of December 31, 2021.</w:t>
      </w:r>
    </w:p>
    <w:p>
      <w:pPr>
        <w:spacing w:after="0" w:line="91" w:lineRule="exact"/>
        <w:rPr>
          <w:sz w:val="20"/>
          <w:szCs w:val="20"/>
          <w:color w:val="auto"/>
        </w:rPr>
      </w:pPr>
    </w:p>
    <w:p>
      <w:pPr>
        <w:ind w:left="120" w:right="80"/>
        <w:spacing w:after="0" w:line="252" w:lineRule="auto"/>
        <w:rPr>
          <w:sz w:val="20"/>
          <w:szCs w:val="20"/>
          <w:color w:val="auto"/>
        </w:rPr>
      </w:pPr>
      <w:r>
        <w:rPr>
          <w:rFonts w:ascii="Arial" w:cs="Arial" w:eastAsia="Arial" w:hAnsi="Arial"/>
          <w:sz w:val="16"/>
          <w:szCs w:val="16"/>
          <w:color w:val="auto"/>
        </w:rPr>
        <w:t>The following matrix displays the most significant skills and qualifications that each Director possesses. The Governance Committee reviews the composition of the Board as a whole periodically to ensure that the Board maintains a balance of knowledge and experience and to assess the skills and characteristics that the Board may find valuable in the future in light of current and anticipated strategic plans and operating requirements and the long-term interest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125095</wp:posOffset>
            </wp:positionV>
            <wp:extent cx="6035040" cy="39262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5040" cy="392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Chevron Corporation – 2022 Proxy Statement</w:t>
      </w:r>
    </w:p>
    <w:p>
      <w:pPr>
        <w:sectPr>
          <w:pgSz w:w="11900" w:h="16838" w:orient="portrait"/>
          <w:cols w:equalWidth="0" w:num="1">
            <w:col w:w="11100"/>
          </w:cols>
          <w:pgMar w:left="320" w:top="455" w:right="479" w:bottom="1440" w:gutter="0" w:footer="0" w:header="0"/>
        </w:sectPr>
      </w:pPr>
    </w:p>
    <w:p>
      <w:pPr>
        <w:spacing w:after="0" w:line="6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100"/>
          </w:cols>
          <w:pgMar w:left="320" w:top="455" w:right="47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26873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68730" cy="145415"/>
                    </a:xfrm>
                    <a:prstGeom prst="rect">
                      <a:avLst/>
                    </a:prstGeom>
                    <a:noFill/>
                  </pic:spPr>
                </pic:pic>
              </a:graphicData>
            </a:graphic>
          </wp:anchor>
        </w:drawing>
      </w:r>
    </w:p>
    <w:p>
      <w:pPr>
        <w:spacing w:after="0" w:line="33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FFFFFF"/>
        </w:rPr>
        <w:t>Election of directors</w:t>
      </w:r>
    </w:p>
    <w:p>
      <w:pPr>
        <w:spacing w:after="0" w:line="172"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The Board seeks to achieve diversity of age, gender, and race/ethnicity and recognizes the importance of Board refreshment to ensure that it benefits from fresh ideas and perspectives. The following charts illustrate the Board’s continued commitment to diversity of backgrounds and Board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167640</wp:posOffset>
            </wp:positionV>
            <wp:extent cx="1834515" cy="1834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34515" cy="18345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167640</wp:posOffset>
            </wp:positionV>
            <wp:extent cx="1843405" cy="1834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43405"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30" w:type="dxa"/>
        <w:tblCellMar>
          <w:top w:w="0" w:type="dxa"/>
          <w:left w:w="0" w:type="dxa"/>
          <w:bottom w:w="0" w:type="dxa"/>
          <w:right w:w="0" w:type="dxa"/>
        </w:tblCellMar>
      </w:tblPr>
      <w:tr>
        <w:trPr>
          <w:trHeight w:val="310"/>
        </w:trPr>
        <w:tc>
          <w:tcPr>
            <w:tcW w:w="460" w:type="dxa"/>
            <w:vAlign w:val="bottom"/>
          </w:tcPr>
          <w:p>
            <w:pPr>
              <w:spacing w:after="0"/>
              <w:rPr>
                <w:sz w:val="24"/>
                <w:szCs w:val="24"/>
                <w:color w:val="auto"/>
              </w:rPr>
            </w:pPr>
          </w:p>
        </w:tc>
        <w:tc>
          <w:tcPr>
            <w:tcW w:w="6280" w:type="dxa"/>
            <w:vAlign w:val="bottom"/>
            <w:gridSpan w:val="3"/>
          </w:tcPr>
          <w:p>
            <w:pPr>
              <w:ind w:left="1040"/>
              <w:spacing w:after="0"/>
              <w:rPr>
                <w:sz w:val="20"/>
                <w:szCs w:val="20"/>
                <w:color w:val="auto"/>
              </w:rPr>
            </w:pPr>
            <w:r>
              <w:rPr>
                <w:rFonts w:ascii="Arial" w:cs="Arial" w:eastAsia="Arial" w:hAnsi="Arial"/>
                <w:sz w:val="22"/>
                <w:szCs w:val="22"/>
                <w:b w:val="1"/>
                <w:bCs w:val="1"/>
                <w:color w:val="0B2D71"/>
              </w:rPr>
              <w:t>Strong board diversity</w:t>
            </w:r>
          </w:p>
        </w:tc>
        <w:tc>
          <w:tcPr>
            <w:tcW w:w="4260" w:type="dxa"/>
            <w:vAlign w:val="bottom"/>
          </w:tcPr>
          <w:p>
            <w:pPr>
              <w:ind w:left="140"/>
              <w:spacing w:after="0"/>
              <w:rPr>
                <w:sz w:val="20"/>
                <w:szCs w:val="20"/>
                <w:color w:val="auto"/>
              </w:rPr>
            </w:pPr>
            <w:r>
              <w:rPr>
                <w:rFonts w:ascii="Arial" w:cs="Arial" w:eastAsia="Arial" w:hAnsi="Arial"/>
                <w:sz w:val="22"/>
                <w:szCs w:val="22"/>
                <w:b w:val="1"/>
                <w:bCs w:val="1"/>
                <w:color w:val="0B2D71"/>
              </w:rPr>
              <w:t>Strong board refreshment</w:t>
            </w:r>
          </w:p>
        </w:tc>
        <w:tc>
          <w:tcPr>
            <w:tcW w:w="0" w:type="dxa"/>
            <w:vAlign w:val="bottom"/>
          </w:tcPr>
          <w:p>
            <w:pPr>
              <w:spacing w:after="0"/>
              <w:rPr>
                <w:sz w:val="1"/>
                <w:szCs w:val="1"/>
                <w:color w:val="auto"/>
              </w:rPr>
            </w:pPr>
          </w:p>
        </w:tc>
      </w:tr>
      <w:tr>
        <w:trPr>
          <w:trHeight w:val="405"/>
        </w:trPr>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20" w:type="dxa"/>
            <w:vAlign w:val="bottom"/>
            <w:gridSpan w:val="2"/>
          </w:tcPr>
          <w:p>
            <w:pPr>
              <w:ind w:left="460"/>
              <w:spacing w:after="0"/>
              <w:rPr>
                <w:sz w:val="20"/>
                <w:szCs w:val="20"/>
                <w:color w:val="auto"/>
              </w:rPr>
            </w:pPr>
            <w:r>
              <w:rPr>
                <w:rFonts w:ascii="Arial" w:cs="Arial" w:eastAsia="Arial" w:hAnsi="Arial"/>
                <w:sz w:val="22"/>
                <w:szCs w:val="22"/>
                <w:b w:val="1"/>
                <w:bCs w:val="1"/>
                <w:color w:val="0B2D71"/>
              </w:rPr>
              <w:t>Four new directors since 2017*</w:t>
            </w:r>
          </w:p>
        </w:tc>
        <w:tc>
          <w:tcPr>
            <w:tcW w:w="0" w:type="dxa"/>
            <w:vAlign w:val="bottom"/>
          </w:tcPr>
          <w:p>
            <w:pPr>
              <w:spacing w:after="0"/>
              <w:rPr>
                <w:sz w:val="1"/>
                <w:szCs w:val="1"/>
                <w:color w:val="auto"/>
              </w:rPr>
            </w:pPr>
          </w:p>
        </w:tc>
      </w:tr>
      <w:tr>
        <w:trPr>
          <w:trHeight w:val="227"/>
        </w:trPr>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0" w:type="dxa"/>
            <w:vAlign w:val="bottom"/>
            <w:tcBorders>
              <w:left w:val="single" w:sz="8" w:color="7F7F7F"/>
            </w:tcBorders>
            <w:shd w:val="clear" w:color="auto" w:fill="0066B2"/>
          </w:tcPr>
          <w:p>
            <w:pPr>
              <w:spacing w:after="0"/>
              <w:rPr>
                <w:sz w:val="15"/>
                <w:szCs w:val="15"/>
                <w:color w:val="auto"/>
              </w:rPr>
            </w:pPr>
          </w:p>
        </w:tc>
        <w:tc>
          <w:tcPr>
            <w:tcW w:w="1400" w:type="dxa"/>
            <w:vAlign w:val="bottom"/>
            <w:shd w:val="clear" w:color="auto" w:fill="0066B2"/>
          </w:tcPr>
          <w:p>
            <w:pPr>
              <w:ind w:left="100"/>
              <w:spacing w:after="0"/>
              <w:rPr>
                <w:sz w:val="20"/>
                <w:szCs w:val="20"/>
                <w:color w:val="auto"/>
              </w:rPr>
            </w:pPr>
            <w:r>
              <w:rPr>
                <w:rFonts w:ascii="Arial" w:cs="Arial" w:eastAsia="Arial" w:hAnsi="Arial"/>
                <w:sz w:val="14"/>
                <w:szCs w:val="14"/>
                <w:b w:val="1"/>
                <w:bCs w:val="1"/>
                <w:color w:val="FFFFFF"/>
              </w:rPr>
              <w:t>Date of Change</w:t>
            </w:r>
          </w:p>
        </w:tc>
        <w:tc>
          <w:tcPr>
            <w:tcW w:w="1520" w:type="dxa"/>
            <w:vAlign w:val="bottom"/>
            <w:shd w:val="clear" w:color="auto" w:fill="0066B2"/>
          </w:tcPr>
          <w:p>
            <w:pPr>
              <w:ind w:left="240"/>
              <w:spacing w:after="0"/>
              <w:rPr>
                <w:sz w:val="20"/>
                <w:szCs w:val="20"/>
                <w:color w:val="auto"/>
              </w:rPr>
            </w:pPr>
            <w:r>
              <w:rPr>
                <w:rFonts w:ascii="Arial" w:cs="Arial" w:eastAsia="Arial" w:hAnsi="Arial"/>
                <w:sz w:val="14"/>
                <w:szCs w:val="14"/>
                <w:b w:val="1"/>
                <w:bCs w:val="1"/>
                <w:color w:val="FFFFFF"/>
              </w:rPr>
              <w:t>Director</w:t>
            </w:r>
          </w:p>
        </w:tc>
        <w:tc>
          <w:tcPr>
            <w:tcW w:w="3360" w:type="dxa"/>
            <w:vAlign w:val="bottom"/>
            <w:shd w:val="clear" w:color="auto" w:fill="0066B2"/>
          </w:tcPr>
          <w:p>
            <w:pPr>
              <w:ind w:left="360"/>
              <w:spacing w:after="0"/>
              <w:rPr>
                <w:sz w:val="20"/>
                <w:szCs w:val="20"/>
                <w:color w:val="auto"/>
              </w:rPr>
            </w:pPr>
            <w:r>
              <w:rPr>
                <w:rFonts w:ascii="Arial" w:cs="Arial" w:eastAsia="Arial" w:hAnsi="Arial"/>
                <w:sz w:val="14"/>
                <w:szCs w:val="14"/>
                <w:b w:val="1"/>
                <w:bCs w:val="1"/>
                <w:color w:val="FFFFFF"/>
              </w:rPr>
              <w:t>Primary Reason for Nomination/Departure</w:t>
            </w:r>
          </w:p>
        </w:tc>
        <w:tc>
          <w:tcPr>
            <w:tcW w:w="4260" w:type="dxa"/>
            <w:vAlign w:val="bottom"/>
            <w:tcBorders>
              <w:right w:val="single" w:sz="8" w:color="7F7F7F"/>
            </w:tcBorders>
            <w:shd w:val="clear" w:color="auto" w:fill="0066B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60" w:type="dxa"/>
            <w:vAlign w:val="bottom"/>
            <w:tcBorders>
              <w:left w:val="single" w:sz="8" w:color="7F7F7F"/>
            </w:tcBorders>
            <w:vMerge w:val="restart"/>
            <w:shd w:val="clear" w:color="auto" w:fill="D8D8D8"/>
          </w:tcPr>
          <w:p>
            <w:pPr>
              <w:jc w:val="center"/>
              <w:ind w:left="32"/>
              <w:spacing w:after="0"/>
              <w:rPr>
                <w:sz w:val="20"/>
                <w:szCs w:val="20"/>
                <w:color w:val="auto"/>
              </w:rPr>
            </w:pPr>
            <w:r>
              <w:rPr>
                <w:rFonts w:ascii="Arial" w:cs="Arial" w:eastAsia="Arial" w:hAnsi="Arial"/>
                <w:sz w:val="22"/>
                <w:szCs w:val="22"/>
                <w:b w:val="1"/>
                <w:bCs w:val="1"/>
                <w:color w:val="769231"/>
                <w:w w:val="93"/>
              </w:rPr>
              <w:t>+</w:t>
            </w:r>
          </w:p>
        </w:tc>
        <w:tc>
          <w:tcPr>
            <w:tcW w:w="1400" w:type="dxa"/>
            <w:vAlign w:val="bottom"/>
            <w:shd w:val="clear" w:color="auto" w:fill="D8D8D8"/>
          </w:tcPr>
          <w:p>
            <w:pPr>
              <w:ind w:left="100"/>
              <w:spacing w:after="0"/>
              <w:rPr>
                <w:sz w:val="20"/>
                <w:szCs w:val="20"/>
                <w:color w:val="auto"/>
              </w:rPr>
            </w:pPr>
            <w:r>
              <w:rPr>
                <w:rFonts w:ascii="Arial" w:cs="Arial" w:eastAsia="Arial" w:hAnsi="Arial"/>
                <w:sz w:val="14"/>
                <w:szCs w:val="14"/>
                <w:color w:val="auto"/>
              </w:rPr>
              <w:t>January</w:t>
            </w:r>
          </w:p>
        </w:tc>
        <w:tc>
          <w:tcPr>
            <w:tcW w:w="1520" w:type="dxa"/>
            <w:vAlign w:val="bottom"/>
            <w:shd w:val="clear" w:color="auto" w:fill="D8D8D8"/>
          </w:tcPr>
          <w:p>
            <w:pPr>
              <w:ind w:left="240"/>
              <w:spacing w:after="0"/>
              <w:rPr>
                <w:sz w:val="20"/>
                <w:szCs w:val="20"/>
                <w:color w:val="auto"/>
              </w:rPr>
            </w:pPr>
            <w:r>
              <w:rPr>
                <w:rFonts w:ascii="Arial" w:cs="Arial" w:eastAsia="Arial" w:hAnsi="Arial"/>
                <w:sz w:val="14"/>
                <w:szCs w:val="14"/>
                <w:color w:val="auto"/>
              </w:rPr>
              <w:t>Marillyn A.</w:t>
            </w:r>
          </w:p>
        </w:tc>
        <w:tc>
          <w:tcPr>
            <w:tcW w:w="7620" w:type="dxa"/>
            <w:vAlign w:val="bottom"/>
            <w:tcBorders>
              <w:right w:val="single" w:sz="8" w:color="7F7F7F"/>
            </w:tcBorders>
            <w:gridSpan w:val="2"/>
            <w:shd w:val="clear" w:color="auto" w:fill="D8D8D8"/>
          </w:tcPr>
          <w:p>
            <w:pPr>
              <w:ind w:left="360"/>
              <w:spacing w:after="0"/>
              <w:rPr>
                <w:sz w:val="20"/>
                <w:szCs w:val="20"/>
                <w:color w:val="auto"/>
              </w:rPr>
            </w:pPr>
            <w:r>
              <w:rPr>
                <w:rFonts w:ascii="Arial" w:cs="Arial" w:eastAsia="Arial" w:hAnsi="Arial"/>
                <w:sz w:val="14"/>
                <w:szCs w:val="14"/>
                <w:color w:val="auto"/>
              </w:rPr>
              <w:t>Brings valuable global business experience as well as decades of perspective on international commerce and</w:t>
            </w:r>
          </w:p>
        </w:tc>
        <w:tc>
          <w:tcPr>
            <w:tcW w:w="0" w:type="dxa"/>
            <w:vAlign w:val="bottom"/>
          </w:tcPr>
          <w:p>
            <w:pPr>
              <w:spacing w:after="0"/>
              <w:rPr>
                <w:sz w:val="1"/>
                <w:szCs w:val="1"/>
                <w:color w:val="auto"/>
              </w:rPr>
            </w:pPr>
          </w:p>
        </w:tc>
      </w:tr>
      <w:tr>
        <w:trPr>
          <w:trHeight w:val="205"/>
        </w:trPr>
        <w:tc>
          <w:tcPr>
            <w:tcW w:w="460" w:type="dxa"/>
            <w:vAlign w:val="bottom"/>
            <w:tcBorders>
              <w:left w:val="single" w:sz="8" w:color="7F7F7F"/>
              <w:bottom w:val="single" w:sz="8" w:color="D8D8D8"/>
            </w:tcBorders>
            <w:vMerge w:val="continue"/>
            <w:shd w:val="clear" w:color="auto" w:fill="D8D8D8"/>
          </w:tcPr>
          <w:p>
            <w:pPr>
              <w:spacing w:after="0"/>
              <w:rPr>
                <w:sz w:val="17"/>
                <w:szCs w:val="17"/>
                <w:color w:val="auto"/>
              </w:rPr>
            </w:pPr>
          </w:p>
        </w:tc>
        <w:tc>
          <w:tcPr>
            <w:tcW w:w="1400" w:type="dxa"/>
            <w:vAlign w:val="bottom"/>
            <w:tcBorders>
              <w:bottom w:val="single" w:sz="8" w:color="D8D8D8"/>
            </w:tcBorders>
            <w:shd w:val="clear" w:color="auto" w:fill="D8D8D8"/>
          </w:tcPr>
          <w:p>
            <w:pPr>
              <w:ind w:left="100"/>
              <w:spacing w:after="0"/>
              <w:rPr>
                <w:sz w:val="20"/>
                <w:szCs w:val="20"/>
                <w:color w:val="auto"/>
              </w:rPr>
            </w:pPr>
            <w:r>
              <w:rPr>
                <w:rFonts w:ascii="Arial" w:cs="Arial" w:eastAsia="Arial" w:hAnsi="Arial"/>
                <w:sz w:val="14"/>
                <w:szCs w:val="14"/>
                <w:color w:val="auto"/>
              </w:rPr>
              <w:t>2021</w:t>
            </w:r>
          </w:p>
        </w:tc>
        <w:tc>
          <w:tcPr>
            <w:tcW w:w="1520" w:type="dxa"/>
            <w:vAlign w:val="bottom"/>
            <w:tcBorders>
              <w:bottom w:val="single" w:sz="8" w:color="D8D8D8"/>
            </w:tcBorders>
            <w:shd w:val="clear" w:color="auto" w:fill="D8D8D8"/>
          </w:tcPr>
          <w:p>
            <w:pPr>
              <w:ind w:left="240"/>
              <w:spacing w:after="0"/>
              <w:rPr>
                <w:sz w:val="20"/>
                <w:szCs w:val="20"/>
                <w:color w:val="auto"/>
              </w:rPr>
            </w:pPr>
            <w:r>
              <w:rPr>
                <w:rFonts w:ascii="Arial" w:cs="Arial" w:eastAsia="Arial" w:hAnsi="Arial"/>
                <w:sz w:val="14"/>
                <w:szCs w:val="14"/>
                <w:color w:val="auto"/>
              </w:rPr>
              <w:t>Hewson</w:t>
            </w:r>
          </w:p>
        </w:tc>
        <w:tc>
          <w:tcPr>
            <w:tcW w:w="3360" w:type="dxa"/>
            <w:vAlign w:val="bottom"/>
            <w:tcBorders>
              <w:bottom w:val="single" w:sz="8" w:color="D8D8D8"/>
            </w:tcBorders>
            <w:shd w:val="clear" w:color="auto" w:fill="D8D8D8"/>
          </w:tcPr>
          <w:p>
            <w:pPr>
              <w:ind w:left="360"/>
              <w:spacing w:after="0"/>
              <w:rPr>
                <w:sz w:val="20"/>
                <w:szCs w:val="20"/>
                <w:color w:val="auto"/>
              </w:rPr>
            </w:pPr>
            <w:r>
              <w:rPr>
                <w:rFonts w:ascii="Arial" w:cs="Arial" w:eastAsia="Arial" w:hAnsi="Arial"/>
                <w:sz w:val="14"/>
                <w:szCs w:val="14"/>
                <w:color w:val="auto"/>
              </w:rPr>
              <w:t>geopolitics</w:t>
            </w:r>
          </w:p>
        </w:tc>
        <w:tc>
          <w:tcPr>
            <w:tcW w:w="4260" w:type="dxa"/>
            <w:vAlign w:val="bottom"/>
            <w:tcBorders>
              <w:bottom w:val="single" w:sz="8" w:color="D8D8D8"/>
              <w:right w:val="single" w:sz="8" w:color="7F7F7F"/>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60" w:type="dxa"/>
            <w:vAlign w:val="bottom"/>
            <w:tcBorders>
              <w:left w:val="single" w:sz="8" w:color="7F7F7F"/>
            </w:tcBorders>
            <w:vMerge w:val="restart"/>
          </w:tcPr>
          <w:p>
            <w:pPr>
              <w:jc w:val="center"/>
              <w:ind w:left="32"/>
              <w:spacing w:after="0"/>
              <w:rPr>
                <w:sz w:val="20"/>
                <w:szCs w:val="20"/>
                <w:color w:val="auto"/>
              </w:rPr>
            </w:pPr>
            <w:r>
              <w:rPr>
                <w:rFonts w:ascii="Arial" w:cs="Arial" w:eastAsia="Arial" w:hAnsi="Arial"/>
                <w:sz w:val="22"/>
                <w:szCs w:val="22"/>
                <w:b w:val="1"/>
                <w:bCs w:val="1"/>
                <w:color w:val="769231"/>
                <w:w w:val="93"/>
              </w:rPr>
              <w:t>+</w:t>
            </w:r>
          </w:p>
        </w:tc>
        <w:tc>
          <w:tcPr>
            <w:tcW w:w="1400" w:type="dxa"/>
            <w:vAlign w:val="bottom"/>
          </w:tcPr>
          <w:p>
            <w:pPr>
              <w:ind w:left="100"/>
              <w:spacing w:after="0"/>
              <w:rPr>
                <w:sz w:val="20"/>
                <w:szCs w:val="20"/>
                <w:color w:val="auto"/>
              </w:rPr>
            </w:pPr>
            <w:r>
              <w:rPr>
                <w:rFonts w:ascii="Arial" w:cs="Arial" w:eastAsia="Arial" w:hAnsi="Arial"/>
                <w:sz w:val="14"/>
                <w:szCs w:val="14"/>
                <w:color w:val="auto"/>
              </w:rPr>
              <w:t>September</w:t>
            </w:r>
          </w:p>
        </w:tc>
        <w:tc>
          <w:tcPr>
            <w:tcW w:w="1520" w:type="dxa"/>
            <w:vAlign w:val="bottom"/>
          </w:tcPr>
          <w:p>
            <w:pPr>
              <w:ind w:left="240"/>
              <w:spacing w:after="0"/>
              <w:rPr>
                <w:sz w:val="20"/>
                <w:szCs w:val="20"/>
                <w:color w:val="auto"/>
              </w:rPr>
            </w:pPr>
            <w:r>
              <w:rPr>
                <w:rFonts w:ascii="Arial" w:cs="Arial" w:eastAsia="Arial" w:hAnsi="Arial"/>
                <w:sz w:val="14"/>
                <w:szCs w:val="14"/>
                <w:color w:val="auto"/>
              </w:rPr>
              <w:t>Jon M.</w:t>
            </w:r>
          </w:p>
        </w:tc>
        <w:tc>
          <w:tcPr>
            <w:tcW w:w="7620" w:type="dxa"/>
            <w:vAlign w:val="bottom"/>
            <w:tcBorders>
              <w:right w:val="single" w:sz="8" w:color="7F7F7F"/>
            </w:tcBorders>
            <w:gridSpan w:val="2"/>
          </w:tcPr>
          <w:p>
            <w:pPr>
              <w:ind w:left="360"/>
              <w:spacing w:after="0"/>
              <w:rPr>
                <w:sz w:val="20"/>
                <w:szCs w:val="20"/>
                <w:color w:val="auto"/>
              </w:rPr>
            </w:pPr>
            <w:r>
              <w:rPr>
                <w:rFonts w:ascii="Arial" w:cs="Arial" w:eastAsia="Arial" w:hAnsi="Arial"/>
                <w:sz w:val="14"/>
                <w:szCs w:val="14"/>
                <w:color w:val="auto"/>
              </w:rPr>
              <w:t>Strong international and public policy experience, knowledge of Chevron’s business, and leadership experience</w:t>
            </w:r>
          </w:p>
        </w:tc>
        <w:tc>
          <w:tcPr>
            <w:tcW w:w="0" w:type="dxa"/>
            <w:vAlign w:val="bottom"/>
          </w:tcPr>
          <w:p>
            <w:pPr>
              <w:spacing w:after="0"/>
              <w:rPr>
                <w:sz w:val="1"/>
                <w:szCs w:val="1"/>
                <w:color w:val="auto"/>
              </w:rPr>
            </w:pPr>
          </w:p>
        </w:tc>
      </w:tr>
      <w:tr>
        <w:trPr>
          <w:trHeight w:val="185"/>
        </w:trPr>
        <w:tc>
          <w:tcPr>
            <w:tcW w:w="460" w:type="dxa"/>
            <w:vAlign w:val="bottom"/>
            <w:tcBorders>
              <w:left w:val="single" w:sz="8" w:color="7F7F7F"/>
            </w:tcBorders>
            <w:vMerge w:val="continue"/>
          </w:tcPr>
          <w:p>
            <w:pPr>
              <w:spacing w:after="0"/>
              <w:rPr>
                <w:sz w:val="16"/>
                <w:szCs w:val="16"/>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2020</w:t>
            </w:r>
          </w:p>
        </w:tc>
        <w:tc>
          <w:tcPr>
            <w:tcW w:w="1520" w:type="dxa"/>
            <w:vAlign w:val="bottom"/>
          </w:tcPr>
          <w:p>
            <w:pPr>
              <w:ind w:left="240"/>
              <w:spacing w:after="0"/>
              <w:rPr>
                <w:sz w:val="20"/>
                <w:szCs w:val="20"/>
                <w:color w:val="auto"/>
              </w:rPr>
            </w:pPr>
            <w:r>
              <w:rPr>
                <w:rFonts w:ascii="Arial" w:cs="Arial" w:eastAsia="Arial" w:hAnsi="Arial"/>
                <w:sz w:val="14"/>
                <w:szCs w:val="14"/>
                <w:color w:val="auto"/>
              </w:rPr>
              <w:t>Huntsman Jr.*</w:t>
            </w:r>
          </w:p>
        </w:tc>
        <w:tc>
          <w:tcPr>
            <w:tcW w:w="3360" w:type="dxa"/>
            <w:vAlign w:val="bottom"/>
          </w:tcPr>
          <w:p>
            <w:pPr>
              <w:spacing w:after="0"/>
              <w:rPr>
                <w:sz w:val="16"/>
                <w:szCs w:val="16"/>
                <w:color w:val="auto"/>
              </w:rPr>
            </w:pPr>
          </w:p>
        </w:tc>
        <w:tc>
          <w:tcPr>
            <w:tcW w:w="4260" w:type="dxa"/>
            <w:vAlign w:val="bottom"/>
            <w:tcBorders>
              <w:right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0" w:type="dxa"/>
            <w:vAlign w:val="bottom"/>
            <w:tcBorders>
              <w:left w:val="single" w:sz="8" w:color="7F7F7F"/>
            </w:tcBorders>
            <w:vMerge w:val="restart"/>
            <w:shd w:val="clear" w:color="auto" w:fill="D8D8D8"/>
          </w:tcPr>
          <w:p>
            <w:pPr>
              <w:jc w:val="center"/>
              <w:ind w:left="32"/>
              <w:spacing w:after="0"/>
              <w:rPr>
                <w:sz w:val="20"/>
                <w:szCs w:val="20"/>
                <w:color w:val="auto"/>
              </w:rPr>
            </w:pPr>
            <w:r>
              <w:rPr>
                <w:rFonts w:ascii="Arial" w:cs="Arial" w:eastAsia="Arial" w:hAnsi="Arial"/>
                <w:sz w:val="22"/>
                <w:szCs w:val="22"/>
                <w:b w:val="1"/>
                <w:bCs w:val="1"/>
                <w:color w:val="E21836"/>
              </w:rPr>
              <w:t>-</w:t>
            </w:r>
          </w:p>
        </w:tc>
        <w:tc>
          <w:tcPr>
            <w:tcW w:w="1400" w:type="dxa"/>
            <w:vAlign w:val="bottom"/>
            <w:shd w:val="clear" w:color="auto" w:fill="D8D8D8"/>
          </w:tcPr>
          <w:p>
            <w:pPr>
              <w:ind w:left="100"/>
              <w:spacing w:after="0"/>
              <w:rPr>
                <w:sz w:val="20"/>
                <w:szCs w:val="20"/>
                <w:color w:val="auto"/>
              </w:rPr>
            </w:pPr>
            <w:r>
              <w:rPr>
                <w:rFonts w:ascii="Arial" w:cs="Arial" w:eastAsia="Arial" w:hAnsi="Arial"/>
                <w:sz w:val="14"/>
                <w:szCs w:val="14"/>
                <w:color w:val="auto"/>
              </w:rPr>
              <w:t>January</w:t>
            </w:r>
          </w:p>
        </w:tc>
        <w:tc>
          <w:tcPr>
            <w:tcW w:w="1520" w:type="dxa"/>
            <w:vAlign w:val="bottom"/>
            <w:shd w:val="clear" w:color="auto" w:fill="D8D8D8"/>
          </w:tcPr>
          <w:p>
            <w:pPr>
              <w:ind w:left="240"/>
              <w:spacing w:after="0"/>
              <w:rPr>
                <w:sz w:val="20"/>
                <w:szCs w:val="20"/>
                <w:color w:val="auto"/>
              </w:rPr>
            </w:pPr>
            <w:r>
              <w:rPr>
                <w:rFonts w:ascii="Arial" w:cs="Arial" w:eastAsia="Arial" w:hAnsi="Arial"/>
                <w:sz w:val="14"/>
                <w:szCs w:val="14"/>
                <w:color w:val="auto"/>
              </w:rPr>
              <w:t>Inge G.</w:t>
            </w:r>
          </w:p>
        </w:tc>
        <w:tc>
          <w:tcPr>
            <w:tcW w:w="3360" w:type="dxa"/>
            <w:vAlign w:val="bottom"/>
            <w:shd w:val="clear" w:color="auto" w:fill="D8D8D8"/>
          </w:tcPr>
          <w:p>
            <w:pPr>
              <w:ind w:left="360"/>
              <w:spacing w:after="0"/>
              <w:rPr>
                <w:sz w:val="20"/>
                <w:szCs w:val="20"/>
                <w:color w:val="auto"/>
              </w:rPr>
            </w:pPr>
            <w:r>
              <w:rPr>
                <w:rFonts w:ascii="Arial" w:cs="Arial" w:eastAsia="Arial" w:hAnsi="Arial"/>
                <w:sz w:val="14"/>
                <w:szCs w:val="14"/>
                <w:color w:val="auto"/>
              </w:rPr>
              <w:t>Time and logistics conflict</w:t>
            </w:r>
          </w:p>
        </w:tc>
        <w:tc>
          <w:tcPr>
            <w:tcW w:w="4260" w:type="dxa"/>
            <w:vAlign w:val="bottom"/>
            <w:tcBorders>
              <w:right w:val="single" w:sz="8" w:color="7F7F7F"/>
            </w:tcBorders>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60" w:type="dxa"/>
            <w:vAlign w:val="bottom"/>
            <w:tcBorders>
              <w:left w:val="single" w:sz="8" w:color="7F7F7F"/>
            </w:tcBorders>
            <w:vMerge w:val="continue"/>
            <w:shd w:val="clear" w:color="auto" w:fill="D8D8D8"/>
          </w:tcPr>
          <w:p>
            <w:pPr>
              <w:spacing w:after="0"/>
              <w:rPr>
                <w:sz w:val="16"/>
                <w:szCs w:val="16"/>
                <w:color w:val="auto"/>
              </w:rPr>
            </w:pPr>
          </w:p>
        </w:tc>
        <w:tc>
          <w:tcPr>
            <w:tcW w:w="1400" w:type="dxa"/>
            <w:vAlign w:val="bottom"/>
            <w:shd w:val="clear" w:color="auto" w:fill="D8D8D8"/>
          </w:tcPr>
          <w:p>
            <w:pPr>
              <w:ind w:left="100"/>
              <w:spacing w:after="0"/>
              <w:rPr>
                <w:sz w:val="20"/>
                <w:szCs w:val="20"/>
                <w:color w:val="auto"/>
              </w:rPr>
            </w:pPr>
            <w:r>
              <w:rPr>
                <w:rFonts w:ascii="Arial" w:cs="Arial" w:eastAsia="Arial" w:hAnsi="Arial"/>
                <w:sz w:val="14"/>
                <w:szCs w:val="14"/>
                <w:color w:val="auto"/>
              </w:rPr>
              <w:t>2020</w:t>
            </w:r>
          </w:p>
        </w:tc>
        <w:tc>
          <w:tcPr>
            <w:tcW w:w="1520" w:type="dxa"/>
            <w:vAlign w:val="bottom"/>
            <w:shd w:val="clear" w:color="auto" w:fill="D8D8D8"/>
          </w:tcPr>
          <w:p>
            <w:pPr>
              <w:ind w:left="240"/>
              <w:spacing w:after="0"/>
              <w:rPr>
                <w:sz w:val="20"/>
                <w:szCs w:val="20"/>
                <w:color w:val="auto"/>
              </w:rPr>
            </w:pPr>
            <w:r>
              <w:rPr>
                <w:rFonts w:ascii="Arial" w:cs="Arial" w:eastAsia="Arial" w:hAnsi="Arial"/>
                <w:sz w:val="14"/>
                <w:szCs w:val="14"/>
                <w:color w:val="auto"/>
              </w:rPr>
              <w:t>Thulin</w:t>
            </w:r>
          </w:p>
        </w:tc>
        <w:tc>
          <w:tcPr>
            <w:tcW w:w="3360" w:type="dxa"/>
            <w:vAlign w:val="bottom"/>
            <w:shd w:val="clear" w:color="auto" w:fill="D8D8D8"/>
          </w:tcPr>
          <w:p>
            <w:pPr>
              <w:spacing w:after="0"/>
              <w:rPr>
                <w:sz w:val="16"/>
                <w:szCs w:val="16"/>
                <w:color w:val="auto"/>
              </w:rPr>
            </w:pPr>
          </w:p>
        </w:tc>
        <w:tc>
          <w:tcPr>
            <w:tcW w:w="4260" w:type="dxa"/>
            <w:vAlign w:val="bottom"/>
            <w:tcBorders>
              <w:right w:val="single" w:sz="8" w:color="7F7F7F"/>
            </w:tcBorders>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0" w:type="dxa"/>
            <w:vAlign w:val="bottom"/>
            <w:tcBorders>
              <w:left w:val="single" w:sz="8" w:color="7F7F7F"/>
            </w:tcBorders>
            <w:vMerge w:val="restart"/>
          </w:tcPr>
          <w:p>
            <w:pPr>
              <w:jc w:val="center"/>
              <w:ind w:left="32"/>
              <w:spacing w:after="0"/>
              <w:rPr>
                <w:sz w:val="20"/>
                <w:szCs w:val="20"/>
                <w:color w:val="auto"/>
              </w:rPr>
            </w:pPr>
            <w:r>
              <w:rPr>
                <w:rFonts w:ascii="Arial" w:cs="Arial" w:eastAsia="Arial" w:hAnsi="Arial"/>
                <w:sz w:val="22"/>
                <w:szCs w:val="22"/>
                <w:b w:val="1"/>
                <w:bCs w:val="1"/>
                <w:color w:val="769231"/>
                <w:w w:val="93"/>
              </w:rPr>
              <w:t>+</w:t>
            </w:r>
          </w:p>
        </w:tc>
        <w:tc>
          <w:tcPr>
            <w:tcW w:w="1400" w:type="dxa"/>
            <w:vAlign w:val="bottom"/>
          </w:tcPr>
          <w:p>
            <w:pPr>
              <w:ind w:left="100"/>
              <w:spacing w:after="0"/>
              <w:rPr>
                <w:sz w:val="20"/>
                <w:szCs w:val="20"/>
                <w:color w:val="auto"/>
              </w:rPr>
            </w:pPr>
            <w:r>
              <w:rPr>
                <w:rFonts w:ascii="Arial" w:cs="Arial" w:eastAsia="Arial" w:hAnsi="Arial"/>
                <w:sz w:val="14"/>
                <w:szCs w:val="14"/>
                <w:color w:val="auto"/>
              </w:rPr>
              <w:t>December</w:t>
            </w:r>
          </w:p>
        </w:tc>
        <w:tc>
          <w:tcPr>
            <w:tcW w:w="1520" w:type="dxa"/>
            <w:vAlign w:val="bottom"/>
          </w:tcPr>
          <w:p>
            <w:pPr>
              <w:ind w:left="240"/>
              <w:spacing w:after="0"/>
              <w:rPr>
                <w:sz w:val="20"/>
                <w:szCs w:val="20"/>
                <w:color w:val="auto"/>
              </w:rPr>
            </w:pPr>
            <w:r>
              <w:rPr>
                <w:rFonts w:ascii="Arial" w:cs="Arial" w:eastAsia="Arial" w:hAnsi="Arial"/>
                <w:sz w:val="14"/>
                <w:szCs w:val="14"/>
                <w:color w:val="auto"/>
              </w:rPr>
              <w:t>Debra</w:t>
            </w:r>
          </w:p>
        </w:tc>
        <w:tc>
          <w:tcPr>
            <w:tcW w:w="7620" w:type="dxa"/>
            <w:vAlign w:val="bottom"/>
            <w:tcBorders>
              <w:right w:val="single" w:sz="8" w:color="7F7F7F"/>
            </w:tcBorders>
            <w:gridSpan w:val="2"/>
          </w:tcPr>
          <w:p>
            <w:pPr>
              <w:ind w:left="360"/>
              <w:spacing w:after="0"/>
              <w:rPr>
                <w:sz w:val="20"/>
                <w:szCs w:val="20"/>
                <w:color w:val="auto"/>
              </w:rPr>
            </w:pPr>
            <w:r>
              <w:rPr>
                <w:rFonts w:ascii="Arial" w:cs="Arial" w:eastAsia="Arial" w:hAnsi="Arial"/>
                <w:sz w:val="14"/>
                <w:szCs w:val="14"/>
                <w:color w:val="auto"/>
              </w:rPr>
              <w:t>Depth of business leadership and experience with regulated utilities in California</w:t>
            </w:r>
          </w:p>
        </w:tc>
        <w:tc>
          <w:tcPr>
            <w:tcW w:w="0" w:type="dxa"/>
            <w:vAlign w:val="bottom"/>
          </w:tcPr>
          <w:p>
            <w:pPr>
              <w:spacing w:after="0"/>
              <w:rPr>
                <w:sz w:val="1"/>
                <w:szCs w:val="1"/>
                <w:color w:val="auto"/>
              </w:rPr>
            </w:pPr>
          </w:p>
        </w:tc>
      </w:tr>
      <w:tr>
        <w:trPr>
          <w:trHeight w:val="185"/>
        </w:trPr>
        <w:tc>
          <w:tcPr>
            <w:tcW w:w="460" w:type="dxa"/>
            <w:vAlign w:val="bottom"/>
            <w:tcBorders>
              <w:left w:val="single" w:sz="8" w:color="7F7F7F"/>
            </w:tcBorders>
            <w:vMerge w:val="continue"/>
          </w:tcPr>
          <w:p>
            <w:pPr>
              <w:spacing w:after="0"/>
              <w:rPr>
                <w:sz w:val="16"/>
                <w:szCs w:val="16"/>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2018</w:t>
            </w:r>
          </w:p>
        </w:tc>
        <w:tc>
          <w:tcPr>
            <w:tcW w:w="1520" w:type="dxa"/>
            <w:vAlign w:val="bottom"/>
          </w:tcPr>
          <w:p>
            <w:pPr>
              <w:ind w:left="240"/>
              <w:spacing w:after="0"/>
              <w:rPr>
                <w:sz w:val="20"/>
                <w:szCs w:val="20"/>
                <w:color w:val="auto"/>
              </w:rPr>
            </w:pPr>
            <w:r>
              <w:rPr>
                <w:rFonts w:ascii="Arial" w:cs="Arial" w:eastAsia="Arial" w:hAnsi="Arial"/>
                <w:sz w:val="14"/>
                <w:szCs w:val="14"/>
                <w:color w:val="auto"/>
              </w:rPr>
              <w:t>Reed-Klages</w:t>
            </w:r>
          </w:p>
        </w:tc>
        <w:tc>
          <w:tcPr>
            <w:tcW w:w="3360" w:type="dxa"/>
            <w:vAlign w:val="bottom"/>
          </w:tcPr>
          <w:p>
            <w:pPr>
              <w:spacing w:after="0"/>
              <w:rPr>
                <w:sz w:val="16"/>
                <w:szCs w:val="16"/>
                <w:color w:val="auto"/>
              </w:rPr>
            </w:pPr>
          </w:p>
        </w:tc>
        <w:tc>
          <w:tcPr>
            <w:tcW w:w="4260" w:type="dxa"/>
            <w:vAlign w:val="bottom"/>
            <w:tcBorders>
              <w:right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0" w:type="dxa"/>
            <w:vAlign w:val="bottom"/>
            <w:tcBorders>
              <w:left w:val="single" w:sz="8" w:color="7F7F7F"/>
            </w:tcBorders>
            <w:vMerge w:val="restart"/>
            <w:shd w:val="clear" w:color="auto" w:fill="D8D8D8"/>
          </w:tcPr>
          <w:p>
            <w:pPr>
              <w:jc w:val="center"/>
              <w:ind w:left="32"/>
              <w:spacing w:after="0"/>
              <w:rPr>
                <w:sz w:val="20"/>
                <w:szCs w:val="20"/>
                <w:color w:val="auto"/>
              </w:rPr>
            </w:pPr>
            <w:r>
              <w:rPr>
                <w:rFonts w:ascii="Arial" w:cs="Arial" w:eastAsia="Arial" w:hAnsi="Arial"/>
                <w:sz w:val="22"/>
                <w:szCs w:val="22"/>
                <w:b w:val="1"/>
                <w:bCs w:val="1"/>
                <w:color w:val="E21836"/>
              </w:rPr>
              <w:t>-</w:t>
            </w:r>
          </w:p>
        </w:tc>
        <w:tc>
          <w:tcPr>
            <w:tcW w:w="1400" w:type="dxa"/>
            <w:vAlign w:val="bottom"/>
            <w:shd w:val="clear" w:color="auto" w:fill="D8D8D8"/>
          </w:tcPr>
          <w:p>
            <w:pPr>
              <w:ind w:left="100"/>
              <w:spacing w:after="0"/>
              <w:rPr>
                <w:sz w:val="20"/>
                <w:szCs w:val="20"/>
                <w:color w:val="auto"/>
              </w:rPr>
            </w:pPr>
            <w:r>
              <w:rPr>
                <w:rFonts w:ascii="Arial" w:cs="Arial" w:eastAsia="Arial" w:hAnsi="Arial"/>
                <w:sz w:val="14"/>
                <w:szCs w:val="14"/>
                <w:color w:val="auto"/>
              </w:rPr>
              <w:t>May</w:t>
            </w:r>
          </w:p>
        </w:tc>
        <w:tc>
          <w:tcPr>
            <w:tcW w:w="1520" w:type="dxa"/>
            <w:vAlign w:val="bottom"/>
            <w:shd w:val="clear" w:color="auto" w:fill="D8D8D8"/>
          </w:tcPr>
          <w:p>
            <w:pPr>
              <w:ind w:left="240"/>
              <w:spacing w:after="0"/>
              <w:rPr>
                <w:sz w:val="20"/>
                <w:szCs w:val="20"/>
                <w:color w:val="auto"/>
              </w:rPr>
            </w:pPr>
            <w:r>
              <w:rPr>
                <w:rFonts w:ascii="Arial" w:cs="Arial" w:eastAsia="Arial" w:hAnsi="Arial"/>
                <w:sz w:val="14"/>
                <w:szCs w:val="14"/>
                <w:color w:val="auto"/>
              </w:rPr>
              <w:t>Linnet F.</w:t>
            </w:r>
          </w:p>
        </w:tc>
        <w:tc>
          <w:tcPr>
            <w:tcW w:w="3360" w:type="dxa"/>
            <w:vAlign w:val="bottom"/>
            <w:shd w:val="clear" w:color="auto" w:fill="D8D8D8"/>
          </w:tcPr>
          <w:p>
            <w:pPr>
              <w:ind w:left="360"/>
              <w:spacing w:after="0"/>
              <w:rPr>
                <w:sz w:val="20"/>
                <w:szCs w:val="20"/>
                <w:color w:val="auto"/>
              </w:rPr>
            </w:pPr>
            <w:r>
              <w:rPr>
                <w:rFonts w:ascii="Arial" w:cs="Arial" w:eastAsia="Arial" w:hAnsi="Arial"/>
                <w:sz w:val="14"/>
                <w:szCs w:val="14"/>
                <w:color w:val="auto"/>
              </w:rPr>
              <w:t>Mandatory Director Retirement Policy</w:t>
            </w:r>
          </w:p>
        </w:tc>
        <w:tc>
          <w:tcPr>
            <w:tcW w:w="4260" w:type="dxa"/>
            <w:vAlign w:val="bottom"/>
            <w:tcBorders>
              <w:right w:val="single" w:sz="8" w:color="7F7F7F"/>
            </w:tcBorders>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60" w:type="dxa"/>
            <w:vAlign w:val="bottom"/>
            <w:tcBorders>
              <w:left w:val="single" w:sz="8" w:color="7F7F7F"/>
            </w:tcBorders>
            <w:vMerge w:val="continue"/>
            <w:shd w:val="clear" w:color="auto" w:fill="D8D8D8"/>
          </w:tcPr>
          <w:p>
            <w:pPr>
              <w:spacing w:after="0"/>
              <w:rPr>
                <w:sz w:val="16"/>
                <w:szCs w:val="16"/>
                <w:color w:val="auto"/>
              </w:rPr>
            </w:pPr>
          </w:p>
        </w:tc>
        <w:tc>
          <w:tcPr>
            <w:tcW w:w="1400" w:type="dxa"/>
            <w:vAlign w:val="bottom"/>
            <w:shd w:val="clear" w:color="auto" w:fill="D8D8D8"/>
          </w:tcPr>
          <w:p>
            <w:pPr>
              <w:ind w:left="100"/>
              <w:spacing w:after="0"/>
              <w:rPr>
                <w:sz w:val="20"/>
                <w:szCs w:val="20"/>
                <w:color w:val="auto"/>
              </w:rPr>
            </w:pPr>
            <w:r>
              <w:rPr>
                <w:rFonts w:ascii="Arial" w:cs="Arial" w:eastAsia="Arial" w:hAnsi="Arial"/>
                <w:sz w:val="14"/>
                <w:szCs w:val="14"/>
                <w:color w:val="auto"/>
              </w:rPr>
              <w:t>2018</w:t>
            </w:r>
          </w:p>
        </w:tc>
        <w:tc>
          <w:tcPr>
            <w:tcW w:w="1520" w:type="dxa"/>
            <w:vAlign w:val="bottom"/>
            <w:shd w:val="clear" w:color="auto" w:fill="D8D8D8"/>
          </w:tcPr>
          <w:p>
            <w:pPr>
              <w:ind w:left="240"/>
              <w:spacing w:after="0"/>
              <w:rPr>
                <w:sz w:val="20"/>
                <w:szCs w:val="20"/>
                <w:color w:val="auto"/>
              </w:rPr>
            </w:pPr>
            <w:r>
              <w:rPr>
                <w:rFonts w:ascii="Arial" w:cs="Arial" w:eastAsia="Arial" w:hAnsi="Arial"/>
                <w:sz w:val="14"/>
                <w:szCs w:val="14"/>
                <w:color w:val="auto"/>
              </w:rPr>
              <w:t>Deily</w:t>
            </w:r>
          </w:p>
        </w:tc>
        <w:tc>
          <w:tcPr>
            <w:tcW w:w="3360" w:type="dxa"/>
            <w:vAlign w:val="bottom"/>
            <w:shd w:val="clear" w:color="auto" w:fill="D8D8D8"/>
          </w:tcPr>
          <w:p>
            <w:pPr>
              <w:spacing w:after="0"/>
              <w:rPr>
                <w:sz w:val="16"/>
                <w:szCs w:val="16"/>
                <w:color w:val="auto"/>
              </w:rPr>
            </w:pPr>
          </w:p>
        </w:tc>
        <w:tc>
          <w:tcPr>
            <w:tcW w:w="4260" w:type="dxa"/>
            <w:vAlign w:val="bottom"/>
            <w:tcBorders>
              <w:right w:val="single" w:sz="8" w:color="7F7F7F"/>
            </w:tcBorders>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0" w:type="dxa"/>
            <w:vAlign w:val="bottom"/>
            <w:tcBorders>
              <w:left w:val="single" w:sz="8" w:color="7F7F7F"/>
            </w:tcBorders>
            <w:vMerge w:val="restart"/>
          </w:tcPr>
          <w:p>
            <w:pPr>
              <w:jc w:val="center"/>
              <w:ind w:left="32"/>
              <w:spacing w:after="0"/>
              <w:rPr>
                <w:sz w:val="20"/>
                <w:szCs w:val="20"/>
                <w:color w:val="auto"/>
              </w:rPr>
            </w:pPr>
            <w:r>
              <w:rPr>
                <w:rFonts w:ascii="Arial" w:cs="Arial" w:eastAsia="Arial" w:hAnsi="Arial"/>
                <w:sz w:val="22"/>
                <w:szCs w:val="22"/>
                <w:b w:val="1"/>
                <w:bCs w:val="1"/>
                <w:color w:val="E21836"/>
              </w:rPr>
              <w:t>-</w:t>
            </w:r>
          </w:p>
        </w:tc>
        <w:tc>
          <w:tcPr>
            <w:tcW w:w="1400" w:type="dxa"/>
            <w:vAlign w:val="bottom"/>
          </w:tcPr>
          <w:p>
            <w:pPr>
              <w:ind w:left="100"/>
              <w:spacing w:after="0"/>
              <w:rPr>
                <w:sz w:val="20"/>
                <w:szCs w:val="20"/>
                <w:color w:val="auto"/>
              </w:rPr>
            </w:pPr>
            <w:r>
              <w:rPr>
                <w:rFonts w:ascii="Arial" w:cs="Arial" w:eastAsia="Arial" w:hAnsi="Arial"/>
                <w:sz w:val="14"/>
                <w:szCs w:val="14"/>
                <w:color w:val="auto"/>
              </w:rPr>
              <w:t>May</w:t>
            </w:r>
          </w:p>
        </w:tc>
        <w:tc>
          <w:tcPr>
            <w:tcW w:w="1520" w:type="dxa"/>
            <w:vAlign w:val="bottom"/>
          </w:tcPr>
          <w:p>
            <w:pPr>
              <w:ind w:left="240"/>
              <w:spacing w:after="0"/>
              <w:rPr>
                <w:sz w:val="20"/>
                <w:szCs w:val="20"/>
                <w:color w:val="auto"/>
              </w:rPr>
            </w:pPr>
            <w:r>
              <w:rPr>
                <w:rFonts w:ascii="Arial" w:cs="Arial" w:eastAsia="Arial" w:hAnsi="Arial"/>
                <w:sz w:val="14"/>
                <w:szCs w:val="14"/>
                <w:color w:val="auto"/>
              </w:rPr>
              <w:t>Robert E.</w:t>
            </w:r>
          </w:p>
        </w:tc>
        <w:tc>
          <w:tcPr>
            <w:tcW w:w="3360" w:type="dxa"/>
            <w:vAlign w:val="bottom"/>
          </w:tcPr>
          <w:p>
            <w:pPr>
              <w:ind w:left="360"/>
              <w:spacing w:after="0"/>
              <w:rPr>
                <w:sz w:val="20"/>
                <w:szCs w:val="20"/>
                <w:color w:val="auto"/>
              </w:rPr>
            </w:pPr>
            <w:r>
              <w:rPr>
                <w:rFonts w:ascii="Arial" w:cs="Arial" w:eastAsia="Arial" w:hAnsi="Arial"/>
                <w:sz w:val="14"/>
                <w:szCs w:val="14"/>
                <w:color w:val="auto"/>
              </w:rPr>
              <w:t>Mandatory Director Retirement Policy</w:t>
            </w:r>
          </w:p>
        </w:tc>
        <w:tc>
          <w:tcPr>
            <w:tcW w:w="4260" w:type="dxa"/>
            <w:vAlign w:val="bottom"/>
            <w:tcBorders>
              <w:right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60" w:type="dxa"/>
            <w:vAlign w:val="bottom"/>
            <w:tcBorders>
              <w:left w:val="single" w:sz="8" w:color="7F7F7F"/>
            </w:tcBorders>
            <w:vMerge w:val="continue"/>
          </w:tcPr>
          <w:p>
            <w:pPr>
              <w:spacing w:after="0"/>
              <w:rPr>
                <w:sz w:val="16"/>
                <w:szCs w:val="16"/>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2018</w:t>
            </w:r>
          </w:p>
        </w:tc>
        <w:tc>
          <w:tcPr>
            <w:tcW w:w="1520" w:type="dxa"/>
            <w:vAlign w:val="bottom"/>
          </w:tcPr>
          <w:p>
            <w:pPr>
              <w:ind w:left="240"/>
              <w:spacing w:after="0"/>
              <w:rPr>
                <w:sz w:val="20"/>
                <w:szCs w:val="20"/>
                <w:color w:val="auto"/>
              </w:rPr>
            </w:pPr>
            <w:r>
              <w:rPr>
                <w:rFonts w:ascii="Arial" w:cs="Arial" w:eastAsia="Arial" w:hAnsi="Arial"/>
                <w:sz w:val="14"/>
                <w:szCs w:val="14"/>
                <w:color w:val="auto"/>
              </w:rPr>
              <w:t>Denham</w:t>
            </w:r>
          </w:p>
        </w:tc>
        <w:tc>
          <w:tcPr>
            <w:tcW w:w="3360" w:type="dxa"/>
            <w:vAlign w:val="bottom"/>
          </w:tcPr>
          <w:p>
            <w:pPr>
              <w:spacing w:after="0"/>
              <w:rPr>
                <w:sz w:val="16"/>
                <w:szCs w:val="16"/>
                <w:color w:val="auto"/>
              </w:rPr>
            </w:pPr>
          </w:p>
        </w:tc>
        <w:tc>
          <w:tcPr>
            <w:tcW w:w="4260" w:type="dxa"/>
            <w:vAlign w:val="bottom"/>
            <w:tcBorders>
              <w:right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0" w:type="dxa"/>
            <w:vAlign w:val="bottom"/>
            <w:tcBorders>
              <w:left w:val="single" w:sz="8" w:color="7F7F7F"/>
            </w:tcBorders>
            <w:vMerge w:val="restart"/>
            <w:shd w:val="clear" w:color="auto" w:fill="D8D8D8"/>
          </w:tcPr>
          <w:p>
            <w:pPr>
              <w:jc w:val="center"/>
              <w:ind w:left="32"/>
              <w:spacing w:after="0"/>
              <w:rPr>
                <w:sz w:val="20"/>
                <w:szCs w:val="20"/>
                <w:color w:val="auto"/>
              </w:rPr>
            </w:pPr>
            <w:r>
              <w:rPr>
                <w:rFonts w:ascii="Arial" w:cs="Arial" w:eastAsia="Arial" w:hAnsi="Arial"/>
                <w:sz w:val="22"/>
                <w:szCs w:val="22"/>
                <w:b w:val="1"/>
                <w:bCs w:val="1"/>
                <w:color w:val="769231"/>
                <w:w w:val="93"/>
              </w:rPr>
              <w:t>+</w:t>
            </w:r>
          </w:p>
        </w:tc>
        <w:tc>
          <w:tcPr>
            <w:tcW w:w="1400" w:type="dxa"/>
            <w:vAlign w:val="bottom"/>
            <w:shd w:val="clear" w:color="auto" w:fill="D8D8D8"/>
          </w:tcPr>
          <w:p>
            <w:pPr>
              <w:ind w:left="100"/>
              <w:spacing w:after="0"/>
              <w:rPr>
                <w:sz w:val="20"/>
                <w:szCs w:val="20"/>
                <w:color w:val="auto"/>
              </w:rPr>
            </w:pPr>
            <w:r>
              <w:rPr>
                <w:rFonts w:ascii="Arial" w:cs="Arial" w:eastAsia="Arial" w:hAnsi="Arial"/>
                <w:sz w:val="14"/>
                <w:szCs w:val="14"/>
                <w:color w:val="auto"/>
              </w:rPr>
              <w:t>March</w:t>
            </w:r>
          </w:p>
        </w:tc>
        <w:tc>
          <w:tcPr>
            <w:tcW w:w="1520" w:type="dxa"/>
            <w:vAlign w:val="bottom"/>
            <w:shd w:val="clear" w:color="auto" w:fill="D8D8D8"/>
          </w:tcPr>
          <w:p>
            <w:pPr>
              <w:ind w:left="240"/>
              <w:spacing w:after="0"/>
              <w:rPr>
                <w:sz w:val="20"/>
                <w:szCs w:val="20"/>
                <w:color w:val="auto"/>
              </w:rPr>
            </w:pPr>
            <w:r>
              <w:rPr>
                <w:rFonts w:ascii="Arial" w:cs="Arial" w:eastAsia="Arial" w:hAnsi="Arial"/>
                <w:sz w:val="14"/>
                <w:szCs w:val="14"/>
                <w:color w:val="auto"/>
              </w:rPr>
              <w:t>D. James</w:t>
            </w:r>
          </w:p>
        </w:tc>
        <w:tc>
          <w:tcPr>
            <w:tcW w:w="7620" w:type="dxa"/>
            <w:vAlign w:val="bottom"/>
            <w:tcBorders>
              <w:right w:val="single" w:sz="8" w:color="7F7F7F"/>
            </w:tcBorders>
            <w:gridSpan w:val="2"/>
            <w:shd w:val="clear" w:color="auto" w:fill="D8D8D8"/>
          </w:tcPr>
          <w:p>
            <w:pPr>
              <w:ind w:left="360"/>
              <w:spacing w:after="0"/>
              <w:rPr>
                <w:sz w:val="20"/>
                <w:szCs w:val="20"/>
                <w:color w:val="auto"/>
              </w:rPr>
            </w:pPr>
            <w:r>
              <w:rPr>
                <w:rFonts w:ascii="Arial" w:cs="Arial" w:eastAsia="Arial" w:hAnsi="Arial"/>
                <w:sz w:val="14"/>
                <w:szCs w:val="14"/>
                <w:color w:val="auto"/>
              </w:rPr>
              <w:t>Strong background in international/environmental policy, heavy equipment engineering, and global workforce</w:t>
            </w:r>
          </w:p>
        </w:tc>
        <w:tc>
          <w:tcPr>
            <w:tcW w:w="0" w:type="dxa"/>
            <w:vAlign w:val="bottom"/>
          </w:tcPr>
          <w:p>
            <w:pPr>
              <w:spacing w:after="0"/>
              <w:rPr>
                <w:sz w:val="1"/>
                <w:szCs w:val="1"/>
                <w:color w:val="auto"/>
              </w:rPr>
            </w:pPr>
          </w:p>
        </w:tc>
      </w:tr>
      <w:tr>
        <w:trPr>
          <w:trHeight w:val="205"/>
        </w:trPr>
        <w:tc>
          <w:tcPr>
            <w:tcW w:w="460" w:type="dxa"/>
            <w:vAlign w:val="bottom"/>
            <w:tcBorders>
              <w:left w:val="single" w:sz="8" w:color="7F7F7F"/>
              <w:bottom w:val="single" w:sz="8" w:color="D8D8D8"/>
            </w:tcBorders>
            <w:vMerge w:val="continue"/>
            <w:shd w:val="clear" w:color="auto" w:fill="D8D8D8"/>
          </w:tcPr>
          <w:p>
            <w:pPr>
              <w:spacing w:after="0"/>
              <w:rPr>
                <w:sz w:val="17"/>
                <w:szCs w:val="17"/>
                <w:color w:val="auto"/>
              </w:rPr>
            </w:pPr>
          </w:p>
        </w:tc>
        <w:tc>
          <w:tcPr>
            <w:tcW w:w="1400" w:type="dxa"/>
            <w:vAlign w:val="bottom"/>
            <w:tcBorders>
              <w:bottom w:val="single" w:sz="8" w:color="D8D8D8"/>
            </w:tcBorders>
            <w:shd w:val="clear" w:color="auto" w:fill="D8D8D8"/>
          </w:tcPr>
          <w:p>
            <w:pPr>
              <w:ind w:left="100"/>
              <w:spacing w:after="0"/>
              <w:rPr>
                <w:sz w:val="20"/>
                <w:szCs w:val="20"/>
                <w:color w:val="auto"/>
              </w:rPr>
            </w:pPr>
            <w:r>
              <w:rPr>
                <w:rFonts w:ascii="Arial" w:cs="Arial" w:eastAsia="Arial" w:hAnsi="Arial"/>
                <w:sz w:val="14"/>
                <w:szCs w:val="14"/>
                <w:color w:val="auto"/>
              </w:rPr>
              <w:t>2018</w:t>
            </w:r>
          </w:p>
        </w:tc>
        <w:tc>
          <w:tcPr>
            <w:tcW w:w="1520" w:type="dxa"/>
            <w:vAlign w:val="bottom"/>
            <w:tcBorders>
              <w:bottom w:val="single" w:sz="8" w:color="D8D8D8"/>
            </w:tcBorders>
            <w:shd w:val="clear" w:color="auto" w:fill="D8D8D8"/>
          </w:tcPr>
          <w:p>
            <w:pPr>
              <w:ind w:left="240"/>
              <w:spacing w:after="0"/>
              <w:rPr>
                <w:sz w:val="20"/>
                <w:szCs w:val="20"/>
                <w:color w:val="auto"/>
              </w:rPr>
            </w:pPr>
            <w:r>
              <w:rPr>
                <w:rFonts w:ascii="Arial" w:cs="Arial" w:eastAsia="Arial" w:hAnsi="Arial"/>
                <w:sz w:val="14"/>
                <w:szCs w:val="14"/>
                <w:color w:val="auto"/>
              </w:rPr>
              <w:t>Umpleby III</w:t>
            </w:r>
          </w:p>
        </w:tc>
        <w:tc>
          <w:tcPr>
            <w:tcW w:w="3360" w:type="dxa"/>
            <w:vAlign w:val="bottom"/>
            <w:tcBorders>
              <w:bottom w:val="single" w:sz="8" w:color="D8D8D8"/>
            </w:tcBorders>
            <w:shd w:val="clear" w:color="auto" w:fill="D8D8D8"/>
          </w:tcPr>
          <w:p>
            <w:pPr>
              <w:ind w:left="360"/>
              <w:spacing w:after="0"/>
              <w:rPr>
                <w:sz w:val="20"/>
                <w:szCs w:val="20"/>
                <w:color w:val="auto"/>
              </w:rPr>
            </w:pPr>
            <w:r>
              <w:rPr>
                <w:rFonts w:ascii="Arial" w:cs="Arial" w:eastAsia="Arial" w:hAnsi="Arial"/>
                <w:sz w:val="14"/>
                <w:szCs w:val="14"/>
                <w:color w:val="auto"/>
              </w:rPr>
              <w:t>development</w:t>
            </w:r>
          </w:p>
        </w:tc>
        <w:tc>
          <w:tcPr>
            <w:tcW w:w="4260" w:type="dxa"/>
            <w:vAlign w:val="bottom"/>
            <w:tcBorders>
              <w:bottom w:val="single" w:sz="8" w:color="D8D8D8"/>
              <w:right w:val="single" w:sz="8" w:color="7F7F7F"/>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60" w:type="dxa"/>
            <w:vAlign w:val="bottom"/>
            <w:tcBorders>
              <w:left w:val="single" w:sz="8" w:color="7F7F7F"/>
            </w:tcBorders>
            <w:vMerge w:val="restart"/>
          </w:tcPr>
          <w:p>
            <w:pPr>
              <w:jc w:val="center"/>
              <w:ind w:left="32"/>
              <w:spacing w:after="0"/>
              <w:rPr>
                <w:sz w:val="20"/>
                <w:szCs w:val="20"/>
                <w:color w:val="auto"/>
              </w:rPr>
            </w:pPr>
            <w:r>
              <w:rPr>
                <w:rFonts w:ascii="Arial" w:cs="Arial" w:eastAsia="Arial" w:hAnsi="Arial"/>
                <w:sz w:val="22"/>
                <w:szCs w:val="22"/>
                <w:b w:val="1"/>
                <w:bCs w:val="1"/>
                <w:color w:val="E21836"/>
              </w:rPr>
              <w:t>-</w:t>
            </w:r>
          </w:p>
        </w:tc>
        <w:tc>
          <w:tcPr>
            <w:tcW w:w="1400" w:type="dxa"/>
            <w:vAlign w:val="bottom"/>
          </w:tcPr>
          <w:p>
            <w:pPr>
              <w:ind w:left="100"/>
              <w:spacing w:after="0"/>
              <w:rPr>
                <w:sz w:val="20"/>
                <w:szCs w:val="20"/>
                <w:color w:val="auto"/>
              </w:rPr>
            </w:pPr>
            <w:r>
              <w:rPr>
                <w:rFonts w:ascii="Arial" w:cs="Arial" w:eastAsia="Arial" w:hAnsi="Arial"/>
                <w:sz w:val="14"/>
                <w:szCs w:val="14"/>
                <w:color w:val="auto"/>
              </w:rPr>
              <w:t>February</w:t>
            </w:r>
          </w:p>
        </w:tc>
        <w:tc>
          <w:tcPr>
            <w:tcW w:w="1520" w:type="dxa"/>
            <w:vAlign w:val="bottom"/>
          </w:tcPr>
          <w:p>
            <w:pPr>
              <w:ind w:left="240"/>
              <w:spacing w:after="0"/>
              <w:rPr>
                <w:sz w:val="20"/>
                <w:szCs w:val="20"/>
                <w:color w:val="auto"/>
              </w:rPr>
            </w:pPr>
            <w:r>
              <w:rPr>
                <w:rFonts w:ascii="Arial" w:cs="Arial" w:eastAsia="Arial" w:hAnsi="Arial"/>
                <w:sz w:val="14"/>
                <w:szCs w:val="14"/>
                <w:color w:val="auto"/>
              </w:rPr>
              <w:t>John S.</w:t>
            </w:r>
          </w:p>
        </w:tc>
        <w:tc>
          <w:tcPr>
            <w:tcW w:w="3360" w:type="dxa"/>
            <w:vAlign w:val="bottom"/>
          </w:tcPr>
          <w:p>
            <w:pPr>
              <w:ind w:left="360"/>
              <w:spacing w:after="0"/>
              <w:rPr>
                <w:sz w:val="20"/>
                <w:szCs w:val="20"/>
                <w:color w:val="auto"/>
              </w:rPr>
            </w:pPr>
            <w:r>
              <w:rPr>
                <w:rFonts w:ascii="Arial" w:cs="Arial" w:eastAsia="Arial" w:hAnsi="Arial"/>
                <w:sz w:val="14"/>
                <w:szCs w:val="14"/>
                <w:color w:val="auto"/>
              </w:rPr>
              <w:t>Retirement from Chevron</w:t>
            </w:r>
          </w:p>
        </w:tc>
        <w:tc>
          <w:tcPr>
            <w:tcW w:w="4260" w:type="dxa"/>
            <w:vAlign w:val="bottom"/>
            <w:tcBorders>
              <w:right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60" w:type="dxa"/>
            <w:vAlign w:val="bottom"/>
            <w:tcBorders>
              <w:left w:val="single" w:sz="8" w:color="7F7F7F"/>
              <w:bottom w:val="single" w:sz="8" w:color="7F7F7F"/>
            </w:tcBorders>
            <w:vMerge w:val="continue"/>
          </w:tcPr>
          <w:p>
            <w:pPr>
              <w:spacing w:after="0"/>
              <w:rPr>
                <w:sz w:val="16"/>
                <w:szCs w:val="16"/>
                <w:color w:val="auto"/>
              </w:rPr>
            </w:pPr>
          </w:p>
        </w:tc>
        <w:tc>
          <w:tcPr>
            <w:tcW w:w="1400" w:type="dxa"/>
            <w:vAlign w:val="bottom"/>
            <w:tcBorders>
              <w:bottom w:val="single" w:sz="8" w:color="7F7F7F"/>
            </w:tcBorders>
          </w:tcPr>
          <w:p>
            <w:pPr>
              <w:ind w:left="100"/>
              <w:spacing w:after="0"/>
              <w:rPr>
                <w:sz w:val="20"/>
                <w:szCs w:val="20"/>
                <w:color w:val="auto"/>
              </w:rPr>
            </w:pPr>
            <w:r>
              <w:rPr>
                <w:rFonts w:ascii="Arial" w:cs="Arial" w:eastAsia="Arial" w:hAnsi="Arial"/>
                <w:sz w:val="14"/>
                <w:szCs w:val="14"/>
                <w:color w:val="auto"/>
              </w:rPr>
              <w:t>2018</w:t>
            </w:r>
          </w:p>
        </w:tc>
        <w:tc>
          <w:tcPr>
            <w:tcW w:w="1520" w:type="dxa"/>
            <w:vAlign w:val="bottom"/>
            <w:tcBorders>
              <w:bottom w:val="single" w:sz="8" w:color="7F7F7F"/>
            </w:tcBorders>
          </w:tcPr>
          <w:p>
            <w:pPr>
              <w:ind w:left="240"/>
              <w:spacing w:after="0"/>
              <w:rPr>
                <w:sz w:val="20"/>
                <w:szCs w:val="20"/>
                <w:color w:val="auto"/>
              </w:rPr>
            </w:pPr>
            <w:r>
              <w:rPr>
                <w:rFonts w:ascii="Arial" w:cs="Arial" w:eastAsia="Arial" w:hAnsi="Arial"/>
                <w:sz w:val="14"/>
                <w:szCs w:val="14"/>
                <w:color w:val="auto"/>
              </w:rPr>
              <w:t>Watson</w:t>
            </w:r>
          </w:p>
        </w:tc>
        <w:tc>
          <w:tcPr>
            <w:tcW w:w="3360" w:type="dxa"/>
            <w:vAlign w:val="bottom"/>
            <w:tcBorders>
              <w:bottom w:val="single" w:sz="8" w:color="7F7F7F"/>
            </w:tcBorders>
          </w:tcPr>
          <w:p>
            <w:pPr>
              <w:spacing w:after="0"/>
              <w:rPr>
                <w:sz w:val="16"/>
                <w:szCs w:val="16"/>
                <w:color w:val="auto"/>
              </w:rPr>
            </w:pPr>
          </w:p>
        </w:tc>
        <w:tc>
          <w:tcPr>
            <w:tcW w:w="4260" w:type="dxa"/>
            <w:vAlign w:val="bottom"/>
            <w:tcBorders>
              <w:bottom w:val="single" w:sz="8" w:color="7F7F7F"/>
              <w:right w:val="single" w:sz="8" w:color="7F7F7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760" w:right="520" w:hanging="388"/>
        <w:spacing w:after="0" w:line="285" w:lineRule="auto"/>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Jon M. Huntsman Jr. previously served on Chevron’s Board but resigned to serve as U.S. Ambassador to Russia. For purposes of calculating tenure going forward, we include only his current term.</w:t>
      </w:r>
    </w:p>
    <w:p>
      <w:pPr>
        <w:spacing w:after="0" w:line="153"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color w:val="auto"/>
        </w:rPr>
        <w:t>The Governance Committee considers Director candidates suggested for nomination to the Board from stockholders, Directors, and other sources. Directors periodically suggest possible candidates, and the Governance Committee has retained director search firms to assist with identifying potential candidates.</w:t>
      </w:r>
    </w:p>
    <w:p>
      <w:pPr>
        <w:spacing w:after="0" w:line="77" w:lineRule="exact"/>
        <w:rPr>
          <w:sz w:val="20"/>
          <w:szCs w:val="20"/>
          <w:color w:val="auto"/>
        </w:rPr>
      </w:pPr>
    </w:p>
    <w:p>
      <w:pPr>
        <w:ind w:left="340" w:right="380" w:hanging="224"/>
        <w:spacing w:after="0" w:line="28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Stockholders may recommend potential nominees by writing to the Corporate Secretary at 6001 Bollinger Canyon Road, San Ramon, CA 94583-2324, stating the candidate’s name and qualifications for Board membership.</w:t>
      </w:r>
    </w:p>
    <w:p>
      <w:pPr>
        <w:spacing w:after="0" w:line="61" w:lineRule="exact"/>
        <w:rPr>
          <w:rFonts w:ascii="Arial" w:cs="Arial" w:eastAsia="Arial" w:hAnsi="Arial"/>
          <w:sz w:val="16"/>
          <w:szCs w:val="16"/>
          <w:color w:val="auto"/>
        </w:rPr>
      </w:pPr>
    </w:p>
    <w:p>
      <w:pPr>
        <w:ind w:left="340" w:right="100" w:hanging="224"/>
        <w:spacing w:after="0" w:line="28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When considering potential nominees recommended by stockholders, the Governance Committee follows the same Board membership qualifications evaluation and nomination procedures discussed in this section.</w:t>
      </w:r>
    </w:p>
    <w:p>
      <w:pPr>
        <w:spacing w:after="0" w:line="48"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In addition, a qualifying stockholder (or stockholders) may nominate director nominees by satisfying the requirements specified in our By-Laws, which are described in the “Voting and Additional Information–Submission of Stockholder Proposals for 2023 Annual Meeting” section of this Proxy Statement.</w:t>
      </w:r>
    </w:p>
    <w:p>
      <w:pPr>
        <w:spacing w:after="0" w:line="84"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100"/>
          </w:cols>
          <w:pgMar w:left="320" w:top="455" w:right="4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208280</wp:posOffset>
            </wp:positionV>
            <wp:extent cx="133731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37310" cy="145415"/>
                    </a:xfrm>
                    <a:prstGeom prst="rect">
                      <a:avLst/>
                    </a:prstGeom>
                    <a:noFill/>
                  </pic:spPr>
                </pic:pic>
              </a:graphicData>
            </a:graphic>
          </wp:anchor>
        </w:drawing>
      </w:r>
    </w:p>
    <w:p>
      <w:pPr>
        <w:spacing w:after="0" w:line="339"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FFFFFF"/>
        </w:rPr>
        <w:t>Election of directors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Nominees for director</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Governance Committee recommended, and the Board set, a current Board size of 12 Directors. Each of the Director nominees is a current Director.</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Director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149225</wp:posOffset>
            </wp:positionV>
            <wp:extent cx="6978015" cy="3651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78015" cy="3651885"/>
                    </a:xfrm>
                    <a:prstGeom prst="rect">
                      <a:avLst/>
                    </a:prstGeom>
                    <a:noFill/>
                  </pic:spPr>
                </pic:pic>
              </a:graphicData>
            </a:graphic>
          </wp:anchor>
        </w:drawing>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300" w:type="dxa"/>
            <w:vAlign w:val="bottom"/>
            <w:tcBorders>
              <w:top w:val="single" w:sz="8" w:color="7F7F7F"/>
            </w:tcBorders>
            <w:shd w:val="clear" w:color="auto" w:fill="0066B2"/>
          </w:tcPr>
          <w:p>
            <w:pPr>
              <w:spacing w:after="0"/>
              <w:rPr>
                <w:sz w:val="12"/>
                <w:szCs w:val="12"/>
                <w:color w:val="auto"/>
              </w:rPr>
            </w:pPr>
          </w:p>
        </w:tc>
        <w:tc>
          <w:tcPr>
            <w:tcW w:w="640" w:type="dxa"/>
            <w:vAlign w:val="bottom"/>
            <w:tcBorders>
              <w:top w:val="single" w:sz="8" w:color="7F7F7F"/>
            </w:tcBorders>
            <w:shd w:val="clear" w:color="auto" w:fill="0066B2"/>
          </w:tcPr>
          <w:p>
            <w:pPr>
              <w:spacing w:after="0"/>
              <w:rPr>
                <w:sz w:val="12"/>
                <w:szCs w:val="12"/>
                <w:color w:val="auto"/>
              </w:rPr>
            </w:pPr>
          </w:p>
        </w:tc>
        <w:tc>
          <w:tcPr>
            <w:tcW w:w="660" w:type="dxa"/>
            <w:vAlign w:val="bottom"/>
            <w:tcBorders>
              <w:top w:val="single" w:sz="8" w:color="7F7F7F"/>
            </w:tcBorders>
            <w:shd w:val="clear" w:color="auto" w:fill="0066B2"/>
          </w:tcPr>
          <w:p>
            <w:pPr>
              <w:spacing w:after="0"/>
              <w:rPr>
                <w:sz w:val="12"/>
                <w:szCs w:val="12"/>
                <w:color w:val="auto"/>
              </w:rPr>
            </w:pPr>
          </w:p>
        </w:tc>
        <w:tc>
          <w:tcPr>
            <w:tcW w:w="820" w:type="dxa"/>
            <w:vAlign w:val="bottom"/>
            <w:tcBorders>
              <w:top w:val="single" w:sz="8" w:color="7F7F7F"/>
            </w:tcBorders>
            <w:shd w:val="clear" w:color="auto" w:fill="0066B2"/>
          </w:tcPr>
          <w:p>
            <w:pPr>
              <w:spacing w:after="0"/>
              <w:rPr>
                <w:sz w:val="12"/>
                <w:szCs w:val="12"/>
                <w:color w:val="auto"/>
              </w:rPr>
            </w:pPr>
          </w:p>
        </w:tc>
        <w:tc>
          <w:tcPr>
            <w:tcW w:w="660" w:type="dxa"/>
            <w:vAlign w:val="bottom"/>
            <w:tcBorders>
              <w:top w:val="single" w:sz="8" w:color="7F7F7F"/>
            </w:tcBorders>
            <w:shd w:val="clear" w:color="auto" w:fill="0066B2"/>
          </w:tcPr>
          <w:p>
            <w:pPr>
              <w:spacing w:after="0"/>
              <w:rPr>
                <w:sz w:val="12"/>
                <w:szCs w:val="12"/>
                <w:color w:val="auto"/>
              </w:rPr>
            </w:pPr>
          </w:p>
        </w:tc>
        <w:tc>
          <w:tcPr>
            <w:tcW w:w="1920" w:type="dxa"/>
            <w:vAlign w:val="bottom"/>
            <w:tcBorders>
              <w:top w:val="single" w:sz="8" w:color="7F7F7F"/>
            </w:tcBorders>
            <w:shd w:val="clear" w:color="auto" w:fill="0066B2"/>
          </w:tcPr>
          <w:p>
            <w:pPr>
              <w:spacing w:after="0"/>
              <w:rPr>
                <w:sz w:val="12"/>
                <w:szCs w:val="12"/>
                <w:color w:val="auto"/>
              </w:rPr>
            </w:pPr>
          </w:p>
        </w:tc>
        <w:tc>
          <w:tcPr>
            <w:tcW w:w="560" w:type="dxa"/>
            <w:vAlign w:val="bottom"/>
            <w:tcBorders>
              <w:top w:val="single" w:sz="8" w:color="7F7F7F"/>
            </w:tcBorders>
            <w:shd w:val="clear" w:color="auto" w:fill="0066B2"/>
          </w:tcPr>
          <w:p>
            <w:pPr>
              <w:spacing w:after="0"/>
              <w:rPr>
                <w:sz w:val="12"/>
                <w:szCs w:val="12"/>
                <w:color w:val="auto"/>
              </w:rPr>
            </w:pPr>
          </w:p>
        </w:tc>
        <w:tc>
          <w:tcPr>
            <w:tcW w:w="1760" w:type="dxa"/>
            <w:vAlign w:val="bottom"/>
            <w:tcBorders>
              <w:top w:val="single" w:sz="8" w:color="7F7F7F"/>
            </w:tcBorders>
            <w:gridSpan w:val="2"/>
            <w:shd w:val="clear" w:color="auto" w:fill="0066B2"/>
          </w:tcPr>
          <w:p>
            <w:pPr>
              <w:ind w:left="80"/>
              <w:spacing w:after="0"/>
              <w:rPr>
                <w:sz w:val="20"/>
                <w:szCs w:val="20"/>
                <w:color w:val="auto"/>
              </w:rPr>
            </w:pPr>
            <w:r>
              <w:rPr>
                <w:rFonts w:ascii="Arial" w:cs="Arial" w:eastAsia="Arial" w:hAnsi="Arial"/>
                <w:sz w:val="13"/>
                <w:szCs w:val="13"/>
                <w:b w:val="1"/>
                <w:bCs w:val="1"/>
                <w:color w:val="FFFFFF"/>
              </w:rPr>
              <w:t>Committee Composition</w:t>
            </w:r>
            <w:r>
              <w:rPr>
                <w:rFonts w:ascii="Arial" w:cs="Arial" w:eastAsia="Arial" w:hAnsi="Arial"/>
                <w:sz w:val="10"/>
                <w:szCs w:val="10"/>
                <w:b w:val="1"/>
                <w:bCs w:val="1"/>
                <w:color w:val="FFFFFF"/>
              </w:rPr>
              <w:t>(1)</w:t>
            </w:r>
          </w:p>
        </w:tc>
        <w:tc>
          <w:tcPr>
            <w:tcW w:w="2660" w:type="dxa"/>
            <w:vAlign w:val="bottom"/>
            <w:tcBorders>
              <w:top w:val="single" w:sz="8" w:color="7F7F7F"/>
            </w:tcBorders>
            <w:gridSpan w:val="2"/>
            <w:vMerge w:val="restart"/>
            <w:shd w:val="clear" w:color="auto" w:fill="0066B2"/>
          </w:tcPr>
          <w:p>
            <w:pPr>
              <w:ind w:left="780"/>
              <w:spacing w:after="0"/>
              <w:rPr>
                <w:sz w:val="20"/>
                <w:szCs w:val="20"/>
                <w:color w:val="auto"/>
              </w:rPr>
            </w:pPr>
            <w:r>
              <w:rPr>
                <w:rFonts w:ascii="Arial" w:cs="Arial" w:eastAsia="Arial" w:hAnsi="Arial"/>
                <w:sz w:val="13"/>
                <w:szCs w:val="13"/>
                <w:b w:val="1"/>
                <w:bCs w:val="1"/>
                <w:color w:val="FFFFFF"/>
              </w:rPr>
              <w:t>Other Current</w:t>
            </w:r>
          </w:p>
        </w:tc>
        <w:tc>
          <w:tcPr>
            <w:tcW w:w="0" w:type="dxa"/>
            <w:vAlign w:val="bottom"/>
          </w:tcPr>
          <w:p>
            <w:pPr>
              <w:spacing w:after="0"/>
              <w:rPr>
                <w:sz w:val="1"/>
                <w:szCs w:val="1"/>
                <w:color w:val="auto"/>
              </w:rPr>
            </w:pPr>
          </w:p>
        </w:tc>
      </w:tr>
      <w:tr>
        <w:trPr>
          <w:trHeight w:val="117"/>
        </w:trPr>
        <w:tc>
          <w:tcPr>
            <w:tcW w:w="1300" w:type="dxa"/>
            <w:vAlign w:val="bottom"/>
            <w:shd w:val="clear" w:color="auto" w:fill="0066B2"/>
          </w:tcPr>
          <w:p>
            <w:pPr>
              <w:spacing w:after="0"/>
              <w:rPr>
                <w:sz w:val="10"/>
                <w:szCs w:val="10"/>
                <w:color w:val="auto"/>
              </w:rPr>
            </w:pPr>
          </w:p>
        </w:tc>
        <w:tc>
          <w:tcPr>
            <w:tcW w:w="640" w:type="dxa"/>
            <w:vAlign w:val="bottom"/>
            <w:shd w:val="clear" w:color="auto" w:fill="0066B2"/>
          </w:tcPr>
          <w:p>
            <w:pPr>
              <w:spacing w:after="0"/>
              <w:rPr>
                <w:sz w:val="10"/>
                <w:szCs w:val="10"/>
                <w:color w:val="auto"/>
              </w:rPr>
            </w:pPr>
          </w:p>
        </w:tc>
        <w:tc>
          <w:tcPr>
            <w:tcW w:w="660" w:type="dxa"/>
            <w:vAlign w:val="bottom"/>
            <w:shd w:val="clear" w:color="auto" w:fill="0066B2"/>
          </w:tcPr>
          <w:p>
            <w:pPr>
              <w:spacing w:after="0"/>
              <w:rPr>
                <w:sz w:val="10"/>
                <w:szCs w:val="10"/>
                <w:color w:val="auto"/>
              </w:rPr>
            </w:pPr>
          </w:p>
        </w:tc>
        <w:tc>
          <w:tcPr>
            <w:tcW w:w="820" w:type="dxa"/>
            <w:vAlign w:val="bottom"/>
            <w:shd w:val="clear" w:color="auto" w:fill="0066B2"/>
          </w:tcPr>
          <w:p>
            <w:pPr>
              <w:spacing w:after="0"/>
              <w:rPr>
                <w:sz w:val="10"/>
                <w:szCs w:val="10"/>
                <w:color w:val="auto"/>
              </w:rPr>
            </w:pPr>
          </w:p>
        </w:tc>
        <w:tc>
          <w:tcPr>
            <w:tcW w:w="660" w:type="dxa"/>
            <w:vAlign w:val="bottom"/>
            <w:shd w:val="clear" w:color="auto" w:fill="0066B2"/>
          </w:tcPr>
          <w:p>
            <w:pPr>
              <w:spacing w:after="0"/>
              <w:rPr>
                <w:sz w:val="10"/>
                <w:szCs w:val="10"/>
                <w:color w:val="auto"/>
              </w:rPr>
            </w:pPr>
          </w:p>
        </w:tc>
        <w:tc>
          <w:tcPr>
            <w:tcW w:w="1920" w:type="dxa"/>
            <w:vAlign w:val="bottom"/>
            <w:shd w:val="clear" w:color="auto" w:fill="0066B2"/>
          </w:tcPr>
          <w:p>
            <w:pPr>
              <w:spacing w:after="0"/>
              <w:rPr>
                <w:sz w:val="10"/>
                <w:szCs w:val="10"/>
                <w:color w:val="auto"/>
              </w:rPr>
            </w:pPr>
          </w:p>
        </w:tc>
        <w:tc>
          <w:tcPr>
            <w:tcW w:w="560" w:type="dxa"/>
            <w:vAlign w:val="bottom"/>
            <w:shd w:val="clear" w:color="auto" w:fill="0066B2"/>
          </w:tcPr>
          <w:p>
            <w:pPr>
              <w:spacing w:after="0"/>
              <w:rPr>
                <w:sz w:val="10"/>
                <w:szCs w:val="10"/>
                <w:color w:val="auto"/>
              </w:rPr>
            </w:pPr>
          </w:p>
        </w:tc>
        <w:tc>
          <w:tcPr>
            <w:tcW w:w="1180" w:type="dxa"/>
            <w:vAlign w:val="bottom"/>
            <w:shd w:val="clear" w:color="auto" w:fill="0066B2"/>
          </w:tcPr>
          <w:p>
            <w:pPr>
              <w:spacing w:after="0"/>
              <w:rPr>
                <w:sz w:val="10"/>
                <w:szCs w:val="10"/>
                <w:color w:val="auto"/>
              </w:rPr>
            </w:pPr>
          </w:p>
        </w:tc>
        <w:tc>
          <w:tcPr>
            <w:tcW w:w="580" w:type="dxa"/>
            <w:vAlign w:val="bottom"/>
            <w:shd w:val="clear" w:color="auto" w:fill="0066B2"/>
          </w:tcPr>
          <w:p>
            <w:pPr>
              <w:spacing w:after="0"/>
              <w:rPr>
                <w:sz w:val="10"/>
                <w:szCs w:val="10"/>
                <w:color w:val="auto"/>
              </w:rPr>
            </w:pPr>
          </w:p>
        </w:tc>
        <w:tc>
          <w:tcPr>
            <w:tcW w:w="2660" w:type="dxa"/>
            <w:vAlign w:val="bottom"/>
            <w:gridSpan w:val="2"/>
            <w:vMerge w:val="continue"/>
            <w:shd w:val="clear" w:color="auto" w:fill="0066B2"/>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300" w:type="dxa"/>
            <w:vAlign w:val="bottom"/>
            <w:vMerge w:val="restart"/>
            <w:shd w:val="clear" w:color="auto" w:fill="0066B2"/>
          </w:tcPr>
          <w:p>
            <w:pPr>
              <w:ind w:left="160"/>
              <w:spacing w:after="0"/>
              <w:rPr>
                <w:sz w:val="20"/>
                <w:szCs w:val="20"/>
                <w:color w:val="auto"/>
              </w:rPr>
            </w:pPr>
            <w:r>
              <w:rPr>
                <w:rFonts w:ascii="Arial" w:cs="Arial" w:eastAsia="Arial" w:hAnsi="Arial"/>
                <w:sz w:val="13"/>
                <w:szCs w:val="13"/>
                <w:b w:val="1"/>
                <w:bCs w:val="1"/>
                <w:color w:val="FFFFFF"/>
              </w:rPr>
              <w:t>Director</w:t>
            </w:r>
          </w:p>
        </w:tc>
        <w:tc>
          <w:tcPr>
            <w:tcW w:w="640" w:type="dxa"/>
            <w:vAlign w:val="bottom"/>
            <w:vMerge w:val="restart"/>
            <w:shd w:val="clear" w:color="auto" w:fill="0066B2"/>
          </w:tcPr>
          <w:p>
            <w:pPr>
              <w:ind w:left="100"/>
              <w:spacing w:after="0"/>
              <w:rPr>
                <w:sz w:val="20"/>
                <w:szCs w:val="20"/>
                <w:color w:val="auto"/>
              </w:rPr>
            </w:pPr>
            <w:r>
              <w:rPr>
                <w:rFonts w:ascii="Arial" w:cs="Arial" w:eastAsia="Arial" w:hAnsi="Arial"/>
                <w:sz w:val="13"/>
                <w:szCs w:val="13"/>
                <w:b w:val="1"/>
                <w:bCs w:val="1"/>
                <w:color w:val="FFFFFF"/>
              </w:rPr>
              <w:t>Gender</w:t>
            </w:r>
          </w:p>
        </w:tc>
        <w:tc>
          <w:tcPr>
            <w:tcW w:w="660" w:type="dxa"/>
            <w:vAlign w:val="bottom"/>
            <w:shd w:val="clear" w:color="auto" w:fill="0066B2"/>
          </w:tcPr>
          <w:p>
            <w:pPr>
              <w:ind w:left="100"/>
              <w:spacing w:after="0" w:line="139" w:lineRule="exact"/>
              <w:rPr>
                <w:sz w:val="20"/>
                <w:szCs w:val="20"/>
                <w:color w:val="auto"/>
              </w:rPr>
            </w:pPr>
            <w:r>
              <w:rPr>
                <w:rFonts w:ascii="Arial" w:cs="Arial" w:eastAsia="Arial" w:hAnsi="Arial"/>
                <w:sz w:val="13"/>
                <w:szCs w:val="13"/>
                <w:b w:val="1"/>
                <w:bCs w:val="1"/>
                <w:color w:val="FFFFFF"/>
              </w:rPr>
              <w:t>Director</w:t>
            </w:r>
          </w:p>
        </w:tc>
        <w:tc>
          <w:tcPr>
            <w:tcW w:w="820" w:type="dxa"/>
            <w:vAlign w:val="bottom"/>
            <w:shd w:val="clear" w:color="auto" w:fill="0066B2"/>
          </w:tcPr>
          <w:p>
            <w:pPr>
              <w:ind w:left="60"/>
              <w:spacing w:after="0" w:line="139" w:lineRule="exact"/>
              <w:rPr>
                <w:sz w:val="20"/>
                <w:szCs w:val="20"/>
                <w:color w:val="auto"/>
              </w:rPr>
            </w:pPr>
            <w:r>
              <w:rPr>
                <w:rFonts w:ascii="Arial" w:cs="Arial" w:eastAsia="Arial" w:hAnsi="Arial"/>
                <w:sz w:val="13"/>
                <w:szCs w:val="13"/>
                <w:b w:val="1"/>
                <w:bCs w:val="1"/>
                <w:color w:val="FFFFFF"/>
              </w:rPr>
              <w:t>Race/</w:t>
            </w:r>
          </w:p>
        </w:tc>
        <w:tc>
          <w:tcPr>
            <w:tcW w:w="660" w:type="dxa"/>
            <w:vAlign w:val="bottom"/>
            <w:shd w:val="clear" w:color="auto" w:fill="0066B2"/>
          </w:tcPr>
          <w:p>
            <w:pPr>
              <w:ind w:left="100"/>
              <w:spacing w:after="0" w:line="139" w:lineRule="exact"/>
              <w:rPr>
                <w:sz w:val="20"/>
                <w:szCs w:val="20"/>
                <w:color w:val="auto"/>
              </w:rPr>
            </w:pPr>
            <w:r>
              <w:rPr>
                <w:rFonts w:ascii="Arial" w:cs="Arial" w:eastAsia="Arial" w:hAnsi="Arial"/>
                <w:sz w:val="13"/>
                <w:szCs w:val="13"/>
                <w:b w:val="1"/>
                <w:bCs w:val="1"/>
                <w:color w:val="FFFFFF"/>
              </w:rPr>
              <w:t>Director</w:t>
            </w:r>
          </w:p>
        </w:tc>
        <w:tc>
          <w:tcPr>
            <w:tcW w:w="1920" w:type="dxa"/>
            <w:vAlign w:val="bottom"/>
            <w:shd w:val="clear" w:color="auto" w:fill="0066B2"/>
          </w:tcPr>
          <w:p>
            <w:pPr>
              <w:ind w:left="80"/>
              <w:spacing w:after="0" w:line="139" w:lineRule="exact"/>
              <w:rPr>
                <w:sz w:val="20"/>
                <w:szCs w:val="20"/>
                <w:color w:val="auto"/>
              </w:rPr>
            </w:pPr>
            <w:r>
              <w:rPr>
                <w:rFonts w:ascii="Arial" w:cs="Arial" w:eastAsia="Arial" w:hAnsi="Arial"/>
                <w:sz w:val="13"/>
                <w:szCs w:val="13"/>
                <w:b w:val="1"/>
                <w:bCs w:val="1"/>
                <w:color w:val="FFFFFF"/>
              </w:rPr>
              <w:t>Principal</w:t>
            </w:r>
          </w:p>
        </w:tc>
        <w:tc>
          <w:tcPr>
            <w:tcW w:w="560" w:type="dxa"/>
            <w:vAlign w:val="bottom"/>
            <w:vMerge w:val="restart"/>
            <w:shd w:val="clear" w:color="auto" w:fill="0066B2"/>
          </w:tcPr>
          <w:p>
            <w:pPr>
              <w:jc w:val="center"/>
              <w:ind w:left="34"/>
              <w:spacing w:after="0"/>
              <w:rPr>
                <w:sz w:val="20"/>
                <w:szCs w:val="20"/>
                <w:color w:val="auto"/>
              </w:rPr>
            </w:pPr>
            <w:r>
              <w:rPr>
                <w:rFonts w:ascii="Arial" w:cs="Arial" w:eastAsia="Arial" w:hAnsi="Arial"/>
                <w:sz w:val="13"/>
                <w:szCs w:val="13"/>
                <w:b w:val="1"/>
                <w:bCs w:val="1"/>
                <w:color w:val="FFFFFF"/>
                <w:w w:val="98"/>
              </w:rPr>
              <w:t>IND</w:t>
            </w:r>
            <w:r>
              <w:rPr>
                <w:rFonts w:ascii="Arial" w:cs="Arial" w:eastAsia="Arial" w:hAnsi="Arial"/>
                <w:sz w:val="10"/>
                <w:szCs w:val="10"/>
                <w:b w:val="1"/>
                <w:bCs w:val="1"/>
                <w:color w:val="FFFFFF"/>
                <w:w w:val="98"/>
              </w:rPr>
              <w:t>(2)</w:t>
            </w:r>
          </w:p>
        </w:tc>
        <w:tc>
          <w:tcPr>
            <w:tcW w:w="1180" w:type="dxa"/>
            <w:vAlign w:val="bottom"/>
            <w:vMerge w:val="restart"/>
            <w:shd w:val="clear" w:color="auto" w:fill="0066B2"/>
          </w:tcPr>
          <w:p>
            <w:pPr>
              <w:ind w:left="80"/>
              <w:spacing w:after="0"/>
              <w:rPr>
                <w:sz w:val="20"/>
                <w:szCs w:val="20"/>
                <w:color w:val="auto"/>
              </w:rPr>
            </w:pPr>
            <w:r>
              <w:rPr>
                <w:rFonts w:ascii="Arial" w:cs="Arial" w:eastAsia="Arial" w:hAnsi="Arial"/>
                <w:sz w:val="13"/>
                <w:szCs w:val="13"/>
                <w:b w:val="1"/>
                <w:bCs w:val="1"/>
                <w:color w:val="FFFFFF"/>
              </w:rPr>
              <w:t>AC</w:t>
            </w:r>
            <w:r>
              <w:rPr>
                <w:rFonts w:ascii="Arial" w:cs="Arial" w:eastAsia="Arial" w:hAnsi="Arial"/>
                <w:sz w:val="10"/>
                <w:szCs w:val="10"/>
                <w:b w:val="1"/>
                <w:bCs w:val="1"/>
                <w:color w:val="FFFFFF"/>
              </w:rPr>
              <w:t>(3)</w:t>
            </w:r>
            <w:r>
              <w:rPr>
                <w:rFonts w:ascii="Arial" w:cs="Arial" w:eastAsia="Arial" w:hAnsi="Arial"/>
                <w:sz w:val="13"/>
                <w:szCs w:val="13"/>
                <w:b w:val="1"/>
                <w:bCs w:val="1"/>
                <w:color w:val="FFFFFF"/>
              </w:rPr>
              <w:t xml:space="preserve">  BN&amp;GC</w:t>
            </w:r>
            <w:r>
              <w:rPr>
                <w:rFonts w:ascii="Arial" w:cs="Arial" w:eastAsia="Arial" w:hAnsi="Arial"/>
                <w:sz w:val="10"/>
                <w:szCs w:val="10"/>
                <w:b w:val="1"/>
                <w:bCs w:val="1"/>
                <w:color w:val="FFFFFF"/>
              </w:rPr>
              <w:t>(4)</w:t>
            </w:r>
          </w:p>
        </w:tc>
        <w:tc>
          <w:tcPr>
            <w:tcW w:w="580" w:type="dxa"/>
            <w:vAlign w:val="bottom"/>
            <w:vMerge w:val="restart"/>
            <w:shd w:val="clear" w:color="auto" w:fill="0066B2"/>
          </w:tcPr>
          <w:p>
            <w:pPr>
              <w:jc w:val="center"/>
              <w:spacing w:after="0"/>
              <w:rPr>
                <w:sz w:val="20"/>
                <w:szCs w:val="20"/>
                <w:color w:val="auto"/>
              </w:rPr>
            </w:pPr>
            <w:r>
              <w:rPr>
                <w:rFonts w:ascii="Arial" w:cs="Arial" w:eastAsia="Arial" w:hAnsi="Arial"/>
                <w:sz w:val="13"/>
                <w:szCs w:val="13"/>
                <w:b w:val="1"/>
                <w:bCs w:val="1"/>
                <w:color w:val="FFFFFF"/>
              </w:rPr>
              <w:t>MCC</w:t>
            </w:r>
            <w:r>
              <w:rPr>
                <w:rFonts w:ascii="Arial" w:cs="Arial" w:eastAsia="Arial" w:hAnsi="Arial"/>
                <w:sz w:val="10"/>
                <w:szCs w:val="10"/>
                <w:b w:val="1"/>
                <w:bCs w:val="1"/>
                <w:color w:val="FFFFFF"/>
              </w:rPr>
              <w:t>(5)</w:t>
            </w:r>
          </w:p>
        </w:tc>
        <w:tc>
          <w:tcPr>
            <w:tcW w:w="2660" w:type="dxa"/>
            <w:vAlign w:val="bottom"/>
            <w:gridSpan w:val="2"/>
            <w:shd w:val="clear" w:color="auto" w:fill="0066B2"/>
          </w:tcPr>
          <w:p>
            <w:pPr>
              <w:ind w:left="780"/>
              <w:spacing w:after="0" w:line="139" w:lineRule="exact"/>
              <w:rPr>
                <w:sz w:val="20"/>
                <w:szCs w:val="20"/>
                <w:color w:val="auto"/>
              </w:rPr>
            </w:pPr>
            <w:r>
              <w:rPr>
                <w:rFonts w:ascii="Arial" w:cs="Arial" w:eastAsia="Arial" w:hAnsi="Arial"/>
                <w:sz w:val="13"/>
                <w:szCs w:val="13"/>
                <w:b w:val="1"/>
                <w:bCs w:val="1"/>
                <w:color w:val="FFFFFF"/>
              </w:rPr>
              <w:t>Public Company</w:t>
            </w:r>
          </w:p>
        </w:tc>
        <w:tc>
          <w:tcPr>
            <w:tcW w:w="0" w:type="dxa"/>
            <w:vAlign w:val="bottom"/>
          </w:tcPr>
          <w:p>
            <w:pPr>
              <w:spacing w:after="0"/>
              <w:rPr>
                <w:sz w:val="1"/>
                <w:szCs w:val="1"/>
                <w:color w:val="auto"/>
              </w:rPr>
            </w:pPr>
          </w:p>
        </w:tc>
      </w:tr>
      <w:tr>
        <w:trPr>
          <w:trHeight w:val="162"/>
        </w:trPr>
        <w:tc>
          <w:tcPr>
            <w:tcW w:w="1300" w:type="dxa"/>
            <w:vAlign w:val="bottom"/>
            <w:vMerge w:val="continue"/>
            <w:shd w:val="clear" w:color="auto" w:fill="0066B2"/>
          </w:tcPr>
          <w:p>
            <w:pPr>
              <w:spacing w:after="0"/>
              <w:rPr>
                <w:sz w:val="14"/>
                <w:szCs w:val="14"/>
                <w:color w:val="auto"/>
              </w:rPr>
            </w:pPr>
          </w:p>
        </w:tc>
        <w:tc>
          <w:tcPr>
            <w:tcW w:w="640" w:type="dxa"/>
            <w:vAlign w:val="bottom"/>
            <w:vMerge w:val="continue"/>
            <w:shd w:val="clear" w:color="auto" w:fill="0066B2"/>
          </w:tcPr>
          <w:p>
            <w:pPr>
              <w:spacing w:after="0"/>
              <w:rPr>
                <w:sz w:val="14"/>
                <w:szCs w:val="14"/>
                <w:color w:val="auto"/>
              </w:rPr>
            </w:pPr>
          </w:p>
        </w:tc>
        <w:tc>
          <w:tcPr>
            <w:tcW w:w="660" w:type="dxa"/>
            <w:vAlign w:val="bottom"/>
            <w:shd w:val="clear" w:color="auto" w:fill="0066B2"/>
          </w:tcPr>
          <w:p>
            <w:pPr>
              <w:ind w:left="100"/>
              <w:spacing w:after="0"/>
              <w:rPr>
                <w:sz w:val="20"/>
                <w:szCs w:val="20"/>
                <w:color w:val="auto"/>
              </w:rPr>
            </w:pPr>
            <w:r>
              <w:rPr>
                <w:rFonts w:ascii="Arial" w:cs="Arial" w:eastAsia="Arial" w:hAnsi="Arial"/>
                <w:sz w:val="13"/>
                <w:szCs w:val="13"/>
                <w:b w:val="1"/>
                <w:bCs w:val="1"/>
                <w:color w:val="FFFFFF"/>
              </w:rPr>
              <w:t>Age</w:t>
            </w:r>
            <w:r>
              <w:rPr>
                <w:rFonts w:ascii="Arial" w:cs="Arial" w:eastAsia="Arial" w:hAnsi="Arial"/>
                <w:sz w:val="10"/>
                <w:szCs w:val="10"/>
                <w:b w:val="1"/>
                <w:bCs w:val="1"/>
                <w:color w:val="FFFFFF"/>
              </w:rPr>
              <w:t>(1)</w:t>
            </w:r>
          </w:p>
        </w:tc>
        <w:tc>
          <w:tcPr>
            <w:tcW w:w="820" w:type="dxa"/>
            <w:vAlign w:val="bottom"/>
            <w:shd w:val="clear" w:color="auto" w:fill="0066B2"/>
          </w:tcPr>
          <w:p>
            <w:pPr>
              <w:ind w:left="60"/>
              <w:spacing w:after="0"/>
              <w:rPr>
                <w:sz w:val="20"/>
                <w:szCs w:val="20"/>
                <w:color w:val="auto"/>
              </w:rPr>
            </w:pPr>
            <w:r>
              <w:rPr>
                <w:rFonts w:ascii="Arial" w:cs="Arial" w:eastAsia="Arial" w:hAnsi="Arial"/>
                <w:sz w:val="13"/>
                <w:szCs w:val="13"/>
                <w:b w:val="1"/>
                <w:bCs w:val="1"/>
                <w:color w:val="FFFFFF"/>
              </w:rPr>
              <w:t>Ethnicity</w:t>
            </w:r>
          </w:p>
        </w:tc>
        <w:tc>
          <w:tcPr>
            <w:tcW w:w="660" w:type="dxa"/>
            <w:vAlign w:val="bottom"/>
            <w:shd w:val="clear" w:color="auto" w:fill="0066B2"/>
          </w:tcPr>
          <w:p>
            <w:pPr>
              <w:ind w:left="100"/>
              <w:spacing w:after="0"/>
              <w:rPr>
                <w:sz w:val="20"/>
                <w:szCs w:val="20"/>
                <w:color w:val="auto"/>
              </w:rPr>
            </w:pPr>
            <w:r>
              <w:rPr>
                <w:rFonts w:ascii="Arial" w:cs="Arial" w:eastAsia="Arial" w:hAnsi="Arial"/>
                <w:sz w:val="13"/>
                <w:szCs w:val="13"/>
                <w:b w:val="1"/>
                <w:bCs w:val="1"/>
                <w:color w:val="FFFFFF"/>
              </w:rPr>
              <w:t>Since</w:t>
            </w:r>
          </w:p>
        </w:tc>
        <w:tc>
          <w:tcPr>
            <w:tcW w:w="1920" w:type="dxa"/>
            <w:vAlign w:val="bottom"/>
            <w:shd w:val="clear" w:color="auto" w:fill="0066B2"/>
          </w:tcPr>
          <w:p>
            <w:pPr>
              <w:ind w:left="80"/>
              <w:spacing w:after="0"/>
              <w:rPr>
                <w:sz w:val="20"/>
                <w:szCs w:val="20"/>
                <w:color w:val="auto"/>
              </w:rPr>
            </w:pPr>
            <w:r>
              <w:rPr>
                <w:rFonts w:ascii="Arial" w:cs="Arial" w:eastAsia="Arial" w:hAnsi="Arial"/>
                <w:sz w:val="13"/>
                <w:szCs w:val="13"/>
                <w:b w:val="1"/>
                <w:bCs w:val="1"/>
                <w:color w:val="FFFFFF"/>
              </w:rPr>
              <w:t>Occupation</w:t>
            </w:r>
          </w:p>
        </w:tc>
        <w:tc>
          <w:tcPr>
            <w:tcW w:w="560" w:type="dxa"/>
            <w:vAlign w:val="bottom"/>
            <w:vMerge w:val="continue"/>
            <w:shd w:val="clear" w:color="auto" w:fill="0066B2"/>
          </w:tcPr>
          <w:p>
            <w:pPr>
              <w:spacing w:after="0"/>
              <w:rPr>
                <w:sz w:val="14"/>
                <w:szCs w:val="14"/>
                <w:color w:val="auto"/>
              </w:rPr>
            </w:pPr>
          </w:p>
        </w:tc>
        <w:tc>
          <w:tcPr>
            <w:tcW w:w="1180" w:type="dxa"/>
            <w:vAlign w:val="bottom"/>
            <w:vMerge w:val="continue"/>
            <w:shd w:val="clear" w:color="auto" w:fill="0066B2"/>
          </w:tcPr>
          <w:p>
            <w:pPr>
              <w:spacing w:after="0"/>
              <w:rPr>
                <w:sz w:val="14"/>
                <w:szCs w:val="14"/>
                <w:color w:val="auto"/>
              </w:rPr>
            </w:pPr>
          </w:p>
        </w:tc>
        <w:tc>
          <w:tcPr>
            <w:tcW w:w="580" w:type="dxa"/>
            <w:vAlign w:val="bottom"/>
            <w:vMerge w:val="continue"/>
            <w:shd w:val="clear" w:color="auto" w:fill="0066B2"/>
          </w:tcPr>
          <w:p>
            <w:pPr>
              <w:spacing w:after="0"/>
              <w:rPr>
                <w:sz w:val="14"/>
                <w:szCs w:val="14"/>
                <w:color w:val="auto"/>
              </w:rPr>
            </w:pPr>
          </w:p>
        </w:tc>
        <w:tc>
          <w:tcPr>
            <w:tcW w:w="2660" w:type="dxa"/>
            <w:vAlign w:val="bottom"/>
            <w:gridSpan w:val="2"/>
            <w:shd w:val="clear" w:color="auto" w:fill="0066B2"/>
          </w:tcPr>
          <w:p>
            <w:pPr>
              <w:ind w:left="80"/>
              <w:spacing w:after="0"/>
              <w:rPr>
                <w:sz w:val="20"/>
                <w:szCs w:val="20"/>
                <w:color w:val="auto"/>
              </w:rPr>
            </w:pPr>
            <w:r>
              <w:rPr>
                <w:rFonts w:ascii="Arial" w:cs="Arial" w:eastAsia="Arial" w:hAnsi="Arial"/>
                <w:sz w:val="13"/>
                <w:szCs w:val="13"/>
                <w:b w:val="1"/>
                <w:bCs w:val="1"/>
                <w:color w:val="FFFFFF"/>
              </w:rPr>
              <w:t>PP&amp;SC</w:t>
            </w:r>
            <w:r>
              <w:rPr>
                <w:rFonts w:ascii="Arial" w:cs="Arial" w:eastAsia="Arial" w:hAnsi="Arial"/>
                <w:sz w:val="10"/>
                <w:szCs w:val="10"/>
                <w:b w:val="1"/>
                <w:bCs w:val="1"/>
                <w:color w:val="FFFFFF"/>
              </w:rPr>
              <w:t>(6)</w:t>
            </w:r>
            <w:r>
              <w:rPr>
                <w:rFonts w:ascii="Arial" w:cs="Arial" w:eastAsia="Arial" w:hAnsi="Arial"/>
                <w:sz w:val="13"/>
                <w:szCs w:val="13"/>
                <w:b w:val="1"/>
                <w:bCs w:val="1"/>
                <w:color w:val="FFFFFF"/>
              </w:rPr>
              <w:t xml:space="preserve">   Directorships</w:t>
            </w:r>
          </w:p>
        </w:tc>
        <w:tc>
          <w:tcPr>
            <w:tcW w:w="0" w:type="dxa"/>
            <w:vAlign w:val="bottom"/>
          </w:tcPr>
          <w:p>
            <w:pPr>
              <w:spacing w:after="0"/>
              <w:rPr>
                <w:sz w:val="1"/>
                <w:szCs w:val="1"/>
                <w:color w:val="auto"/>
              </w:rPr>
            </w:pPr>
          </w:p>
        </w:tc>
      </w:tr>
      <w:tr>
        <w:trPr>
          <w:trHeight w:val="136"/>
        </w:trPr>
        <w:tc>
          <w:tcPr>
            <w:tcW w:w="1300" w:type="dxa"/>
            <w:vAlign w:val="bottom"/>
            <w:shd w:val="clear" w:color="auto" w:fill="D8D8D8"/>
          </w:tcPr>
          <w:p>
            <w:pPr>
              <w:ind w:left="160"/>
              <w:spacing w:after="0" w:line="136" w:lineRule="exact"/>
              <w:rPr>
                <w:sz w:val="20"/>
                <w:szCs w:val="20"/>
                <w:color w:val="auto"/>
              </w:rPr>
            </w:pPr>
            <w:r>
              <w:rPr>
                <w:rFonts w:ascii="Arial" w:cs="Arial" w:eastAsia="Arial" w:hAnsi="Arial"/>
                <w:sz w:val="13"/>
                <w:szCs w:val="13"/>
                <w:color w:val="auto"/>
              </w:rPr>
              <w:t>Wanda M.</w:t>
            </w:r>
          </w:p>
        </w:tc>
        <w:tc>
          <w:tcPr>
            <w:tcW w:w="640" w:type="dxa"/>
            <w:vAlign w:val="bottom"/>
            <w:shd w:val="clear" w:color="auto" w:fill="D8D8D8"/>
          </w:tcPr>
          <w:p>
            <w:pPr>
              <w:ind w:left="100"/>
              <w:spacing w:after="0" w:line="136" w:lineRule="exact"/>
              <w:rPr>
                <w:sz w:val="20"/>
                <w:szCs w:val="20"/>
                <w:color w:val="auto"/>
              </w:rPr>
            </w:pPr>
            <w:r>
              <w:rPr>
                <w:rFonts w:ascii="Arial" w:cs="Arial" w:eastAsia="Arial" w:hAnsi="Arial"/>
                <w:sz w:val="13"/>
                <w:szCs w:val="13"/>
                <w:color w:val="auto"/>
              </w:rPr>
              <w:t>F</w:t>
            </w:r>
          </w:p>
        </w:tc>
        <w:tc>
          <w:tcPr>
            <w:tcW w:w="660" w:type="dxa"/>
            <w:vAlign w:val="bottom"/>
            <w:shd w:val="clear" w:color="auto" w:fill="D8D8D8"/>
          </w:tcPr>
          <w:p>
            <w:pPr>
              <w:ind w:left="100"/>
              <w:spacing w:after="0" w:line="136" w:lineRule="exact"/>
              <w:rPr>
                <w:sz w:val="20"/>
                <w:szCs w:val="20"/>
                <w:color w:val="auto"/>
              </w:rPr>
            </w:pPr>
            <w:r>
              <w:rPr>
                <w:rFonts w:ascii="Arial" w:cs="Arial" w:eastAsia="Arial" w:hAnsi="Arial"/>
                <w:sz w:val="13"/>
                <w:szCs w:val="13"/>
                <w:color w:val="auto"/>
              </w:rPr>
              <w:t>67</w:t>
            </w:r>
          </w:p>
        </w:tc>
        <w:tc>
          <w:tcPr>
            <w:tcW w:w="820" w:type="dxa"/>
            <w:vAlign w:val="bottom"/>
            <w:shd w:val="clear" w:color="auto" w:fill="D8D8D8"/>
          </w:tcPr>
          <w:p>
            <w:pPr>
              <w:ind w:left="60"/>
              <w:spacing w:after="0" w:line="136" w:lineRule="exact"/>
              <w:rPr>
                <w:sz w:val="20"/>
                <w:szCs w:val="20"/>
                <w:color w:val="auto"/>
              </w:rPr>
            </w:pPr>
            <w:r>
              <w:rPr>
                <w:rFonts w:ascii="Arial" w:cs="Arial" w:eastAsia="Arial" w:hAnsi="Arial"/>
                <w:sz w:val="13"/>
                <w:szCs w:val="13"/>
                <w:color w:val="auto"/>
              </w:rPr>
              <w:t>Black/</w:t>
            </w:r>
          </w:p>
        </w:tc>
        <w:tc>
          <w:tcPr>
            <w:tcW w:w="660" w:type="dxa"/>
            <w:vAlign w:val="bottom"/>
            <w:shd w:val="clear" w:color="auto" w:fill="D8D8D8"/>
          </w:tcPr>
          <w:p>
            <w:pPr>
              <w:ind w:left="100"/>
              <w:spacing w:after="0" w:line="136" w:lineRule="exact"/>
              <w:rPr>
                <w:sz w:val="20"/>
                <w:szCs w:val="20"/>
                <w:color w:val="auto"/>
              </w:rPr>
            </w:pPr>
            <w:r>
              <w:rPr>
                <w:rFonts w:ascii="Arial" w:cs="Arial" w:eastAsia="Arial" w:hAnsi="Arial"/>
                <w:sz w:val="13"/>
                <w:szCs w:val="13"/>
                <w:color w:val="auto"/>
              </w:rPr>
              <w:t>2016</w:t>
            </w:r>
          </w:p>
        </w:tc>
        <w:tc>
          <w:tcPr>
            <w:tcW w:w="1920" w:type="dxa"/>
            <w:vAlign w:val="bottom"/>
            <w:shd w:val="clear" w:color="auto" w:fill="D8D8D8"/>
          </w:tcPr>
          <w:p>
            <w:pPr>
              <w:ind w:left="80"/>
              <w:spacing w:after="0" w:line="136" w:lineRule="exact"/>
              <w:rPr>
                <w:sz w:val="20"/>
                <w:szCs w:val="20"/>
                <w:color w:val="auto"/>
              </w:rPr>
            </w:pPr>
            <w:r>
              <w:rPr>
                <w:rFonts w:ascii="Arial" w:cs="Arial" w:eastAsia="Arial" w:hAnsi="Arial"/>
                <w:sz w:val="13"/>
                <w:szCs w:val="13"/>
                <w:color w:val="auto"/>
              </w:rPr>
              <w:t>Retired President and CEO,</w:t>
            </w:r>
          </w:p>
        </w:tc>
        <w:tc>
          <w:tcPr>
            <w:tcW w:w="560" w:type="dxa"/>
            <w:vAlign w:val="bottom"/>
            <w:vMerge w:val="restart"/>
            <w:shd w:val="clear" w:color="auto" w:fill="D8D8D8"/>
          </w:tcPr>
          <w:p>
            <w:pPr>
              <w:jc w:val="center"/>
              <w:ind w:left="14"/>
              <w:spacing w:after="0"/>
              <w:rPr>
                <w:sz w:val="20"/>
                <w:szCs w:val="20"/>
                <w:color w:val="auto"/>
              </w:rPr>
            </w:pPr>
            <w:r>
              <w:rPr>
                <w:rFonts w:ascii="Times New Roman" w:cs="Times New Roman" w:eastAsia="Times New Roman" w:hAnsi="Times New Roman"/>
                <w:sz w:val="13"/>
                <w:szCs w:val="13"/>
                <w:color w:val="0B2D71"/>
              </w:rPr>
              <w:t>●</w:t>
            </w:r>
          </w:p>
        </w:tc>
        <w:tc>
          <w:tcPr>
            <w:tcW w:w="1180" w:type="dxa"/>
            <w:vAlign w:val="bottom"/>
            <w:vMerge w:val="restart"/>
            <w:shd w:val="clear" w:color="auto" w:fill="D8D8D8"/>
          </w:tcPr>
          <w:p>
            <w:pPr>
              <w:ind w:left="740"/>
              <w:spacing w:after="0"/>
              <w:rPr>
                <w:sz w:val="20"/>
                <w:szCs w:val="20"/>
                <w:color w:val="auto"/>
              </w:rPr>
            </w:pPr>
            <w:r>
              <w:rPr>
                <w:rFonts w:ascii="Arial" w:cs="Arial" w:eastAsia="Arial" w:hAnsi="Arial"/>
                <w:sz w:val="22"/>
                <w:szCs w:val="22"/>
                <w:b w:val="1"/>
                <w:bCs w:val="1"/>
                <w:color w:val="0B2D71"/>
              </w:rPr>
              <w:t>C</w:t>
            </w:r>
          </w:p>
        </w:tc>
        <w:tc>
          <w:tcPr>
            <w:tcW w:w="580" w:type="dxa"/>
            <w:vAlign w:val="bottom"/>
            <w:vMerge w:val="restart"/>
            <w:shd w:val="clear" w:color="auto" w:fill="D8D8D8"/>
          </w:tcPr>
          <w:p>
            <w:pPr>
              <w:jc w:val="center"/>
              <w:spacing w:after="0"/>
              <w:rPr>
                <w:sz w:val="20"/>
                <w:szCs w:val="20"/>
                <w:color w:val="auto"/>
              </w:rPr>
            </w:pPr>
            <w:r>
              <w:rPr>
                <w:rFonts w:ascii="Arial" w:cs="Arial" w:eastAsia="Arial" w:hAnsi="Arial"/>
                <w:sz w:val="22"/>
                <w:szCs w:val="22"/>
                <w:b w:val="1"/>
                <w:bCs w:val="1"/>
                <w:color w:val="0B2D71"/>
                <w:w w:val="97"/>
              </w:rPr>
              <w:t>M</w:t>
            </w:r>
          </w:p>
        </w:tc>
        <w:tc>
          <w:tcPr>
            <w:tcW w:w="2660" w:type="dxa"/>
            <w:vAlign w:val="bottom"/>
            <w:gridSpan w:val="2"/>
            <w:shd w:val="clear" w:color="auto" w:fill="D8D8D8"/>
          </w:tcPr>
          <w:p>
            <w:pPr>
              <w:ind w:left="780"/>
              <w:spacing w:after="0" w:line="136" w:lineRule="exact"/>
              <w:rPr>
                <w:sz w:val="20"/>
                <w:szCs w:val="20"/>
                <w:color w:val="auto"/>
              </w:rPr>
            </w:pPr>
            <w:r>
              <w:rPr>
                <w:rFonts w:ascii="Arial" w:cs="Arial" w:eastAsia="Arial" w:hAnsi="Arial"/>
                <w:sz w:val="13"/>
                <w:szCs w:val="13"/>
                <w:color w:val="auto"/>
              </w:rPr>
              <w:t>• Amgen Inc.</w:t>
            </w:r>
          </w:p>
        </w:tc>
        <w:tc>
          <w:tcPr>
            <w:tcW w:w="0" w:type="dxa"/>
            <w:vAlign w:val="bottom"/>
          </w:tcPr>
          <w:p>
            <w:pPr>
              <w:spacing w:after="0"/>
              <w:rPr>
                <w:sz w:val="1"/>
                <w:szCs w:val="1"/>
                <w:color w:val="auto"/>
              </w:rPr>
            </w:pPr>
          </w:p>
        </w:tc>
      </w:tr>
      <w:tr>
        <w:trPr>
          <w:trHeight w:val="160"/>
        </w:trPr>
        <w:tc>
          <w:tcPr>
            <w:tcW w:w="1300" w:type="dxa"/>
            <w:vAlign w:val="bottom"/>
            <w:shd w:val="clear" w:color="auto" w:fill="D8D8D8"/>
          </w:tcPr>
          <w:p>
            <w:pPr>
              <w:ind w:left="160"/>
              <w:spacing w:after="0"/>
              <w:rPr>
                <w:sz w:val="20"/>
                <w:szCs w:val="20"/>
                <w:color w:val="auto"/>
              </w:rPr>
            </w:pPr>
            <w:r>
              <w:rPr>
                <w:rFonts w:ascii="Arial" w:cs="Arial" w:eastAsia="Arial" w:hAnsi="Arial"/>
                <w:sz w:val="13"/>
                <w:szCs w:val="13"/>
                <w:color w:val="auto"/>
              </w:rPr>
              <w:t>Austin</w:t>
            </w:r>
          </w:p>
        </w:tc>
        <w:tc>
          <w:tcPr>
            <w:tcW w:w="640" w:type="dxa"/>
            <w:vAlign w:val="bottom"/>
            <w:shd w:val="clear" w:color="auto" w:fill="D8D8D8"/>
          </w:tcPr>
          <w:p>
            <w:pPr>
              <w:spacing w:after="0"/>
              <w:rPr>
                <w:sz w:val="13"/>
                <w:szCs w:val="13"/>
                <w:color w:val="auto"/>
              </w:rPr>
            </w:pPr>
          </w:p>
        </w:tc>
        <w:tc>
          <w:tcPr>
            <w:tcW w:w="660" w:type="dxa"/>
            <w:vAlign w:val="bottom"/>
            <w:shd w:val="clear" w:color="auto" w:fill="D8D8D8"/>
          </w:tcPr>
          <w:p>
            <w:pPr>
              <w:spacing w:after="0"/>
              <w:rPr>
                <w:sz w:val="13"/>
                <w:szCs w:val="13"/>
                <w:color w:val="auto"/>
              </w:rPr>
            </w:pPr>
          </w:p>
        </w:tc>
        <w:tc>
          <w:tcPr>
            <w:tcW w:w="820" w:type="dxa"/>
            <w:vAlign w:val="bottom"/>
            <w:shd w:val="clear" w:color="auto" w:fill="D8D8D8"/>
          </w:tcPr>
          <w:p>
            <w:pPr>
              <w:ind w:left="60"/>
              <w:spacing w:after="0"/>
              <w:rPr>
                <w:sz w:val="20"/>
                <w:szCs w:val="20"/>
                <w:color w:val="auto"/>
              </w:rPr>
            </w:pPr>
            <w:r>
              <w:rPr>
                <w:rFonts w:ascii="Arial" w:cs="Arial" w:eastAsia="Arial" w:hAnsi="Arial"/>
                <w:sz w:val="13"/>
                <w:szCs w:val="13"/>
                <w:color w:val="auto"/>
              </w:rPr>
              <w:t>African-</w:t>
            </w:r>
          </w:p>
        </w:tc>
        <w:tc>
          <w:tcPr>
            <w:tcW w:w="660" w:type="dxa"/>
            <w:vAlign w:val="bottom"/>
            <w:shd w:val="clear" w:color="auto" w:fill="D8D8D8"/>
          </w:tcPr>
          <w:p>
            <w:pPr>
              <w:spacing w:after="0"/>
              <w:rPr>
                <w:sz w:val="13"/>
                <w:szCs w:val="13"/>
                <w:color w:val="auto"/>
              </w:rPr>
            </w:pPr>
          </w:p>
        </w:tc>
        <w:tc>
          <w:tcPr>
            <w:tcW w:w="1920" w:type="dxa"/>
            <w:vAlign w:val="bottom"/>
            <w:shd w:val="clear" w:color="auto" w:fill="D8D8D8"/>
          </w:tcPr>
          <w:p>
            <w:pPr>
              <w:ind w:left="80"/>
              <w:spacing w:after="0"/>
              <w:rPr>
                <w:sz w:val="20"/>
                <w:szCs w:val="20"/>
                <w:color w:val="auto"/>
              </w:rPr>
            </w:pPr>
            <w:r>
              <w:rPr>
                <w:rFonts w:ascii="Arial" w:cs="Arial" w:eastAsia="Arial" w:hAnsi="Arial"/>
                <w:sz w:val="13"/>
                <w:szCs w:val="13"/>
                <w:color w:val="auto"/>
              </w:rPr>
              <w:t>The Aerospace Corporation</w:t>
            </w:r>
          </w:p>
        </w:tc>
        <w:tc>
          <w:tcPr>
            <w:tcW w:w="560" w:type="dxa"/>
            <w:vAlign w:val="bottom"/>
            <w:vMerge w:val="continue"/>
            <w:shd w:val="clear" w:color="auto" w:fill="D8D8D8"/>
          </w:tcPr>
          <w:p>
            <w:pPr>
              <w:spacing w:after="0"/>
              <w:rPr>
                <w:sz w:val="13"/>
                <w:szCs w:val="13"/>
                <w:color w:val="auto"/>
              </w:rPr>
            </w:pPr>
          </w:p>
        </w:tc>
        <w:tc>
          <w:tcPr>
            <w:tcW w:w="1180" w:type="dxa"/>
            <w:vAlign w:val="bottom"/>
            <w:vMerge w:val="continue"/>
            <w:shd w:val="clear" w:color="auto" w:fill="D8D8D8"/>
          </w:tcPr>
          <w:p>
            <w:pPr>
              <w:spacing w:after="0"/>
              <w:rPr>
                <w:sz w:val="13"/>
                <w:szCs w:val="13"/>
                <w:color w:val="auto"/>
              </w:rPr>
            </w:pPr>
          </w:p>
        </w:tc>
        <w:tc>
          <w:tcPr>
            <w:tcW w:w="580" w:type="dxa"/>
            <w:vAlign w:val="bottom"/>
            <w:vMerge w:val="continue"/>
            <w:shd w:val="clear" w:color="auto" w:fill="D8D8D8"/>
          </w:tcPr>
          <w:p>
            <w:pPr>
              <w:spacing w:after="0"/>
              <w:rPr>
                <w:sz w:val="13"/>
                <w:szCs w:val="13"/>
                <w:color w:val="auto"/>
              </w:rPr>
            </w:pPr>
          </w:p>
        </w:tc>
        <w:tc>
          <w:tcPr>
            <w:tcW w:w="2660" w:type="dxa"/>
            <w:vAlign w:val="bottom"/>
            <w:gridSpan w:val="2"/>
            <w:shd w:val="clear" w:color="auto" w:fill="D8D8D8"/>
          </w:tcPr>
          <w:p>
            <w:pPr>
              <w:ind w:left="780"/>
              <w:spacing w:after="0"/>
              <w:rPr>
                <w:sz w:val="20"/>
                <w:szCs w:val="20"/>
                <w:color w:val="auto"/>
              </w:rPr>
            </w:pPr>
            <w:r>
              <w:rPr>
                <w:rFonts w:ascii="Arial" w:cs="Arial" w:eastAsia="Arial" w:hAnsi="Arial"/>
                <w:sz w:val="13"/>
                <w:szCs w:val="13"/>
                <w:color w:val="auto"/>
              </w:rPr>
              <w:t>• Virgin Galactic Holdings,</w:t>
            </w:r>
          </w:p>
        </w:tc>
        <w:tc>
          <w:tcPr>
            <w:tcW w:w="0" w:type="dxa"/>
            <w:vAlign w:val="bottom"/>
          </w:tcPr>
          <w:p>
            <w:pPr>
              <w:spacing w:after="0"/>
              <w:rPr>
                <w:sz w:val="1"/>
                <w:szCs w:val="1"/>
                <w:color w:val="auto"/>
              </w:rPr>
            </w:pPr>
          </w:p>
        </w:tc>
      </w:tr>
      <w:tr>
        <w:trPr>
          <w:trHeight w:val="163"/>
        </w:trPr>
        <w:tc>
          <w:tcPr>
            <w:tcW w:w="1300" w:type="dxa"/>
            <w:vAlign w:val="bottom"/>
            <w:shd w:val="clear" w:color="auto" w:fill="D8D8D8"/>
          </w:tcPr>
          <w:p>
            <w:pPr>
              <w:spacing w:after="0"/>
              <w:rPr>
                <w:sz w:val="14"/>
                <w:szCs w:val="14"/>
                <w:color w:val="auto"/>
              </w:rPr>
            </w:pPr>
          </w:p>
        </w:tc>
        <w:tc>
          <w:tcPr>
            <w:tcW w:w="640" w:type="dxa"/>
            <w:vAlign w:val="bottom"/>
            <w:shd w:val="clear" w:color="auto" w:fill="D8D8D8"/>
          </w:tcPr>
          <w:p>
            <w:pPr>
              <w:spacing w:after="0"/>
              <w:rPr>
                <w:sz w:val="14"/>
                <w:szCs w:val="14"/>
                <w:color w:val="auto"/>
              </w:rPr>
            </w:pPr>
          </w:p>
        </w:tc>
        <w:tc>
          <w:tcPr>
            <w:tcW w:w="660" w:type="dxa"/>
            <w:vAlign w:val="bottom"/>
            <w:shd w:val="clear" w:color="auto" w:fill="D8D8D8"/>
          </w:tcPr>
          <w:p>
            <w:pPr>
              <w:spacing w:after="0"/>
              <w:rPr>
                <w:sz w:val="14"/>
                <w:szCs w:val="14"/>
                <w:color w:val="auto"/>
              </w:rPr>
            </w:pPr>
          </w:p>
        </w:tc>
        <w:tc>
          <w:tcPr>
            <w:tcW w:w="820" w:type="dxa"/>
            <w:vAlign w:val="bottom"/>
            <w:shd w:val="clear" w:color="auto" w:fill="D8D8D8"/>
          </w:tcPr>
          <w:p>
            <w:pPr>
              <w:ind w:left="60"/>
              <w:spacing w:after="0"/>
              <w:rPr>
                <w:sz w:val="20"/>
                <w:szCs w:val="20"/>
                <w:color w:val="auto"/>
              </w:rPr>
            </w:pPr>
            <w:r>
              <w:rPr>
                <w:rFonts w:ascii="Arial" w:cs="Arial" w:eastAsia="Arial" w:hAnsi="Arial"/>
                <w:sz w:val="13"/>
                <w:szCs w:val="13"/>
                <w:color w:val="auto"/>
              </w:rPr>
              <w:t>American</w:t>
            </w:r>
          </w:p>
        </w:tc>
        <w:tc>
          <w:tcPr>
            <w:tcW w:w="660" w:type="dxa"/>
            <w:vAlign w:val="bottom"/>
            <w:shd w:val="clear" w:color="auto" w:fill="D8D8D8"/>
          </w:tcPr>
          <w:p>
            <w:pPr>
              <w:spacing w:after="0"/>
              <w:rPr>
                <w:sz w:val="14"/>
                <w:szCs w:val="14"/>
                <w:color w:val="auto"/>
              </w:rPr>
            </w:pPr>
          </w:p>
        </w:tc>
        <w:tc>
          <w:tcPr>
            <w:tcW w:w="1920" w:type="dxa"/>
            <w:vAlign w:val="bottom"/>
            <w:shd w:val="clear" w:color="auto" w:fill="D8D8D8"/>
          </w:tcPr>
          <w:p>
            <w:pPr>
              <w:spacing w:after="0"/>
              <w:rPr>
                <w:sz w:val="14"/>
                <w:szCs w:val="14"/>
                <w:color w:val="auto"/>
              </w:rPr>
            </w:pPr>
          </w:p>
        </w:tc>
        <w:tc>
          <w:tcPr>
            <w:tcW w:w="560" w:type="dxa"/>
            <w:vAlign w:val="bottom"/>
            <w:shd w:val="clear" w:color="auto" w:fill="D8D8D8"/>
          </w:tcPr>
          <w:p>
            <w:pPr>
              <w:spacing w:after="0"/>
              <w:rPr>
                <w:sz w:val="14"/>
                <w:szCs w:val="14"/>
                <w:color w:val="auto"/>
              </w:rPr>
            </w:pPr>
          </w:p>
        </w:tc>
        <w:tc>
          <w:tcPr>
            <w:tcW w:w="1180" w:type="dxa"/>
            <w:vAlign w:val="bottom"/>
            <w:shd w:val="clear" w:color="auto" w:fill="D8D8D8"/>
          </w:tcPr>
          <w:p>
            <w:pPr>
              <w:spacing w:after="0"/>
              <w:rPr>
                <w:sz w:val="14"/>
                <w:szCs w:val="14"/>
                <w:color w:val="auto"/>
              </w:rPr>
            </w:pPr>
          </w:p>
        </w:tc>
        <w:tc>
          <w:tcPr>
            <w:tcW w:w="580" w:type="dxa"/>
            <w:vAlign w:val="bottom"/>
            <w:shd w:val="clear" w:color="auto" w:fill="D8D8D8"/>
          </w:tcPr>
          <w:p>
            <w:pPr>
              <w:spacing w:after="0"/>
              <w:rPr>
                <w:sz w:val="14"/>
                <w:szCs w:val="14"/>
                <w:color w:val="auto"/>
              </w:rPr>
            </w:pPr>
          </w:p>
        </w:tc>
        <w:tc>
          <w:tcPr>
            <w:tcW w:w="2660" w:type="dxa"/>
            <w:vAlign w:val="bottom"/>
            <w:gridSpan w:val="2"/>
            <w:shd w:val="clear" w:color="auto" w:fill="D8D8D8"/>
          </w:tcPr>
          <w:p>
            <w:pPr>
              <w:ind w:left="940"/>
              <w:spacing w:after="0"/>
              <w:rPr>
                <w:sz w:val="20"/>
                <w:szCs w:val="20"/>
                <w:color w:val="auto"/>
              </w:rPr>
            </w:pPr>
            <w:r>
              <w:rPr>
                <w:rFonts w:ascii="Arial" w:cs="Arial" w:eastAsia="Arial" w:hAnsi="Arial"/>
                <w:sz w:val="13"/>
                <w:szCs w:val="13"/>
                <w:color w:val="auto"/>
              </w:rPr>
              <w:t>Inc.</w:t>
            </w:r>
          </w:p>
        </w:tc>
        <w:tc>
          <w:tcPr>
            <w:tcW w:w="0" w:type="dxa"/>
            <w:vAlign w:val="bottom"/>
          </w:tcPr>
          <w:p>
            <w:pPr>
              <w:spacing w:after="0"/>
              <w:rPr>
                <w:sz w:val="1"/>
                <w:szCs w:val="1"/>
                <w:color w:val="auto"/>
              </w:rPr>
            </w:pPr>
          </w:p>
        </w:tc>
      </w:tr>
      <w:tr>
        <w:trPr>
          <w:trHeight w:val="136"/>
        </w:trPr>
        <w:tc>
          <w:tcPr>
            <w:tcW w:w="1300" w:type="dxa"/>
            <w:vAlign w:val="bottom"/>
          </w:tcPr>
          <w:p>
            <w:pPr>
              <w:ind w:left="160"/>
              <w:spacing w:after="0" w:line="136" w:lineRule="exact"/>
              <w:rPr>
                <w:sz w:val="20"/>
                <w:szCs w:val="20"/>
                <w:color w:val="auto"/>
              </w:rPr>
            </w:pPr>
            <w:r>
              <w:rPr>
                <w:rFonts w:ascii="Arial" w:cs="Arial" w:eastAsia="Arial" w:hAnsi="Arial"/>
                <w:sz w:val="13"/>
                <w:szCs w:val="13"/>
                <w:color w:val="auto"/>
              </w:rPr>
              <w:t>John B.</w:t>
            </w:r>
          </w:p>
        </w:tc>
        <w:tc>
          <w:tcPr>
            <w:tcW w:w="640" w:type="dxa"/>
            <w:vAlign w:val="bottom"/>
          </w:tcPr>
          <w:p>
            <w:pPr>
              <w:ind w:left="100"/>
              <w:spacing w:after="0" w:line="136" w:lineRule="exact"/>
              <w:rPr>
                <w:sz w:val="20"/>
                <w:szCs w:val="20"/>
                <w:color w:val="auto"/>
              </w:rPr>
            </w:pPr>
            <w:r>
              <w:rPr>
                <w:rFonts w:ascii="Arial" w:cs="Arial" w:eastAsia="Arial" w:hAnsi="Arial"/>
                <w:sz w:val="13"/>
                <w:szCs w:val="13"/>
                <w:color w:val="auto"/>
              </w:rPr>
              <w:t>M</w:t>
            </w:r>
          </w:p>
        </w:tc>
        <w:tc>
          <w:tcPr>
            <w:tcW w:w="660" w:type="dxa"/>
            <w:vAlign w:val="bottom"/>
          </w:tcPr>
          <w:p>
            <w:pPr>
              <w:ind w:left="100"/>
              <w:spacing w:after="0" w:line="136" w:lineRule="exact"/>
              <w:rPr>
                <w:sz w:val="20"/>
                <w:szCs w:val="20"/>
                <w:color w:val="auto"/>
              </w:rPr>
            </w:pPr>
            <w:r>
              <w:rPr>
                <w:rFonts w:ascii="Arial" w:cs="Arial" w:eastAsia="Arial" w:hAnsi="Arial"/>
                <w:sz w:val="13"/>
                <w:szCs w:val="13"/>
                <w:color w:val="auto"/>
              </w:rPr>
              <w:t>65</w:t>
            </w:r>
          </w:p>
        </w:tc>
        <w:tc>
          <w:tcPr>
            <w:tcW w:w="820" w:type="dxa"/>
            <w:vAlign w:val="bottom"/>
          </w:tcPr>
          <w:p>
            <w:pPr>
              <w:ind w:left="60"/>
              <w:spacing w:after="0" w:line="136" w:lineRule="exact"/>
              <w:rPr>
                <w:sz w:val="20"/>
                <w:szCs w:val="20"/>
                <w:color w:val="auto"/>
              </w:rPr>
            </w:pPr>
            <w:r>
              <w:rPr>
                <w:rFonts w:ascii="Arial" w:cs="Arial" w:eastAsia="Arial" w:hAnsi="Arial"/>
                <w:sz w:val="13"/>
                <w:szCs w:val="13"/>
                <w:color w:val="auto"/>
              </w:rPr>
              <w:t>White/</w:t>
            </w:r>
          </w:p>
        </w:tc>
        <w:tc>
          <w:tcPr>
            <w:tcW w:w="660" w:type="dxa"/>
            <w:vAlign w:val="bottom"/>
          </w:tcPr>
          <w:p>
            <w:pPr>
              <w:ind w:left="100"/>
              <w:spacing w:after="0" w:line="136" w:lineRule="exact"/>
              <w:rPr>
                <w:sz w:val="20"/>
                <w:szCs w:val="20"/>
                <w:color w:val="auto"/>
              </w:rPr>
            </w:pPr>
            <w:r>
              <w:rPr>
                <w:rFonts w:ascii="Arial" w:cs="Arial" w:eastAsia="Arial" w:hAnsi="Arial"/>
                <w:sz w:val="13"/>
                <w:szCs w:val="13"/>
                <w:color w:val="auto"/>
              </w:rPr>
              <w:t>2017</w:t>
            </w:r>
          </w:p>
        </w:tc>
        <w:tc>
          <w:tcPr>
            <w:tcW w:w="1920" w:type="dxa"/>
            <w:vAlign w:val="bottom"/>
          </w:tcPr>
          <w:p>
            <w:pPr>
              <w:ind w:left="80"/>
              <w:spacing w:after="0" w:line="136" w:lineRule="exact"/>
              <w:rPr>
                <w:sz w:val="20"/>
                <w:szCs w:val="20"/>
                <w:color w:val="auto"/>
              </w:rPr>
            </w:pPr>
            <w:r>
              <w:rPr>
                <w:rFonts w:ascii="Arial" w:cs="Arial" w:eastAsia="Arial" w:hAnsi="Arial"/>
                <w:sz w:val="13"/>
                <w:szCs w:val="13"/>
                <w:color w:val="auto"/>
              </w:rPr>
              <w:t>Vice Chairman,</w:t>
            </w:r>
          </w:p>
        </w:tc>
        <w:tc>
          <w:tcPr>
            <w:tcW w:w="5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60" w:type="dxa"/>
            <w:vAlign w:val="bottom"/>
            <w:gridSpan w:val="2"/>
          </w:tcPr>
          <w:p>
            <w:pPr>
              <w:ind w:left="780"/>
              <w:spacing w:after="0" w:line="136" w:lineRule="exact"/>
              <w:rPr>
                <w:sz w:val="20"/>
                <w:szCs w:val="20"/>
                <w:color w:val="auto"/>
              </w:rPr>
            </w:pPr>
            <w:r>
              <w:rPr>
                <w:rFonts w:ascii="Arial" w:cs="Arial" w:eastAsia="Arial" w:hAnsi="Arial"/>
                <w:sz w:val="13"/>
                <w:szCs w:val="13"/>
                <w:color w:val="auto"/>
              </w:rPr>
              <w:t>• Daily Journal Corporation</w:t>
            </w:r>
          </w:p>
        </w:tc>
        <w:tc>
          <w:tcPr>
            <w:tcW w:w="0" w:type="dxa"/>
            <w:vAlign w:val="bottom"/>
          </w:tcPr>
          <w:p>
            <w:pPr>
              <w:spacing w:after="0"/>
              <w:rPr>
                <w:sz w:val="1"/>
                <w:szCs w:val="1"/>
                <w:color w:val="auto"/>
              </w:rPr>
            </w:pPr>
          </w:p>
        </w:tc>
      </w:tr>
      <w:tr>
        <w:trPr>
          <w:trHeight w:val="148"/>
        </w:trPr>
        <w:tc>
          <w:tcPr>
            <w:tcW w:w="1300" w:type="dxa"/>
            <w:vAlign w:val="bottom"/>
          </w:tcPr>
          <w:p>
            <w:pPr>
              <w:ind w:left="160"/>
              <w:spacing w:after="0"/>
              <w:rPr>
                <w:sz w:val="20"/>
                <w:szCs w:val="20"/>
                <w:color w:val="auto"/>
              </w:rPr>
            </w:pPr>
            <w:r>
              <w:rPr>
                <w:rFonts w:ascii="Arial" w:cs="Arial" w:eastAsia="Arial" w:hAnsi="Arial"/>
                <w:sz w:val="13"/>
                <w:szCs w:val="13"/>
                <w:color w:val="auto"/>
              </w:rPr>
              <w:t>Frank</w:t>
            </w: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auto"/>
              </w:rPr>
              <w:t>Caucasian</w:t>
            </w:r>
          </w:p>
        </w:tc>
        <w:tc>
          <w:tcPr>
            <w:tcW w:w="660" w:type="dxa"/>
            <w:vAlign w:val="bottom"/>
          </w:tcPr>
          <w:p>
            <w:pPr>
              <w:spacing w:after="0"/>
              <w:rPr>
                <w:sz w:val="12"/>
                <w:szCs w:val="12"/>
                <w:color w:val="auto"/>
              </w:rPr>
            </w:pPr>
          </w:p>
        </w:tc>
        <w:tc>
          <w:tcPr>
            <w:tcW w:w="1920" w:type="dxa"/>
            <w:vAlign w:val="bottom"/>
          </w:tcPr>
          <w:p>
            <w:pPr>
              <w:ind w:left="80"/>
              <w:spacing w:after="0"/>
              <w:rPr>
                <w:sz w:val="20"/>
                <w:szCs w:val="20"/>
                <w:color w:val="auto"/>
              </w:rPr>
            </w:pPr>
            <w:r>
              <w:rPr>
                <w:rFonts w:ascii="Arial" w:cs="Arial" w:eastAsia="Arial" w:hAnsi="Arial"/>
                <w:sz w:val="13"/>
                <w:szCs w:val="13"/>
                <w:color w:val="auto"/>
              </w:rPr>
              <w:t>Oaktree Capital Group, LLC</w:t>
            </w:r>
          </w:p>
        </w:tc>
        <w:tc>
          <w:tcPr>
            <w:tcW w:w="560" w:type="dxa"/>
            <w:vAlign w:val="bottom"/>
          </w:tcPr>
          <w:p>
            <w:pPr>
              <w:spacing w:after="0"/>
              <w:rPr>
                <w:sz w:val="12"/>
                <w:szCs w:val="12"/>
                <w:color w:val="auto"/>
              </w:rPr>
            </w:pPr>
          </w:p>
        </w:tc>
        <w:tc>
          <w:tcPr>
            <w:tcW w:w="1180" w:type="dxa"/>
            <w:vAlign w:val="bottom"/>
            <w:vMerge w:val="restart"/>
          </w:tcPr>
          <w:p>
            <w:pPr>
              <w:ind w:left="160"/>
              <w:spacing w:after="0"/>
              <w:rPr>
                <w:sz w:val="20"/>
                <w:szCs w:val="20"/>
                <w:color w:val="auto"/>
              </w:rPr>
            </w:pPr>
            <w:r>
              <w:rPr>
                <w:rFonts w:ascii="Arial" w:cs="Arial" w:eastAsia="Arial" w:hAnsi="Arial"/>
                <w:sz w:val="22"/>
                <w:szCs w:val="22"/>
                <w:b w:val="1"/>
                <w:bCs w:val="1"/>
                <w:color w:val="0B2D71"/>
              </w:rPr>
              <w:t>M</w:t>
            </w:r>
          </w:p>
        </w:tc>
        <w:tc>
          <w:tcPr>
            <w:tcW w:w="580" w:type="dxa"/>
            <w:vAlign w:val="bottom"/>
          </w:tcPr>
          <w:p>
            <w:pPr>
              <w:spacing w:after="0"/>
              <w:rPr>
                <w:sz w:val="12"/>
                <w:szCs w:val="12"/>
                <w:color w:val="auto"/>
              </w:rPr>
            </w:pPr>
          </w:p>
        </w:tc>
        <w:tc>
          <w:tcPr>
            <w:tcW w:w="2660" w:type="dxa"/>
            <w:vAlign w:val="bottom"/>
            <w:gridSpan w:val="2"/>
          </w:tcPr>
          <w:p>
            <w:pPr>
              <w:ind w:left="780"/>
              <w:spacing w:after="0"/>
              <w:rPr>
                <w:sz w:val="20"/>
                <w:szCs w:val="20"/>
                <w:color w:val="auto"/>
              </w:rPr>
            </w:pPr>
            <w:r>
              <w:rPr>
                <w:rFonts w:ascii="Arial" w:cs="Arial" w:eastAsia="Arial" w:hAnsi="Arial"/>
                <w:sz w:val="13"/>
                <w:szCs w:val="13"/>
                <w:color w:val="auto"/>
              </w:rPr>
              <w:t>• Oaktree Capital Group, LLC</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60" w:type="dxa"/>
            <w:vAlign w:val="bottom"/>
            <w:vMerge w:val="restart"/>
          </w:tcPr>
          <w:p>
            <w:pPr>
              <w:jc w:val="center"/>
              <w:ind w:left="14"/>
              <w:spacing w:after="0"/>
              <w:rPr>
                <w:sz w:val="20"/>
                <w:szCs w:val="20"/>
                <w:color w:val="auto"/>
              </w:rPr>
            </w:pPr>
            <w:r>
              <w:rPr>
                <w:rFonts w:ascii="Times New Roman" w:cs="Times New Roman" w:eastAsia="Times New Roman" w:hAnsi="Times New Roman"/>
                <w:sz w:val="13"/>
                <w:szCs w:val="13"/>
                <w:color w:val="0B2D71"/>
              </w:rPr>
              <w:t>●</w:t>
            </w:r>
          </w:p>
        </w:tc>
        <w:tc>
          <w:tcPr>
            <w:tcW w:w="118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tcPr>
          <w:p>
            <w:pPr>
              <w:ind w:left="60"/>
              <w:spacing w:after="0"/>
              <w:rPr>
                <w:sz w:val="20"/>
                <w:szCs w:val="20"/>
                <w:color w:val="auto"/>
              </w:rPr>
            </w:pPr>
            <w:r>
              <w:rPr>
                <w:rFonts w:ascii="Arial" w:cs="Arial" w:eastAsia="Arial" w:hAnsi="Arial"/>
                <w:sz w:val="13"/>
                <w:szCs w:val="13"/>
                <w:color w:val="auto"/>
              </w:rPr>
              <w:t>Oaktree Acquisition</w:t>
            </w:r>
          </w:p>
        </w:tc>
        <w:tc>
          <w:tcPr>
            <w:tcW w:w="0" w:type="dxa"/>
            <w:vAlign w:val="bottom"/>
          </w:tcPr>
          <w:p>
            <w:pPr>
              <w:spacing w:after="0"/>
              <w:rPr>
                <w:sz w:val="1"/>
                <w:szCs w:val="1"/>
                <w:color w:val="auto"/>
              </w:rPr>
            </w:pPr>
          </w:p>
        </w:tc>
      </w:tr>
      <w:tr>
        <w:trPr>
          <w:trHeight w:val="107"/>
        </w:trPr>
        <w:tc>
          <w:tcPr>
            <w:tcW w:w="1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60" w:type="dxa"/>
            <w:vAlign w:val="bottom"/>
            <w:vMerge w:val="restart"/>
          </w:tcPr>
          <w:p>
            <w:pPr>
              <w:ind w:left="80"/>
              <w:spacing w:after="0"/>
              <w:rPr>
                <w:sz w:val="20"/>
                <w:szCs w:val="20"/>
                <w:color w:val="auto"/>
              </w:rPr>
            </w:pPr>
            <w:r>
              <w:rPr>
                <w:rFonts w:ascii="Arial" w:cs="Arial" w:eastAsia="Arial" w:hAnsi="Arial"/>
                <w:sz w:val="13"/>
                <w:szCs w:val="13"/>
                <w:color w:val="auto"/>
              </w:rPr>
              <w:t>Corporation II</w:t>
            </w:r>
          </w:p>
        </w:tc>
        <w:tc>
          <w:tcPr>
            <w:tcW w:w="0" w:type="dxa"/>
            <w:vAlign w:val="bottom"/>
          </w:tcPr>
          <w:p>
            <w:pPr>
              <w:spacing w:after="0"/>
              <w:rPr>
                <w:sz w:val="1"/>
                <w:szCs w:val="1"/>
                <w:color w:val="auto"/>
              </w:rPr>
            </w:pPr>
          </w:p>
        </w:tc>
      </w:tr>
      <w:tr>
        <w:trPr>
          <w:trHeight w:val="42"/>
        </w:trPr>
        <w:tc>
          <w:tcPr>
            <w:tcW w:w="1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tcPr>
          <w:p>
            <w:pPr>
              <w:ind w:left="40"/>
              <w:spacing w:after="0"/>
              <w:rPr>
                <w:sz w:val="20"/>
                <w:szCs w:val="20"/>
                <w:color w:val="auto"/>
              </w:rPr>
            </w:pPr>
            <w:r>
              <w:rPr>
                <w:rFonts w:ascii="Arial" w:cs="Arial" w:eastAsia="Arial" w:hAnsi="Arial"/>
                <w:sz w:val="13"/>
                <w:szCs w:val="13"/>
                <w:color w:val="auto"/>
              </w:rPr>
              <w:t>Oaktree Specialty</w:t>
            </w:r>
          </w:p>
        </w:tc>
        <w:tc>
          <w:tcPr>
            <w:tcW w:w="0" w:type="dxa"/>
            <w:vAlign w:val="bottom"/>
          </w:tcPr>
          <w:p>
            <w:pPr>
              <w:spacing w:after="0"/>
              <w:rPr>
                <w:sz w:val="1"/>
                <w:szCs w:val="1"/>
                <w:color w:val="auto"/>
              </w:rPr>
            </w:pPr>
          </w:p>
        </w:tc>
      </w:tr>
      <w:tr>
        <w:trPr>
          <w:trHeight w:val="174"/>
        </w:trPr>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60" w:type="dxa"/>
            <w:vAlign w:val="bottom"/>
          </w:tcPr>
          <w:p>
            <w:pPr>
              <w:ind w:left="80"/>
              <w:spacing w:after="0"/>
              <w:rPr>
                <w:sz w:val="20"/>
                <w:szCs w:val="20"/>
                <w:color w:val="auto"/>
              </w:rPr>
            </w:pPr>
            <w:r>
              <w:rPr>
                <w:rFonts w:ascii="Arial" w:cs="Arial" w:eastAsia="Arial" w:hAnsi="Arial"/>
                <w:sz w:val="13"/>
                <w:szCs w:val="13"/>
                <w:color w:val="auto"/>
              </w:rPr>
              <w:t>Lending Corporation</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00"/>
          </w:cols>
          <w:pgMar w:left="320" w:top="455" w:right="479" w:bottom="1440" w:gutter="0" w:footer="0" w:header="0"/>
        </w:sectPr>
      </w:pPr>
    </w:p>
    <w:tbl>
      <w:tblPr>
        <w:tblLayout w:type="fixed"/>
        <w:tblInd w:w="280" w:type="dxa"/>
        <w:tblCellMar>
          <w:top w:w="0" w:type="dxa"/>
          <w:left w:w="0" w:type="dxa"/>
          <w:bottom w:w="0" w:type="dxa"/>
          <w:right w:w="0" w:type="dxa"/>
        </w:tblCellMar>
      </w:tblPr>
      <w:tr>
        <w:trPr>
          <w:trHeight w:val="137"/>
        </w:trPr>
        <w:tc>
          <w:tcPr>
            <w:tcW w:w="1080" w:type="dxa"/>
            <w:vAlign w:val="bottom"/>
          </w:tcPr>
          <w:p>
            <w:pPr>
              <w:spacing w:after="0" w:line="137" w:lineRule="exact"/>
              <w:rPr>
                <w:sz w:val="20"/>
                <w:szCs w:val="20"/>
                <w:color w:val="auto"/>
              </w:rPr>
            </w:pPr>
            <w:r>
              <w:rPr>
                <w:rFonts w:ascii="Arial" w:cs="Arial" w:eastAsia="Arial" w:hAnsi="Arial"/>
                <w:sz w:val="13"/>
                <w:szCs w:val="13"/>
                <w:color w:val="auto"/>
              </w:rPr>
              <w:t>Alice P.</w:t>
            </w:r>
          </w:p>
        </w:tc>
        <w:tc>
          <w:tcPr>
            <w:tcW w:w="540" w:type="dxa"/>
            <w:vAlign w:val="bottom"/>
          </w:tcPr>
          <w:p>
            <w:pPr>
              <w:ind w:left="160"/>
              <w:spacing w:after="0" w:line="137" w:lineRule="exact"/>
              <w:rPr>
                <w:sz w:val="20"/>
                <w:szCs w:val="20"/>
                <w:color w:val="auto"/>
              </w:rPr>
            </w:pPr>
            <w:r>
              <w:rPr>
                <w:rFonts w:ascii="Arial" w:cs="Arial" w:eastAsia="Arial" w:hAnsi="Arial"/>
                <w:sz w:val="13"/>
                <w:szCs w:val="13"/>
                <w:color w:val="auto"/>
              </w:rPr>
              <w:t>F</w:t>
            </w:r>
          </w:p>
        </w:tc>
        <w:tc>
          <w:tcPr>
            <w:tcW w:w="640" w:type="dxa"/>
            <w:vAlign w:val="bottom"/>
          </w:tcPr>
          <w:p>
            <w:pPr>
              <w:jc w:val="right"/>
              <w:ind w:right="173"/>
              <w:spacing w:after="0" w:line="137" w:lineRule="exact"/>
              <w:rPr>
                <w:sz w:val="20"/>
                <w:szCs w:val="20"/>
                <w:color w:val="auto"/>
              </w:rPr>
            </w:pPr>
            <w:r>
              <w:rPr>
                <w:rFonts w:ascii="Arial" w:cs="Arial" w:eastAsia="Arial" w:hAnsi="Arial"/>
                <w:sz w:val="13"/>
                <w:szCs w:val="13"/>
                <w:color w:val="auto"/>
              </w:rPr>
              <w:t>63</w:t>
            </w:r>
          </w:p>
        </w:tc>
        <w:tc>
          <w:tcPr>
            <w:tcW w:w="1000" w:type="dxa"/>
            <w:vAlign w:val="bottom"/>
          </w:tcPr>
          <w:p>
            <w:pPr>
              <w:ind w:left="240"/>
              <w:spacing w:after="0" w:line="137" w:lineRule="exact"/>
              <w:rPr>
                <w:sz w:val="20"/>
                <w:szCs w:val="20"/>
                <w:color w:val="auto"/>
              </w:rPr>
            </w:pPr>
            <w:r>
              <w:rPr>
                <w:rFonts w:ascii="Arial" w:cs="Arial" w:eastAsia="Arial" w:hAnsi="Arial"/>
                <w:sz w:val="13"/>
                <w:szCs w:val="13"/>
                <w:color w:val="auto"/>
              </w:rPr>
              <w:t>White/</w:t>
            </w:r>
          </w:p>
        </w:tc>
        <w:tc>
          <w:tcPr>
            <w:tcW w:w="560" w:type="dxa"/>
            <w:vAlign w:val="bottom"/>
          </w:tcPr>
          <w:p>
            <w:pPr>
              <w:jc w:val="right"/>
              <w:ind w:right="93"/>
              <w:spacing w:after="0" w:line="137" w:lineRule="exact"/>
              <w:rPr>
                <w:sz w:val="20"/>
                <w:szCs w:val="20"/>
                <w:color w:val="auto"/>
              </w:rPr>
            </w:pPr>
            <w:r>
              <w:rPr>
                <w:rFonts w:ascii="Arial" w:cs="Arial" w:eastAsia="Arial" w:hAnsi="Arial"/>
                <w:sz w:val="13"/>
                <w:szCs w:val="13"/>
                <w:color w:val="auto"/>
              </w:rPr>
              <w:t>2012</w:t>
            </w:r>
          </w:p>
        </w:tc>
        <w:tc>
          <w:tcPr>
            <w:tcW w:w="1920" w:type="dxa"/>
            <w:vAlign w:val="bottom"/>
          </w:tcPr>
          <w:p>
            <w:pPr>
              <w:ind w:left="180"/>
              <w:spacing w:after="0" w:line="137" w:lineRule="exact"/>
              <w:rPr>
                <w:sz w:val="20"/>
                <w:szCs w:val="20"/>
                <w:color w:val="auto"/>
              </w:rPr>
            </w:pPr>
            <w:r>
              <w:rPr>
                <w:rFonts w:ascii="Arial" w:cs="Arial" w:eastAsia="Arial" w:hAnsi="Arial"/>
                <w:sz w:val="13"/>
                <w:szCs w:val="13"/>
                <w:color w:val="auto"/>
              </w:rPr>
              <w:t>President,</w:t>
            </w: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Gast</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ind w:left="240"/>
              <w:spacing w:after="0"/>
              <w:rPr>
                <w:sz w:val="20"/>
                <w:szCs w:val="20"/>
                <w:color w:val="auto"/>
              </w:rPr>
            </w:pPr>
            <w:r>
              <w:rPr>
                <w:rFonts w:ascii="Arial" w:cs="Arial" w:eastAsia="Arial" w:hAnsi="Arial"/>
                <w:sz w:val="13"/>
                <w:szCs w:val="13"/>
                <w:color w:val="auto"/>
              </w:rPr>
              <w:t>Caucasian</w:t>
            </w:r>
          </w:p>
        </w:tc>
        <w:tc>
          <w:tcPr>
            <w:tcW w:w="560" w:type="dxa"/>
            <w:vAlign w:val="bottom"/>
          </w:tcPr>
          <w:p>
            <w:pPr>
              <w:spacing w:after="0"/>
              <w:rPr>
                <w:sz w:val="14"/>
                <w:szCs w:val="14"/>
                <w:color w:val="auto"/>
              </w:rPr>
            </w:pPr>
          </w:p>
        </w:tc>
        <w:tc>
          <w:tcPr>
            <w:tcW w:w="1920" w:type="dxa"/>
            <w:vAlign w:val="bottom"/>
          </w:tcPr>
          <w:p>
            <w:pPr>
              <w:ind w:left="180"/>
              <w:spacing w:after="0"/>
              <w:rPr>
                <w:sz w:val="20"/>
                <w:szCs w:val="20"/>
                <w:color w:val="auto"/>
              </w:rPr>
            </w:pPr>
            <w:r>
              <w:rPr>
                <w:rFonts w:ascii="Arial" w:cs="Arial" w:eastAsia="Arial" w:hAnsi="Arial"/>
                <w:sz w:val="13"/>
                <w:szCs w:val="13"/>
                <w:color w:val="auto"/>
              </w:rPr>
              <w:t>Imperial College London</w:t>
            </w:r>
          </w:p>
        </w:tc>
      </w:tr>
      <w:tr>
        <w:trPr>
          <w:trHeight w:val="149"/>
        </w:trPr>
        <w:tc>
          <w:tcPr>
            <w:tcW w:w="1080" w:type="dxa"/>
            <w:vAlign w:val="bottom"/>
          </w:tcPr>
          <w:p>
            <w:pPr>
              <w:spacing w:after="0"/>
              <w:rPr>
                <w:sz w:val="20"/>
                <w:szCs w:val="20"/>
                <w:color w:val="auto"/>
              </w:rPr>
            </w:pPr>
            <w:r>
              <w:rPr>
                <w:rFonts w:ascii="Arial" w:cs="Arial" w:eastAsia="Arial" w:hAnsi="Arial"/>
                <w:sz w:val="13"/>
                <w:szCs w:val="13"/>
                <w:color w:val="auto"/>
              </w:rPr>
              <w:t>Enrique</w:t>
            </w:r>
          </w:p>
        </w:tc>
        <w:tc>
          <w:tcPr>
            <w:tcW w:w="540" w:type="dxa"/>
            <w:vAlign w:val="bottom"/>
          </w:tcPr>
          <w:p>
            <w:pPr>
              <w:ind w:left="160"/>
              <w:spacing w:after="0"/>
              <w:rPr>
                <w:sz w:val="20"/>
                <w:szCs w:val="20"/>
                <w:color w:val="auto"/>
              </w:rPr>
            </w:pPr>
            <w:r>
              <w:rPr>
                <w:rFonts w:ascii="Arial" w:cs="Arial" w:eastAsia="Arial" w:hAnsi="Arial"/>
                <w:sz w:val="13"/>
                <w:szCs w:val="13"/>
                <w:color w:val="auto"/>
              </w:rPr>
              <w:t>M</w:t>
            </w:r>
          </w:p>
        </w:tc>
        <w:tc>
          <w:tcPr>
            <w:tcW w:w="640" w:type="dxa"/>
            <w:vAlign w:val="bottom"/>
          </w:tcPr>
          <w:p>
            <w:pPr>
              <w:jc w:val="right"/>
              <w:ind w:right="173"/>
              <w:spacing w:after="0"/>
              <w:rPr>
                <w:sz w:val="20"/>
                <w:szCs w:val="20"/>
                <w:color w:val="auto"/>
              </w:rPr>
            </w:pPr>
            <w:r>
              <w:rPr>
                <w:rFonts w:ascii="Arial" w:cs="Arial" w:eastAsia="Arial" w:hAnsi="Arial"/>
                <w:sz w:val="13"/>
                <w:szCs w:val="13"/>
                <w:color w:val="auto"/>
              </w:rPr>
              <w:t>66</w:t>
            </w:r>
          </w:p>
        </w:tc>
        <w:tc>
          <w:tcPr>
            <w:tcW w:w="1000" w:type="dxa"/>
            <w:vAlign w:val="bottom"/>
          </w:tcPr>
          <w:p>
            <w:pPr>
              <w:ind w:left="240"/>
              <w:spacing w:after="0"/>
              <w:rPr>
                <w:sz w:val="20"/>
                <w:szCs w:val="20"/>
                <w:color w:val="auto"/>
              </w:rPr>
            </w:pPr>
            <w:r>
              <w:rPr>
                <w:rFonts w:ascii="Arial" w:cs="Arial" w:eastAsia="Arial" w:hAnsi="Arial"/>
                <w:sz w:val="13"/>
                <w:szCs w:val="13"/>
                <w:color w:val="auto"/>
              </w:rPr>
              <w:t>Hispanic/</w:t>
            </w:r>
          </w:p>
        </w:tc>
        <w:tc>
          <w:tcPr>
            <w:tcW w:w="560" w:type="dxa"/>
            <w:vAlign w:val="bottom"/>
          </w:tcPr>
          <w:p>
            <w:pPr>
              <w:jc w:val="right"/>
              <w:ind w:right="93"/>
              <w:spacing w:after="0"/>
              <w:rPr>
                <w:sz w:val="20"/>
                <w:szCs w:val="20"/>
                <w:color w:val="auto"/>
              </w:rPr>
            </w:pPr>
            <w:r>
              <w:rPr>
                <w:rFonts w:ascii="Arial" w:cs="Arial" w:eastAsia="Arial" w:hAnsi="Arial"/>
                <w:sz w:val="13"/>
                <w:szCs w:val="13"/>
                <w:color w:val="auto"/>
              </w:rPr>
              <w:t>2008</w:t>
            </w:r>
          </w:p>
        </w:tc>
        <w:tc>
          <w:tcPr>
            <w:tcW w:w="1920" w:type="dxa"/>
            <w:vAlign w:val="bottom"/>
          </w:tcPr>
          <w:p>
            <w:pPr>
              <w:ind w:left="180"/>
              <w:spacing w:after="0"/>
              <w:rPr>
                <w:sz w:val="20"/>
                <w:szCs w:val="20"/>
                <w:color w:val="auto"/>
              </w:rPr>
            </w:pPr>
            <w:r>
              <w:rPr>
                <w:rFonts w:ascii="Arial" w:cs="Arial" w:eastAsia="Arial" w:hAnsi="Arial"/>
                <w:sz w:val="13"/>
                <w:szCs w:val="13"/>
                <w:color w:val="auto"/>
              </w:rPr>
              <w:t>Executive Chairman,</w:t>
            </w:r>
          </w:p>
        </w:tc>
      </w:tr>
      <w:tr>
        <w:trPr>
          <w:trHeight w:val="148"/>
        </w:trPr>
        <w:tc>
          <w:tcPr>
            <w:tcW w:w="1080" w:type="dxa"/>
            <w:vAlign w:val="bottom"/>
          </w:tcPr>
          <w:p>
            <w:pPr>
              <w:spacing w:after="0"/>
              <w:rPr>
                <w:sz w:val="20"/>
                <w:szCs w:val="20"/>
                <w:color w:val="auto"/>
              </w:rPr>
            </w:pPr>
            <w:r>
              <w:rPr>
                <w:rFonts w:ascii="Arial" w:cs="Arial" w:eastAsia="Arial" w:hAnsi="Arial"/>
                <w:sz w:val="13"/>
                <w:szCs w:val="13"/>
                <w:color w:val="auto"/>
              </w:rPr>
              <w:t>Hernandez, Jr.</w:t>
            </w: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ind w:left="240"/>
              <w:spacing w:after="0"/>
              <w:rPr>
                <w:sz w:val="20"/>
                <w:szCs w:val="20"/>
                <w:color w:val="auto"/>
              </w:rPr>
            </w:pPr>
            <w:r>
              <w:rPr>
                <w:rFonts w:ascii="Arial" w:cs="Arial" w:eastAsia="Arial" w:hAnsi="Arial"/>
                <w:sz w:val="13"/>
                <w:szCs w:val="13"/>
                <w:color w:val="auto"/>
              </w:rPr>
              <w:t>Latino</w:t>
            </w:r>
          </w:p>
        </w:tc>
        <w:tc>
          <w:tcPr>
            <w:tcW w:w="560" w:type="dxa"/>
            <w:vAlign w:val="bottom"/>
          </w:tcPr>
          <w:p>
            <w:pPr>
              <w:spacing w:after="0"/>
              <w:rPr>
                <w:sz w:val="12"/>
                <w:szCs w:val="12"/>
                <w:color w:val="auto"/>
              </w:rPr>
            </w:pPr>
          </w:p>
        </w:tc>
        <w:tc>
          <w:tcPr>
            <w:tcW w:w="1920" w:type="dxa"/>
            <w:vAlign w:val="bottom"/>
          </w:tcPr>
          <w:p>
            <w:pPr>
              <w:ind w:left="180"/>
              <w:spacing w:after="0"/>
              <w:rPr>
                <w:sz w:val="20"/>
                <w:szCs w:val="20"/>
                <w:color w:val="auto"/>
              </w:rPr>
            </w:pPr>
            <w:r>
              <w:rPr>
                <w:rFonts w:ascii="Arial" w:cs="Arial" w:eastAsia="Arial" w:hAnsi="Arial"/>
                <w:sz w:val="13"/>
                <w:szCs w:val="13"/>
                <w:color w:val="auto"/>
              </w:rPr>
              <w:t>Inter-Con Security Systems,</w:t>
            </w:r>
          </w:p>
        </w:tc>
      </w:tr>
      <w:tr>
        <w:trPr>
          <w:trHeight w:val="162"/>
        </w:trPr>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20" w:type="dxa"/>
            <w:vAlign w:val="bottom"/>
          </w:tcPr>
          <w:p>
            <w:pPr>
              <w:ind w:left="180"/>
              <w:spacing w:after="0"/>
              <w:rPr>
                <w:sz w:val="20"/>
                <w:szCs w:val="20"/>
                <w:color w:val="auto"/>
              </w:rPr>
            </w:pPr>
            <w:r>
              <w:rPr>
                <w:rFonts w:ascii="Arial" w:cs="Arial" w:eastAsia="Arial" w:hAnsi="Arial"/>
                <w:sz w:val="13"/>
                <w:szCs w:val="13"/>
                <w:color w:val="auto"/>
              </w:rPr>
              <w:t>Inc.</w:t>
            </w:r>
          </w:p>
        </w:tc>
      </w:tr>
      <w:tr>
        <w:trPr>
          <w:trHeight w:val="148"/>
        </w:trPr>
        <w:tc>
          <w:tcPr>
            <w:tcW w:w="1080" w:type="dxa"/>
            <w:vAlign w:val="bottom"/>
          </w:tcPr>
          <w:p>
            <w:pPr>
              <w:spacing w:after="0"/>
              <w:rPr>
                <w:sz w:val="20"/>
                <w:szCs w:val="20"/>
                <w:color w:val="auto"/>
              </w:rPr>
            </w:pPr>
            <w:r>
              <w:rPr>
                <w:rFonts w:ascii="Arial" w:cs="Arial" w:eastAsia="Arial" w:hAnsi="Arial"/>
                <w:sz w:val="13"/>
                <w:szCs w:val="13"/>
                <w:color w:val="auto"/>
              </w:rPr>
              <w:t>Marillyn A.</w:t>
            </w:r>
          </w:p>
        </w:tc>
        <w:tc>
          <w:tcPr>
            <w:tcW w:w="540" w:type="dxa"/>
            <w:vAlign w:val="bottom"/>
          </w:tcPr>
          <w:p>
            <w:pPr>
              <w:ind w:left="160"/>
              <w:spacing w:after="0"/>
              <w:rPr>
                <w:sz w:val="20"/>
                <w:szCs w:val="20"/>
                <w:color w:val="auto"/>
              </w:rPr>
            </w:pPr>
            <w:r>
              <w:rPr>
                <w:rFonts w:ascii="Arial" w:cs="Arial" w:eastAsia="Arial" w:hAnsi="Arial"/>
                <w:sz w:val="13"/>
                <w:szCs w:val="13"/>
                <w:color w:val="auto"/>
              </w:rPr>
              <w:t>F</w:t>
            </w:r>
          </w:p>
        </w:tc>
        <w:tc>
          <w:tcPr>
            <w:tcW w:w="640" w:type="dxa"/>
            <w:vAlign w:val="bottom"/>
          </w:tcPr>
          <w:p>
            <w:pPr>
              <w:jc w:val="right"/>
              <w:ind w:right="173"/>
              <w:spacing w:after="0"/>
              <w:rPr>
                <w:sz w:val="20"/>
                <w:szCs w:val="20"/>
                <w:color w:val="auto"/>
              </w:rPr>
            </w:pPr>
            <w:r>
              <w:rPr>
                <w:rFonts w:ascii="Arial" w:cs="Arial" w:eastAsia="Arial" w:hAnsi="Arial"/>
                <w:sz w:val="13"/>
                <w:szCs w:val="13"/>
                <w:color w:val="auto"/>
              </w:rPr>
              <w:t>68</w:t>
            </w:r>
          </w:p>
        </w:tc>
        <w:tc>
          <w:tcPr>
            <w:tcW w:w="1000" w:type="dxa"/>
            <w:vAlign w:val="bottom"/>
          </w:tcPr>
          <w:p>
            <w:pPr>
              <w:ind w:left="240"/>
              <w:spacing w:after="0"/>
              <w:rPr>
                <w:sz w:val="20"/>
                <w:szCs w:val="20"/>
                <w:color w:val="auto"/>
              </w:rPr>
            </w:pPr>
            <w:r>
              <w:rPr>
                <w:rFonts w:ascii="Arial" w:cs="Arial" w:eastAsia="Arial" w:hAnsi="Arial"/>
                <w:sz w:val="13"/>
                <w:szCs w:val="13"/>
                <w:color w:val="auto"/>
              </w:rPr>
              <w:t>White/</w:t>
            </w:r>
          </w:p>
        </w:tc>
        <w:tc>
          <w:tcPr>
            <w:tcW w:w="560" w:type="dxa"/>
            <w:vAlign w:val="bottom"/>
          </w:tcPr>
          <w:p>
            <w:pPr>
              <w:jc w:val="right"/>
              <w:ind w:right="93"/>
              <w:spacing w:after="0"/>
              <w:rPr>
                <w:sz w:val="20"/>
                <w:szCs w:val="20"/>
                <w:color w:val="auto"/>
              </w:rPr>
            </w:pPr>
            <w:r>
              <w:rPr>
                <w:rFonts w:ascii="Arial" w:cs="Arial" w:eastAsia="Arial" w:hAnsi="Arial"/>
                <w:sz w:val="13"/>
                <w:szCs w:val="13"/>
                <w:color w:val="auto"/>
              </w:rPr>
              <w:t>2021</w:t>
            </w:r>
          </w:p>
        </w:tc>
        <w:tc>
          <w:tcPr>
            <w:tcW w:w="1920" w:type="dxa"/>
            <w:vAlign w:val="bottom"/>
          </w:tcPr>
          <w:p>
            <w:pPr>
              <w:ind w:left="180"/>
              <w:spacing w:after="0"/>
              <w:rPr>
                <w:sz w:val="20"/>
                <w:szCs w:val="20"/>
                <w:color w:val="auto"/>
              </w:rPr>
            </w:pPr>
            <w:r>
              <w:rPr>
                <w:rFonts w:ascii="Arial" w:cs="Arial" w:eastAsia="Arial" w:hAnsi="Arial"/>
                <w:sz w:val="13"/>
                <w:szCs w:val="13"/>
                <w:color w:val="auto"/>
              </w:rPr>
              <w:t>Retired Chairman, CEO, and</w:t>
            </w:r>
          </w:p>
        </w:tc>
      </w:tr>
      <w:tr>
        <w:trPr>
          <w:trHeight w:val="149"/>
        </w:trPr>
        <w:tc>
          <w:tcPr>
            <w:tcW w:w="1080" w:type="dxa"/>
            <w:vAlign w:val="bottom"/>
          </w:tcPr>
          <w:p>
            <w:pPr>
              <w:spacing w:after="0"/>
              <w:rPr>
                <w:sz w:val="20"/>
                <w:szCs w:val="20"/>
                <w:color w:val="auto"/>
              </w:rPr>
            </w:pPr>
            <w:r>
              <w:rPr>
                <w:rFonts w:ascii="Arial" w:cs="Arial" w:eastAsia="Arial" w:hAnsi="Arial"/>
                <w:sz w:val="13"/>
                <w:szCs w:val="13"/>
                <w:color w:val="auto"/>
              </w:rPr>
              <w:t>Hewson</w:t>
            </w: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ind w:left="240"/>
              <w:spacing w:after="0"/>
              <w:rPr>
                <w:sz w:val="20"/>
                <w:szCs w:val="20"/>
                <w:color w:val="auto"/>
              </w:rPr>
            </w:pPr>
            <w:r>
              <w:rPr>
                <w:rFonts w:ascii="Arial" w:cs="Arial" w:eastAsia="Arial" w:hAnsi="Arial"/>
                <w:sz w:val="13"/>
                <w:szCs w:val="13"/>
                <w:color w:val="auto"/>
              </w:rPr>
              <w:t>Caucasian</w:t>
            </w:r>
          </w:p>
        </w:tc>
        <w:tc>
          <w:tcPr>
            <w:tcW w:w="560" w:type="dxa"/>
            <w:vAlign w:val="bottom"/>
          </w:tcPr>
          <w:p>
            <w:pPr>
              <w:spacing w:after="0"/>
              <w:rPr>
                <w:sz w:val="12"/>
                <w:szCs w:val="12"/>
                <w:color w:val="auto"/>
              </w:rPr>
            </w:pPr>
          </w:p>
        </w:tc>
        <w:tc>
          <w:tcPr>
            <w:tcW w:w="1920" w:type="dxa"/>
            <w:vAlign w:val="bottom"/>
          </w:tcPr>
          <w:p>
            <w:pPr>
              <w:ind w:left="180"/>
              <w:spacing w:after="0"/>
              <w:rPr>
                <w:sz w:val="20"/>
                <w:szCs w:val="20"/>
                <w:color w:val="auto"/>
              </w:rPr>
            </w:pPr>
            <w:r>
              <w:rPr>
                <w:rFonts w:ascii="Arial" w:cs="Arial" w:eastAsia="Arial" w:hAnsi="Arial"/>
                <w:sz w:val="13"/>
                <w:szCs w:val="13"/>
                <w:color w:val="auto"/>
              </w:rPr>
              <w:t>President of Lockheed Martin</w:t>
            </w:r>
          </w:p>
        </w:tc>
      </w:tr>
      <w:tr>
        <w:trPr>
          <w:trHeight w:val="148"/>
        </w:trPr>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20" w:type="dxa"/>
            <w:vAlign w:val="bottom"/>
          </w:tcPr>
          <w:p>
            <w:pPr>
              <w:ind w:left="180"/>
              <w:spacing w:after="0"/>
              <w:rPr>
                <w:sz w:val="20"/>
                <w:szCs w:val="20"/>
                <w:color w:val="auto"/>
              </w:rPr>
            </w:pPr>
            <w:r>
              <w:rPr>
                <w:rFonts w:ascii="Arial" w:cs="Arial" w:eastAsia="Arial" w:hAnsi="Arial"/>
                <w:sz w:val="13"/>
                <w:szCs w:val="13"/>
                <w:color w:val="auto"/>
              </w:rPr>
              <w:t>Corporation</w:t>
            </w:r>
          </w:p>
        </w:tc>
      </w:tr>
      <w:tr>
        <w:trPr>
          <w:trHeight w:val="148"/>
        </w:trPr>
        <w:tc>
          <w:tcPr>
            <w:tcW w:w="1080" w:type="dxa"/>
            <w:vAlign w:val="bottom"/>
          </w:tcPr>
          <w:p>
            <w:pPr>
              <w:spacing w:after="0"/>
              <w:rPr>
                <w:sz w:val="20"/>
                <w:szCs w:val="20"/>
                <w:color w:val="auto"/>
              </w:rPr>
            </w:pPr>
            <w:r>
              <w:rPr>
                <w:rFonts w:ascii="Arial" w:cs="Arial" w:eastAsia="Arial" w:hAnsi="Arial"/>
                <w:sz w:val="13"/>
                <w:szCs w:val="13"/>
                <w:color w:val="auto"/>
              </w:rPr>
              <w:t>Jon M.</w:t>
            </w:r>
          </w:p>
        </w:tc>
        <w:tc>
          <w:tcPr>
            <w:tcW w:w="540" w:type="dxa"/>
            <w:vAlign w:val="bottom"/>
          </w:tcPr>
          <w:p>
            <w:pPr>
              <w:ind w:left="160"/>
              <w:spacing w:after="0"/>
              <w:rPr>
                <w:sz w:val="20"/>
                <w:szCs w:val="20"/>
                <w:color w:val="auto"/>
              </w:rPr>
            </w:pPr>
            <w:r>
              <w:rPr>
                <w:rFonts w:ascii="Arial" w:cs="Arial" w:eastAsia="Arial" w:hAnsi="Arial"/>
                <w:sz w:val="13"/>
                <w:szCs w:val="13"/>
                <w:color w:val="auto"/>
              </w:rPr>
              <w:t>M</w:t>
            </w:r>
          </w:p>
        </w:tc>
        <w:tc>
          <w:tcPr>
            <w:tcW w:w="640" w:type="dxa"/>
            <w:vAlign w:val="bottom"/>
          </w:tcPr>
          <w:p>
            <w:pPr>
              <w:jc w:val="right"/>
              <w:ind w:right="173"/>
              <w:spacing w:after="0"/>
              <w:rPr>
                <w:sz w:val="20"/>
                <w:szCs w:val="20"/>
                <w:color w:val="auto"/>
              </w:rPr>
            </w:pPr>
            <w:r>
              <w:rPr>
                <w:rFonts w:ascii="Arial" w:cs="Arial" w:eastAsia="Arial" w:hAnsi="Arial"/>
                <w:sz w:val="13"/>
                <w:szCs w:val="13"/>
                <w:color w:val="auto"/>
              </w:rPr>
              <w:t>62</w:t>
            </w:r>
          </w:p>
        </w:tc>
        <w:tc>
          <w:tcPr>
            <w:tcW w:w="1000" w:type="dxa"/>
            <w:vAlign w:val="bottom"/>
          </w:tcPr>
          <w:p>
            <w:pPr>
              <w:ind w:left="240"/>
              <w:spacing w:after="0"/>
              <w:rPr>
                <w:sz w:val="20"/>
                <w:szCs w:val="20"/>
                <w:color w:val="auto"/>
              </w:rPr>
            </w:pPr>
            <w:r>
              <w:rPr>
                <w:rFonts w:ascii="Arial" w:cs="Arial" w:eastAsia="Arial" w:hAnsi="Arial"/>
                <w:sz w:val="13"/>
                <w:szCs w:val="13"/>
                <w:color w:val="auto"/>
              </w:rPr>
              <w:t>White/</w:t>
            </w:r>
          </w:p>
        </w:tc>
        <w:tc>
          <w:tcPr>
            <w:tcW w:w="560" w:type="dxa"/>
            <w:vAlign w:val="bottom"/>
          </w:tcPr>
          <w:p>
            <w:pPr>
              <w:jc w:val="right"/>
              <w:ind w:right="93"/>
              <w:spacing w:after="0"/>
              <w:rPr>
                <w:sz w:val="20"/>
                <w:szCs w:val="20"/>
                <w:color w:val="auto"/>
              </w:rPr>
            </w:pPr>
            <w:r>
              <w:rPr>
                <w:rFonts w:ascii="Arial" w:cs="Arial" w:eastAsia="Arial" w:hAnsi="Arial"/>
                <w:sz w:val="13"/>
                <w:szCs w:val="13"/>
                <w:color w:val="auto"/>
              </w:rPr>
              <w:t>2020</w:t>
            </w:r>
          </w:p>
        </w:tc>
        <w:tc>
          <w:tcPr>
            <w:tcW w:w="1920" w:type="dxa"/>
            <w:vAlign w:val="bottom"/>
          </w:tcPr>
          <w:p>
            <w:pPr>
              <w:ind w:left="180"/>
              <w:spacing w:after="0"/>
              <w:rPr>
                <w:sz w:val="20"/>
                <w:szCs w:val="20"/>
                <w:color w:val="auto"/>
              </w:rPr>
            </w:pPr>
            <w:r>
              <w:rPr>
                <w:rFonts w:ascii="Arial" w:cs="Arial" w:eastAsia="Arial" w:hAnsi="Arial"/>
                <w:sz w:val="13"/>
                <w:szCs w:val="13"/>
                <w:color w:val="auto"/>
              </w:rPr>
              <w:t>Vice Chair Policy, Ford Motor</w:t>
            </w:r>
          </w:p>
        </w:tc>
      </w:tr>
      <w:tr>
        <w:trPr>
          <w:trHeight w:val="148"/>
        </w:trPr>
        <w:tc>
          <w:tcPr>
            <w:tcW w:w="1080" w:type="dxa"/>
            <w:vAlign w:val="bottom"/>
          </w:tcPr>
          <w:p>
            <w:pPr>
              <w:spacing w:after="0"/>
              <w:rPr>
                <w:sz w:val="20"/>
                <w:szCs w:val="20"/>
                <w:color w:val="auto"/>
              </w:rPr>
            </w:pPr>
            <w:r>
              <w:rPr>
                <w:rFonts w:ascii="Arial" w:cs="Arial" w:eastAsia="Arial" w:hAnsi="Arial"/>
                <w:sz w:val="13"/>
                <w:szCs w:val="13"/>
                <w:color w:val="auto"/>
              </w:rPr>
              <w:t>Huntsman Jr.</w:t>
            </w:r>
            <w:r>
              <w:rPr>
                <w:rFonts w:ascii="Arial" w:cs="Arial" w:eastAsia="Arial" w:hAnsi="Arial"/>
                <w:sz w:val="11"/>
                <w:szCs w:val="11"/>
                <w:color w:val="auto"/>
              </w:rPr>
              <w:t>(7)</w:t>
            </w: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ind w:left="240"/>
              <w:spacing w:after="0"/>
              <w:rPr>
                <w:sz w:val="20"/>
                <w:szCs w:val="20"/>
                <w:color w:val="auto"/>
              </w:rPr>
            </w:pPr>
            <w:r>
              <w:rPr>
                <w:rFonts w:ascii="Arial" w:cs="Arial" w:eastAsia="Arial" w:hAnsi="Arial"/>
                <w:sz w:val="13"/>
                <w:szCs w:val="13"/>
                <w:color w:val="auto"/>
              </w:rPr>
              <w:t>Caucasian</w:t>
            </w:r>
          </w:p>
        </w:tc>
        <w:tc>
          <w:tcPr>
            <w:tcW w:w="560" w:type="dxa"/>
            <w:vAlign w:val="bottom"/>
          </w:tcPr>
          <w:p>
            <w:pPr>
              <w:spacing w:after="0"/>
              <w:rPr>
                <w:sz w:val="12"/>
                <w:szCs w:val="12"/>
                <w:color w:val="auto"/>
              </w:rPr>
            </w:pPr>
          </w:p>
        </w:tc>
        <w:tc>
          <w:tcPr>
            <w:tcW w:w="1920" w:type="dxa"/>
            <w:vAlign w:val="bottom"/>
          </w:tcPr>
          <w:p>
            <w:pPr>
              <w:ind w:left="180"/>
              <w:spacing w:after="0"/>
              <w:rPr>
                <w:sz w:val="20"/>
                <w:szCs w:val="20"/>
                <w:color w:val="auto"/>
              </w:rPr>
            </w:pPr>
            <w:r>
              <w:rPr>
                <w:rFonts w:ascii="Arial" w:cs="Arial" w:eastAsia="Arial" w:hAnsi="Arial"/>
                <w:sz w:val="13"/>
                <w:szCs w:val="13"/>
                <w:color w:val="auto"/>
              </w:rPr>
              <w:t>Company</w:t>
            </w:r>
          </w:p>
        </w:tc>
      </w:tr>
      <w:tr>
        <w:trPr>
          <w:trHeight w:val="148"/>
        </w:trPr>
        <w:tc>
          <w:tcPr>
            <w:tcW w:w="1080" w:type="dxa"/>
            <w:vAlign w:val="bottom"/>
          </w:tcPr>
          <w:p>
            <w:pPr>
              <w:spacing w:after="0"/>
              <w:rPr>
                <w:sz w:val="20"/>
                <w:szCs w:val="20"/>
                <w:color w:val="auto"/>
              </w:rPr>
            </w:pPr>
            <w:r>
              <w:rPr>
                <w:rFonts w:ascii="Arial" w:cs="Arial" w:eastAsia="Arial" w:hAnsi="Arial"/>
                <w:sz w:val="13"/>
                <w:szCs w:val="13"/>
                <w:color w:val="auto"/>
              </w:rPr>
              <w:t>Charles W.</w:t>
            </w:r>
          </w:p>
        </w:tc>
        <w:tc>
          <w:tcPr>
            <w:tcW w:w="540" w:type="dxa"/>
            <w:vAlign w:val="bottom"/>
          </w:tcPr>
          <w:p>
            <w:pPr>
              <w:ind w:left="160"/>
              <w:spacing w:after="0"/>
              <w:rPr>
                <w:sz w:val="20"/>
                <w:szCs w:val="20"/>
                <w:color w:val="auto"/>
              </w:rPr>
            </w:pPr>
            <w:r>
              <w:rPr>
                <w:rFonts w:ascii="Arial" w:cs="Arial" w:eastAsia="Arial" w:hAnsi="Arial"/>
                <w:sz w:val="13"/>
                <w:szCs w:val="13"/>
                <w:color w:val="auto"/>
              </w:rPr>
              <w:t>M</w:t>
            </w:r>
          </w:p>
        </w:tc>
        <w:tc>
          <w:tcPr>
            <w:tcW w:w="640" w:type="dxa"/>
            <w:vAlign w:val="bottom"/>
          </w:tcPr>
          <w:p>
            <w:pPr>
              <w:jc w:val="right"/>
              <w:ind w:right="173"/>
              <w:spacing w:after="0"/>
              <w:rPr>
                <w:sz w:val="20"/>
                <w:szCs w:val="20"/>
                <w:color w:val="auto"/>
              </w:rPr>
            </w:pPr>
            <w:r>
              <w:rPr>
                <w:rFonts w:ascii="Arial" w:cs="Arial" w:eastAsia="Arial" w:hAnsi="Arial"/>
                <w:sz w:val="13"/>
                <w:szCs w:val="13"/>
                <w:color w:val="auto"/>
              </w:rPr>
              <w:t>70</w:t>
            </w:r>
          </w:p>
        </w:tc>
        <w:tc>
          <w:tcPr>
            <w:tcW w:w="1000" w:type="dxa"/>
            <w:vAlign w:val="bottom"/>
          </w:tcPr>
          <w:p>
            <w:pPr>
              <w:ind w:left="240"/>
              <w:spacing w:after="0"/>
              <w:rPr>
                <w:sz w:val="20"/>
                <w:szCs w:val="20"/>
                <w:color w:val="auto"/>
              </w:rPr>
            </w:pPr>
            <w:r>
              <w:rPr>
                <w:rFonts w:ascii="Arial" w:cs="Arial" w:eastAsia="Arial" w:hAnsi="Arial"/>
                <w:sz w:val="13"/>
                <w:szCs w:val="13"/>
                <w:color w:val="auto"/>
              </w:rPr>
              <w:t>White/</w:t>
            </w:r>
          </w:p>
        </w:tc>
        <w:tc>
          <w:tcPr>
            <w:tcW w:w="560" w:type="dxa"/>
            <w:vAlign w:val="bottom"/>
          </w:tcPr>
          <w:p>
            <w:pPr>
              <w:jc w:val="right"/>
              <w:ind w:right="93"/>
              <w:spacing w:after="0"/>
              <w:rPr>
                <w:sz w:val="20"/>
                <w:szCs w:val="20"/>
                <w:color w:val="auto"/>
              </w:rPr>
            </w:pPr>
            <w:r>
              <w:rPr>
                <w:rFonts w:ascii="Arial" w:cs="Arial" w:eastAsia="Arial" w:hAnsi="Arial"/>
                <w:sz w:val="13"/>
                <w:szCs w:val="13"/>
                <w:color w:val="auto"/>
              </w:rPr>
              <w:t>2012</w:t>
            </w:r>
          </w:p>
        </w:tc>
        <w:tc>
          <w:tcPr>
            <w:tcW w:w="1920" w:type="dxa"/>
            <w:vAlign w:val="bottom"/>
          </w:tcPr>
          <w:p>
            <w:pPr>
              <w:ind w:left="180"/>
              <w:spacing w:after="0"/>
              <w:rPr>
                <w:sz w:val="20"/>
                <w:szCs w:val="20"/>
                <w:color w:val="auto"/>
              </w:rPr>
            </w:pPr>
            <w:r>
              <w:rPr>
                <w:rFonts w:ascii="Arial" w:cs="Arial" w:eastAsia="Arial" w:hAnsi="Arial"/>
                <w:sz w:val="13"/>
                <w:szCs w:val="13"/>
                <w:color w:val="auto"/>
              </w:rPr>
              <w:t>Senior Advisor to Amtrak</w:t>
            </w:r>
          </w:p>
        </w:tc>
      </w:tr>
      <w:tr>
        <w:trPr>
          <w:trHeight w:val="148"/>
        </w:trPr>
        <w:tc>
          <w:tcPr>
            <w:tcW w:w="1080" w:type="dxa"/>
            <w:vAlign w:val="bottom"/>
          </w:tcPr>
          <w:p>
            <w:pPr>
              <w:spacing w:after="0"/>
              <w:rPr>
                <w:sz w:val="20"/>
                <w:szCs w:val="20"/>
                <w:color w:val="auto"/>
              </w:rPr>
            </w:pPr>
            <w:r>
              <w:rPr>
                <w:rFonts w:ascii="Arial" w:cs="Arial" w:eastAsia="Arial" w:hAnsi="Arial"/>
                <w:sz w:val="13"/>
                <w:szCs w:val="13"/>
                <w:color w:val="auto"/>
              </w:rPr>
              <w:t>Moorman</w:t>
            </w: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ind w:left="240"/>
              <w:spacing w:after="0"/>
              <w:rPr>
                <w:sz w:val="20"/>
                <w:szCs w:val="20"/>
                <w:color w:val="auto"/>
              </w:rPr>
            </w:pPr>
            <w:r>
              <w:rPr>
                <w:rFonts w:ascii="Arial" w:cs="Arial" w:eastAsia="Arial" w:hAnsi="Arial"/>
                <w:sz w:val="13"/>
                <w:szCs w:val="13"/>
                <w:color w:val="auto"/>
              </w:rPr>
              <w:t>Caucasian</w:t>
            </w:r>
          </w:p>
        </w:tc>
        <w:tc>
          <w:tcPr>
            <w:tcW w:w="560" w:type="dxa"/>
            <w:vAlign w:val="bottom"/>
          </w:tcPr>
          <w:p>
            <w:pPr>
              <w:spacing w:after="0"/>
              <w:rPr>
                <w:sz w:val="12"/>
                <w:szCs w:val="12"/>
                <w:color w:val="auto"/>
              </w:rPr>
            </w:pPr>
          </w:p>
        </w:tc>
        <w:tc>
          <w:tcPr>
            <w:tcW w:w="1920" w:type="dxa"/>
            <w:vAlign w:val="bottom"/>
          </w:tcPr>
          <w:p>
            <w:pPr>
              <w:ind w:left="180"/>
              <w:spacing w:after="0"/>
              <w:rPr>
                <w:sz w:val="20"/>
                <w:szCs w:val="20"/>
                <w:color w:val="auto"/>
              </w:rPr>
            </w:pPr>
            <w:r>
              <w:rPr>
                <w:rFonts w:ascii="Arial" w:cs="Arial" w:eastAsia="Arial" w:hAnsi="Arial"/>
                <w:sz w:val="13"/>
                <w:szCs w:val="13"/>
                <w:color w:val="auto"/>
              </w:rPr>
              <w:t>Retired Chairman and CEO,</w:t>
            </w:r>
          </w:p>
        </w:tc>
      </w:tr>
      <w:tr>
        <w:trPr>
          <w:trHeight w:val="174"/>
        </w:trPr>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20" w:type="dxa"/>
            <w:vAlign w:val="bottom"/>
          </w:tcPr>
          <w:p>
            <w:pPr>
              <w:ind w:left="180"/>
              <w:spacing w:after="0"/>
              <w:rPr>
                <w:sz w:val="20"/>
                <w:szCs w:val="20"/>
                <w:color w:val="auto"/>
              </w:rPr>
            </w:pPr>
            <w:r>
              <w:rPr>
                <w:rFonts w:ascii="Arial" w:cs="Arial" w:eastAsia="Arial" w:hAnsi="Arial"/>
                <w:sz w:val="13"/>
                <w:szCs w:val="13"/>
                <w:color w:val="auto"/>
              </w:rPr>
              <w:t>Norfolk Southern Corporation</w:t>
            </w:r>
          </w:p>
        </w:tc>
      </w:tr>
    </w:tbl>
    <w:p>
      <w:pPr>
        <w:spacing w:after="0" w:line="20" w:lineRule="exact"/>
        <w:rPr>
          <w:sz w:val="20"/>
          <w:szCs w:val="20"/>
          <w:color w:val="auto"/>
        </w:rPr>
      </w:pPr>
      <w:r>
        <w:rPr>
          <w:sz w:val="20"/>
          <w:szCs w:val="20"/>
          <w:color w:val="auto"/>
        </w:rPr>
        <w:br w:type="column"/>
      </w:r>
    </w:p>
    <w:p>
      <w:pPr>
        <w:spacing w:after="0"/>
        <w:tabs>
          <w:tab w:leader="none" w:pos="1000" w:val="left"/>
          <w:tab w:leader="none" w:pos="2280" w:val="left"/>
        </w:tabs>
        <w:rPr>
          <w:sz w:val="20"/>
          <w:szCs w:val="20"/>
          <w:color w:val="auto"/>
        </w:rPr>
      </w:pPr>
      <w:r>
        <w:rPr>
          <w:rFonts w:ascii="Times New Roman" w:cs="Times New Roman" w:eastAsia="Times New Roman" w:hAnsi="Times New Roman"/>
          <w:sz w:val="13"/>
          <w:szCs w:val="13"/>
          <w:color w:val="0B2D71"/>
        </w:rPr>
        <w:t>●</w:t>
      </w:r>
      <w:r>
        <w:rPr>
          <w:sz w:val="20"/>
          <w:szCs w:val="20"/>
          <w:color w:val="auto"/>
        </w:rPr>
        <w:tab/>
      </w:r>
      <w:r>
        <w:rPr>
          <w:rFonts w:ascii="Arial" w:cs="Arial" w:eastAsia="Arial" w:hAnsi="Arial"/>
          <w:sz w:val="22"/>
          <w:szCs w:val="22"/>
          <w:b w:val="1"/>
          <w:bCs w:val="1"/>
          <w:color w:val="0B2D71"/>
        </w:rPr>
        <w:t>M</w:t>
      </w:r>
      <w:r>
        <w:rPr>
          <w:sz w:val="20"/>
          <w:szCs w:val="20"/>
          <w:color w:val="auto"/>
        </w:rPr>
        <w:tab/>
      </w:r>
      <w:r>
        <w:rPr>
          <w:rFonts w:ascii="Arial" w:cs="Arial" w:eastAsia="Arial" w:hAnsi="Arial"/>
          <w:sz w:val="21"/>
          <w:szCs w:val="21"/>
          <w:b w:val="1"/>
          <w:bCs w:val="1"/>
          <w:color w:val="0B2D71"/>
        </w:rPr>
        <w:t>M</w:t>
      </w:r>
    </w:p>
    <w:p>
      <w:pPr>
        <w:spacing w:after="0" w:line="138" w:lineRule="exact"/>
        <w:rPr>
          <w:sz w:val="20"/>
          <w:szCs w:val="20"/>
          <w:color w:val="auto"/>
        </w:rPr>
      </w:pPr>
    </w:p>
    <w:p>
      <w:pPr>
        <w:spacing w:after="0"/>
        <w:tabs>
          <w:tab w:leader="none" w:pos="1640" w:val="left"/>
          <w:tab w:leader="none" w:pos="2300" w:val="left"/>
        </w:tabs>
        <w:rPr>
          <w:sz w:val="20"/>
          <w:szCs w:val="20"/>
          <w:color w:val="auto"/>
        </w:rPr>
      </w:pPr>
      <w:r>
        <w:rPr>
          <w:rFonts w:ascii="Times New Roman" w:cs="Times New Roman" w:eastAsia="Times New Roman" w:hAnsi="Times New Roman"/>
          <w:sz w:val="13"/>
          <w:szCs w:val="13"/>
          <w:color w:val="0B2D71"/>
        </w:rPr>
        <w:t>●</w:t>
      </w:r>
      <w:r>
        <w:rPr>
          <w:sz w:val="20"/>
          <w:szCs w:val="20"/>
          <w:color w:val="auto"/>
        </w:rPr>
        <w:tab/>
      </w:r>
      <w:r>
        <w:rPr>
          <w:rFonts w:ascii="Arial" w:cs="Arial" w:eastAsia="Arial" w:hAnsi="Arial"/>
          <w:sz w:val="22"/>
          <w:szCs w:val="22"/>
          <w:b w:val="1"/>
          <w:bCs w:val="1"/>
          <w:color w:val="0B2D71"/>
        </w:rPr>
        <w:t>M</w:t>
      </w:r>
      <w:r>
        <w:rPr>
          <w:sz w:val="20"/>
          <w:szCs w:val="20"/>
          <w:color w:val="auto"/>
        </w:rPr>
        <w:tab/>
      </w:r>
      <w:r>
        <w:rPr>
          <w:rFonts w:ascii="Arial" w:cs="Arial" w:eastAsia="Arial" w:hAnsi="Arial"/>
          <w:sz w:val="22"/>
          <w:szCs w:val="22"/>
          <w:b w:val="1"/>
          <w:bCs w:val="1"/>
          <w:color w:val="0B2D71"/>
        </w:rPr>
        <w:t>C</w:t>
      </w:r>
    </w:p>
    <w:p>
      <w:pPr>
        <w:spacing w:after="0" w:line="193" w:lineRule="exact"/>
        <w:rPr>
          <w:sz w:val="20"/>
          <w:szCs w:val="20"/>
          <w:color w:val="auto"/>
        </w:rPr>
      </w:pPr>
    </w:p>
    <w:p>
      <w:pPr>
        <w:ind w:left="440" w:hanging="433"/>
        <w:spacing w:after="0"/>
        <w:tabs>
          <w:tab w:leader="none" w:pos="440" w:val="left"/>
        </w:tabs>
        <w:numPr>
          <w:ilvl w:val="0"/>
          <w:numId w:val="16"/>
        </w:numPr>
        <w:rPr>
          <w:rFonts w:ascii="Times New Roman" w:cs="Times New Roman" w:eastAsia="Times New Roman" w:hAnsi="Times New Roman"/>
          <w:sz w:val="13"/>
          <w:szCs w:val="13"/>
          <w:color w:val="0B2D71"/>
        </w:rPr>
      </w:pPr>
      <w:r>
        <w:rPr>
          <w:rFonts w:ascii="Arial" w:cs="Arial" w:eastAsia="Arial" w:hAnsi="Arial"/>
          <w:sz w:val="22"/>
          <w:szCs w:val="22"/>
          <w:b w:val="1"/>
          <w:bCs w:val="1"/>
          <w:color w:val="0B2D71"/>
        </w:rPr>
        <w:t>M</w:t>
      </w:r>
    </w:p>
    <w:p>
      <w:pPr>
        <w:spacing w:after="0" w:line="125" w:lineRule="exact"/>
        <w:rPr>
          <w:sz w:val="20"/>
          <w:szCs w:val="20"/>
          <w:color w:val="auto"/>
        </w:rPr>
      </w:pPr>
    </w:p>
    <w:p>
      <w:pPr>
        <w:spacing w:after="0"/>
        <w:tabs>
          <w:tab w:leader="none" w:pos="1640" w:val="left"/>
          <w:tab w:leader="none" w:pos="2280" w:val="left"/>
        </w:tabs>
        <w:rPr>
          <w:sz w:val="20"/>
          <w:szCs w:val="20"/>
          <w:color w:val="auto"/>
        </w:rPr>
      </w:pPr>
      <w:r>
        <w:rPr>
          <w:rFonts w:ascii="Times New Roman" w:cs="Times New Roman" w:eastAsia="Times New Roman" w:hAnsi="Times New Roman"/>
          <w:sz w:val="13"/>
          <w:szCs w:val="13"/>
          <w:color w:val="0B2D71"/>
        </w:rPr>
        <w:t>●</w:t>
      </w:r>
      <w:r>
        <w:rPr>
          <w:sz w:val="20"/>
          <w:szCs w:val="20"/>
          <w:color w:val="auto"/>
        </w:rPr>
        <w:tab/>
      </w:r>
      <w:r>
        <w:rPr>
          <w:rFonts w:ascii="Arial" w:cs="Arial" w:eastAsia="Arial" w:hAnsi="Arial"/>
          <w:sz w:val="22"/>
          <w:szCs w:val="22"/>
          <w:b w:val="1"/>
          <w:bCs w:val="1"/>
          <w:color w:val="0B2D71"/>
        </w:rPr>
        <w:t>M</w:t>
      </w:r>
      <w:r>
        <w:rPr>
          <w:sz w:val="20"/>
          <w:szCs w:val="20"/>
          <w:color w:val="auto"/>
        </w:rPr>
        <w:tab/>
      </w:r>
      <w:r>
        <w:rPr>
          <w:rFonts w:ascii="Arial" w:cs="Arial" w:eastAsia="Arial" w:hAnsi="Arial"/>
          <w:sz w:val="21"/>
          <w:szCs w:val="21"/>
          <w:b w:val="1"/>
          <w:bCs w:val="1"/>
          <w:color w:val="0B2D71"/>
        </w:rPr>
        <w:t>M</w:t>
      </w:r>
    </w:p>
    <w:p>
      <w:pPr>
        <w:spacing w:after="0" w:line="125" w:lineRule="exact"/>
        <w:rPr>
          <w:sz w:val="20"/>
          <w:szCs w:val="20"/>
          <w:color w:val="auto"/>
        </w:rPr>
      </w:pPr>
    </w:p>
    <w:p>
      <w:pPr>
        <w:spacing w:after="0"/>
        <w:tabs>
          <w:tab w:leader="none" w:pos="1000" w:val="left"/>
          <w:tab w:leader="none" w:pos="1660" w:val="left"/>
        </w:tabs>
        <w:rPr>
          <w:sz w:val="20"/>
          <w:szCs w:val="20"/>
          <w:color w:val="auto"/>
        </w:rPr>
      </w:pPr>
      <w:r>
        <w:rPr>
          <w:rFonts w:ascii="Times New Roman" w:cs="Times New Roman" w:eastAsia="Times New Roman" w:hAnsi="Times New Roman"/>
          <w:sz w:val="13"/>
          <w:szCs w:val="13"/>
          <w:color w:val="0B2D71"/>
        </w:rPr>
        <w:t>●</w:t>
      </w:r>
      <w:r>
        <w:rPr>
          <w:sz w:val="20"/>
          <w:szCs w:val="20"/>
          <w:color w:val="auto"/>
        </w:rPr>
        <w:tab/>
      </w:r>
      <w:r>
        <w:rPr>
          <w:rFonts w:ascii="Arial" w:cs="Arial" w:eastAsia="Arial" w:hAnsi="Arial"/>
          <w:sz w:val="22"/>
          <w:szCs w:val="22"/>
          <w:b w:val="1"/>
          <w:bCs w:val="1"/>
          <w:color w:val="0B2D71"/>
        </w:rPr>
        <w:t>M</w:t>
      </w:r>
      <w:r>
        <w:rPr>
          <w:sz w:val="20"/>
          <w:szCs w:val="20"/>
          <w:color w:val="auto"/>
        </w:rPr>
        <w:tab/>
      </w:r>
      <w:r>
        <w:rPr>
          <w:rFonts w:ascii="Arial" w:cs="Arial" w:eastAsia="Arial" w:hAnsi="Arial"/>
          <w:sz w:val="19"/>
          <w:szCs w:val="19"/>
          <w:b w:val="1"/>
          <w:bCs w:val="1"/>
          <w:color w:val="0B2D71"/>
        </w:rPr>
        <w:t>C</w:t>
      </w:r>
    </w:p>
    <w:p>
      <w:pPr>
        <w:spacing w:after="0" w:line="20" w:lineRule="exact"/>
        <w:rPr>
          <w:sz w:val="20"/>
          <w:szCs w:val="20"/>
          <w:color w:val="auto"/>
        </w:rPr>
      </w:pPr>
      <w:r>
        <w:rPr>
          <w:sz w:val="20"/>
          <w:szCs w:val="20"/>
          <w:color w:val="auto"/>
        </w:rPr>
        <w:br w:type="column"/>
      </w:r>
    </w:p>
    <w:p>
      <w:pPr>
        <w:ind w:left="112" w:hanging="112"/>
        <w:spacing w:after="0"/>
        <w:tabs>
          <w:tab w:leader="none" w:pos="112" w:val="left"/>
        </w:tabs>
        <w:numPr>
          <w:ilvl w:val="0"/>
          <w:numId w:val="17"/>
        </w:numPr>
        <w:rPr>
          <w:rFonts w:ascii="Arial" w:cs="Arial" w:eastAsia="Arial" w:hAnsi="Arial"/>
          <w:sz w:val="13"/>
          <w:szCs w:val="13"/>
          <w:color w:val="auto"/>
        </w:rPr>
      </w:pPr>
      <w:r>
        <w:rPr>
          <w:rFonts w:ascii="Arial" w:cs="Arial" w:eastAsia="Arial" w:hAnsi="Arial"/>
          <w:sz w:val="13"/>
          <w:szCs w:val="13"/>
          <w:color w:val="auto"/>
        </w:rPr>
        <w:t>None</w:t>
      </w:r>
    </w:p>
    <w:p>
      <w:pPr>
        <w:spacing w:after="0" w:line="149" w:lineRule="exact"/>
        <w:rPr>
          <w:rFonts w:ascii="Arial" w:cs="Arial" w:eastAsia="Arial" w:hAnsi="Arial"/>
          <w:sz w:val="13"/>
          <w:szCs w:val="13"/>
          <w:color w:val="auto"/>
        </w:rPr>
      </w:pPr>
    </w:p>
    <w:p>
      <w:pPr>
        <w:ind w:left="112" w:hanging="112"/>
        <w:spacing w:after="0"/>
        <w:tabs>
          <w:tab w:leader="none" w:pos="112" w:val="left"/>
        </w:tabs>
        <w:numPr>
          <w:ilvl w:val="0"/>
          <w:numId w:val="17"/>
        </w:numPr>
        <w:rPr>
          <w:rFonts w:ascii="Arial" w:cs="Arial" w:eastAsia="Arial" w:hAnsi="Arial"/>
          <w:sz w:val="13"/>
          <w:szCs w:val="13"/>
          <w:color w:val="auto"/>
        </w:rPr>
      </w:pPr>
      <w:r>
        <w:rPr>
          <w:rFonts w:ascii="Arial" w:cs="Arial" w:eastAsia="Arial" w:hAnsi="Arial"/>
          <w:sz w:val="13"/>
          <w:szCs w:val="13"/>
          <w:color w:val="auto"/>
        </w:rPr>
        <w:t>McDonald’s Corporation</w:t>
      </w:r>
    </w:p>
    <w:p>
      <w:pPr>
        <w:spacing w:after="0" w:line="309" w:lineRule="exact"/>
        <w:rPr>
          <w:rFonts w:ascii="Arial" w:cs="Arial" w:eastAsia="Arial" w:hAnsi="Arial"/>
          <w:sz w:val="13"/>
          <w:szCs w:val="13"/>
          <w:color w:val="auto"/>
        </w:rPr>
      </w:pPr>
    </w:p>
    <w:p>
      <w:pPr>
        <w:ind w:left="112" w:hanging="112"/>
        <w:spacing w:after="0"/>
        <w:tabs>
          <w:tab w:leader="none" w:pos="112" w:val="left"/>
        </w:tabs>
        <w:numPr>
          <w:ilvl w:val="0"/>
          <w:numId w:val="17"/>
        </w:numPr>
        <w:rPr>
          <w:rFonts w:ascii="Arial" w:cs="Arial" w:eastAsia="Arial" w:hAnsi="Arial"/>
          <w:sz w:val="13"/>
          <w:szCs w:val="13"/>
          <w:color w:val="auto"/>
        </w:rPr>
      </w:pPr>
      <w:r>
        <w:rPr>
          <w:rFonts w:ascii="Arial" w:cs="Arial" w:eastAsia="Arial" w:hAnsi="Arial"/>
          <w:sz w:val="13"/>
          <w:szCs w:val="13"/>
          <w:color w:val="auto"/>
        </w:rPr>
        <w:t>Johnson &amp; Johnson</w:t>
      </w:r>
    </w:p>
    <w:p>
      <w:pPr>
        <w:spacing w:after="0" w:line="296" w:lineRule="exact"/>
        <w:rPr>
          <w:rFonts w:ascii="Arial" w:cs="Arial" w:eastAsia="Arial" w:hAnsi="Arial"/>
          <w:sz w:val="13"/>
          <w:szCs w:val="13"/>
          <w:color w:val="auto"/>
        </w:rPr>
      </w:pPr>
    </w:p>
    <w:p>
      <w:pPr>
        <w:ind w:left="112" w:hanging="112"/>
        <w:spacing w:after="0"/>
        <w:tabs>
          <w:tab w:leader="none" w:pos="112" w:val="left"/>
        </w:tabs>
        <w:numPr>
          <w:ilvl w:val="0"/>
          <w:numId w:val="17"/>
        </w:numPr>
        <w:rPr>
          <w:rFonts w:ascii="Arial" w:cs="Arial" w:eastAsia="Arial" w:hAnsi="Arial"/>
          <w:sz w:val="13"/>
          <w:szCs w:val="13"/>
          <w:color w:val="auto"/>
        </w:rPr>
      </w:pPr>
      <w:r>
        <w:rPr>
          <w:rFonts w:ascii="Arial" w:cs="Arial" w:eastAsia="Arial" w:hAnsi="Arial"/>
          <w:sz w:val="13"/>
          <w:szCs w:val="13"/>
          <w:color w:val="auto"/>
        </w:rPr>
        <w:t>Ford Motor Company</w:t>
      </w:r>
    </w:p>
    <w:p>
      <w:pPr>
        <w:spacing w:after="0" w:line="147" w:lineRule="exact"/>
        <w:rPr>
          <w:rFonts w:ascii="Arial" w:cs="Arial" w:eastAsia="Arial" w:hAnsi="Arial"/>
          <w:sz w:val="13"/>
          <w:szCs w:val="13"/>
          <w:color w:val="auto"/>
        </w:rPr>
      </w:pPr>
    </w:p>
    <w:p>
      <w:pPr>
        <w:ind w:left="112" w:hanging="112"/>
        <w:spacing w:after="0"/>
        <w:tabs>
          <w:tab w:leader="none" w:pos="112" w:val="left"/>
        </w:tabs>
        <w:numPr>
          <w:ilvl w:val="0"/>
          <w:numId w:val="17"/>
        </w:numPr>
        <w:rPr>
          <w:rFonts w:ascii="Arial" w:cs="Arial" w:eastAsia="Arial" w:hAnsi="Arial"/>
          <w:sz w:val="13"/>
          <w:szCs w:val="13"/>
          <w:color w:val="auto"/>
        </w:rPr>
      </w:pPr>
      <w:r>
        <w:rPr>
          <w:rFonts w:ascii="Arial" w:cs="Arial" w:eastAsia="Arial" w:hAnsi="Arial"/>
          <w:sz w:val="13"/>
          <w:szCs w:val="13"/>
          <w:color w:val="auto"/>
        </w:rPr>
        <w:t>Oracle Corporation</w:t>
      </w:r>
    </w:p>
    <w:p>
      <w:pPr>
        <w:spacing w:after="0" w:line="322" w:lineRule="exact"/>
        <w:rPr>
          <w:sz w:val="20"/>
          <w:szCs w:val="20"/>
          <w:color w:val="auto"/>
        </w:rPr>
      </w:pPr>
    </w:p>
    <w:p>
      <w:pPr>
        <w:sectPr>
          <w:pgSz w:w="11900" w:h="16838" w:orient="portrait"/>
          <w:cols w:equalWidth="0" w:num="3">
            <w:col w:w="6020" w:space="380"/>
            <w:col w:w="2480" w:space="348"/>
            <w:col w:w="1872"/>
          </w:cols>
          <w:pgMar w:left="320" w:top="455" w:right="479" w:bottom="1440" w:gutter="0" w:footer="0" w:header="0"/>
          <w:type w:val="continuous"/>
        </w:sectPr>
      </w:pPr>
    </w:p>
    <w:tbl>
      <w:tblPr>
        <w:tblLayout w:type="fixed"/>
        <w:tblInd w:w="280" w:type="dxa"/>
        <w:tblCellMar>
          <w:top w:w="0" w:type="dxa"/>
          <w:left w:w="0" w:type="dxa"/>
          <w:bottom w:w="0" w:type="dxa"/>
          <w:right w:w="0" w:type="dxa"/>
        </w:tblCellMar>
      </w:tblPr>
      <w:tr>
        <w:trPr>
          <w:trHeight w:val="136"/>
        </w:trPr>
        <w:tc>
          <w:tcPr>
            <w:tcW w:w="1000" w:type="dxa"/>
            <w:vAlign w:val="bottom"/>
          </w:tcPr>
          <w:p>
            <w:pPr>
              <w:spacing w:after="0" w:line="137" w:lineRule="exact"/>
              <w:rPr>
                <w:sz w:val="20"/>
                <w:szCs w:val="20"/>
                <w:color w:val="auto"/>
              </w:rPr>
            </w:pPr>
            <w:r>
              <w:rPr>
                <w:rFonts w:ascii="Arial" w:cs="Arial" w:eastAsia="Arial" w:hAnsi="Arial"/>
                <w:sz w:val="13"/>
                <w:szCs w:val="13"/>
                <w:color w:val="auto"/>
              </w:rPr>
              <w:t>Dambisa F.</w:t>
            </w:r>
          </w:p>
        </w:tc>
        <w:tc>
          <w:tcPr>
            <w:tcW w:w="600" w:type="dxa"/>
            <w:vAlign w:val="bottom"/>
          </w:tcPr>
          <w:p>
            <w:pPr>
              <w:ind w:left="240"/>
              <w:spacing w:after="0" w:line="137" w:lineRule="exact"/>
              <w:rPr>
                <w:sz w:val="20"/>
                <w:szCs w:val="20"/>
                <w:color w:val="auto"/>
              </w:rPr>
            </w:pPr>
            <w:r>
              <w:rPr>
                <w:rFonts w:ascii="Arial" w:cs="Arial" w:eastAsia="Arial" w:hAnsi="Arial"/>
                <w:sz w:val="13"/>
                <w:szCs w:val="13"/>
                <w:color w:val="auto"/>
              </w:rPr>
              <w:t>F</w:t>
            </w:r>
          </w:p>
        </w:tc>
        <w:tc>
          <w:tcPr>
            <w:tcW w:w="660" w:type="dxa"/>
            <w:vAlign w:val="bottom"/>
          </w:tcPr>
          <w:p>
            <w:pPr>
              <w:jc w:val="right"/>
              <w:ind w:right="173"/>
              <w:spacing w:after="0" w:line="137" w:lineRule="exact"/>
              <w:rPr>
                <w:sz w:val="20"/>
                <w:szCs w:val="20"/>
                <w:color w:val="auto"/>
              </w:rPr>
            </w:pPr>
            <w:r>
              <w:rPr>
                <w:rFonts w:ascii="Arial" w:cs="Arial" w:eastAsia="Arial" w:hAnsi="Arial"/>
                <w:sz w:val="13"/>
                <w:szCs w:val="13"/>
                <w:color w:val="auto"/>
              </w:rPr>
              <w:t>53</w:t>
            </w:r>
          </w:p>
        </w:tc>
        <w:tc>
          <w:tcPr>
            <w:tcW w:w="1000" w:type="dxa"/>
            <w:vAlign w:val="bottom"/>
          </w:tcPr>
          <w:p>
            <w:pPr>
              <w:ind w:left="240"/>
              <w:spacing w:after="0" w:line="137" w:lineRule="exact"/>
              <w:rPr>
                <w:sz w:val="20"/>
                <w:szCs w:val="20"/>
                <w:color w:val="auto"/>
              </w:rPr>
            </w:pPr>
            <w:r>
              <w:rPr>
                <w:rFonts w:ascii="Arial" w:cs="Arial" w:eastAsia="Arial" w:hAnsi="Arial"/>
                <w:sz w:val="13"/>
                <w:szCs w:val="13"/>
                <w:color w:val="auto"/>
              </w:rPr>
              <w:t>Black/</w:t>
            </w:r>
          </w:p>
        </w:tc>
        <w:tc>
          <w:tcPr>
            <w:tcW w:w="560" w:type="dxa"/>
            <w:vAlign w:val="bottom"/>
          </w:tcPr>
          <w:p>
            <w:pPr>
              <w:jc w:val="right"/>
              <w:ind w:right="93"/>
              <w:spacing w:after="0" w:line="137" w:lineRule="exact"/>
              <w:rPr>
                <w:sz w:val="20"/>
                <w:szCs w:val="20"/>
                <w:color w:val="auto"/>
              </w:rPr>
            </w:pPr>
            <w:r>
              <w:rPr>
                <w:rFonts w:ascii="Arial" w:cs="Arial" w:eastAsia="Arial" w:hAnsi="Arial"/>
                <w:sz w:val="13"/>
                <w:szCs w:val="13"/>
                <w:color w:val="auto"/>
              </w:rPr>
              <w:t>2016</w:t>
            </w:r>
          </w:p>
        </w:tc>
        <w:tc>
          <w:tcPr>
            <w:tcW w:w="2100" w:type="dxa"/>
            <w:vAlign w:val="bottom"/>
          </w:tcPr>
          <w:p>
            <w:pPr>
              <w:ind w:left="180"/>
              <w:spacing w:after="0" w:line="137" w:lineRule="exact"/>
              <w:rPr>
                <w:sz w:val="20"/>
                <w:szCs w:val="20"/>
                <w:color w:val="auto"/>
              </w:rPr>
            </w:pPr>
            <w:r>
              <w:rPr>
                <w:rFonts w:ascii="Arial" w:cs="Arial" w:eastAsia="Arial" w:hAnsi="Arial"/>
                <w:sz w:val="13"/>
                <w:szCs w:val="13"/>
                <w:color w:val="auto"/>
              </w:rPr>
              <w:t>Co-principal, Versaca</w:t>
            </w:r>
          </w:p>
        </w:tc>
        <w:tc>
          <w:tcPr>
            <w:tcW w:w="2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B2D71"/>
                <w:w w:val="75"/>
              </w:rPr>
              <w:t>●</w:t>
            </w:r>
          </w:p>
        </w:tc>
        <w:tc>
          <w:tcPr>
            <w:tcW w:w="0" w:type="dxa"/>
            <w:vAlign w:val="bottom"/>
          </w:tcPr>
          <w:p>
            <w:pPr>
              <w:spacing w:after="0"/>
              <w:rPr>
                <w:sz w:val="1"/>
                <w:szCs w:val="1"/>
                <w:color w:val="auto"/>
              </w:rPr>
            </w:pPr>
          </w:p>
        </w:tc>
      </w:tr>
      <w:tr>
        <w:trPr>
          <w:trHeight w:val="93"/>
        </w:trPr>
        <w:tc>
          <w:tcPr>
            <w:tcW w:w="1000" w:type="dxa"/>
            <w:vAlign w:val="bottom"/>
            <w:vMerge w:val="restart"/>
          </w:tcPr>
          <w:p>
            <w:pPr>
              <w:spacing w:after="0"/>
              <w:rPr>
                <w:sz w:val="20"/>
                <w:szCs w:val="20"/>
                <w:color w:val="auto"/>
              </w:rPr>
            </w:pPr>
            <w:r>
              <w:rPr>
                <w:rFonts w:ascii="Arial" w:cs="Arial" w:eastAsia="Arial" w:hAnsi="Arial"/>
                <w:sz w:val="13"/>
                <w:szCs w:val="13"/>
                <w:color w:val="auto"/>
              </w:rPr>
              <w:t>Moyo</w:t>
            </w: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vMerge w:val="restart"/>
          </w:tcPr>
          <w:p>
            <w:pPr>
              <w:ind w:left="240"/>
              <w:spacing w:after="0"/>
              <w:rPr>
                <w:sz w:val="20"/>
                <w:szCs w:val="20"/>
                <w:color w:val="auto"/>
              </w:rPr>
            </w:pPr>
            <w:r>
              <w:rPr>
                <w:rFonts w:ascii="Arial" w:cs="Arial" w:eastAsia="Arial" w:hAnsi="Arial"/>
                <w:sz w:val="13"/>
                <w:szCs w:val="13"/>
                <w:color w:val="auto"/>
              </w:rPr>
              <w:t>African</w:t>
            </w:r>
          </w:p>
        </w:tc>
        <w:tc>
          <w:tcPr>
            <w:tcW w:w="560" w:type="dxa"/>
            <w:vAlign w:val="bottom"/>
          </w:tcPr>
          <w:p>
            <w:pPr>
              <w:spacing w:after="0"/>
              <w:rPr>
                <w:sz w:val="8"/>
                <w:szCs w:val="8"/>
                <w:color w:val="auto"/>
              </w:rPr>
            </w:pPr>
          </w:p>
        </w:tc>
        <w:tc>
          <w:tcPr>
            <w:tcW w:w="2100" w:type="dxa"/>
            <w:vAlign w:val="bottom"/>
            <w:vMerge w:val="restart"/>
          </w:tcPr>
          <w:p>
            <w:pPr>
              <w:ind w:left="180"/>
              <w:spacing w:after="0"/>
              <w:rPr>
                <w:sz w:val="20"/>
                <w:szCs w:val="20"/>
                <w:color w:val="auto"/>
              </w:rPr>
            </w:pPr>
            <w:r>
              <w:rPr>
                <w:rFonts w:ascii="Arial" w:cs="Arial" w:eastAsia="Arial" w:hAnsi="Arial"/>
                <w:sz w:val="13"/>
                <w:szCs w:val="13"/>
                <w:color w:val="auto"/>
              </w:rPr>
              <w:t>Investments</w:t>
            </w:r>
          </w:p>
        </w:tc>
        <w:tc>
          <w:tcPr>
            <w:tcW w:w="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0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21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20"/>
                <w:szCs w:val="20"/>
                <w:color w:val="auto"/>
              </w:rPr>
            </w:pPr>
            <w:r>
              <w:rPr>
                <w:rFonts w:ascii="Arial" w:cs="Arial" w:eastAsia="Arial" w:hAnsi="Arial"/>
                <w:sz w:val="13"/>
                <w:szCs w:val="13"/>
                <w:color w:val="auto"/>
              </w:rPr>
              <w:t>Debra</w:t>
            </w:r>
          </w:p>
        </w:tc>
        <w:tc>
          <w:tcPr>
            <w:tcW w:w="600" w:type="dxa"/>
            <w:vAlign w:val="bottom"/>
          </w:tcPr>
          <w:p>
            <w:pPr>
              <w:ind w:left="240"/>
              <w:spacing w:after="0"/>
              <w:rPr>
                <w:sz w:val="20"/>
                <w:szCs w:val="20"/>
                <w:color w:val="auto"/>
              </w:rPr>
            </w:pPr>
            <w:r>
              <w:rPr>
                <w:rFonts w:ascii="Arial" w:cs="Arial" w:eastAsia="Arial" w:hAnsi="Arial"/>
                <w:sz w:val="13"/>
                <w:szCs w:val="13"/>
                <w:color w:val="auto"/>
              </w:rPr>
              <w:t>F</w:t>
            </w:r>
          </w:p>
        </w:tc>
        <w:tc>
          <w:tcPr>
            <w:tcW w:w="660" w:type="dxa"/>
            <w:vAlign w:val="bottom"/>
          </w:tcPr>
          <w:p>
            <w:pPr>
              <w:jc w:val="right"/>
              <w:ind w:right="173"/>
              <w:spacing w:after="0"/>
              <w:rPr>
                <w:sz w:val="20"/>
                <w:szCs w:val="20"/>
                <w:color w:val="auto"/>
              </w:rPr>
            </w:pPr>
            <w:r>
              <w:rPr>
                <w:rFonts w:ascii="Arial" w:cs="Arial" w:eastAsia="Arial" w:hAnsi="Arial"/>
                <w:sz w:val="13"/>
                <w:szCs w:val="13"/>
                <w:color w:val="auto"/>
              </w:rPr>
              <w:t>65</w:t>
            </w:r>
          </w:p>
        </w:tc>
        <w:tc>
          <w:tcPr>
            <w:tcW w:w="1000" w:type="dxa"/>
            <w:vAlign w:val="bottom"/>
          </w:tcPr>
          <w:p>
            <w:pPr>
              <w:ind w:left="240"/>
              <w:spacing w:after="0"/>
              <w:rPr>
                <w:sz w:val="20"/>
                <w:szCs w:val="20"/>
                <w:color w:val="auto"/>
              </w:rPr>
            </w:pPr>
            <w:r>
              <w:rPr>
                <w:rFonts w:ascii="Arial" w:cs="Arial" w:eastAsia="Arial" w:hAnsi="Arial"/>
                <w:sz w:val="13"/>
                <w:szCs w:val="13"/>
                <w:color w:val="auto"/>
              </w:rPr>
              <w:t>White/</w:t>
            </w:r>
          </w:p>
        </w:tc>
        <w:tc>
          <w:tcPr>
            <w:tcW w:w="560" w:type="dxa"/>
            <w:vAlign w:val="bottom"/>
          </w:tcPr>
          <w:p>
            <w:pPr>
              <w:jc w:val="right"/>
              <w:ind w:right="93"/>
              <w:spacing w:after="0"/>
              <w:rPr>
                <w:sz w:val="20"/>
                <w:szCs w:val="20"/>
                <w:color w:val="auto"/>
              </w:rPr>
            </w:pPr>
            <w:r>
              <w:rPr>
                <w:rFonts w:ascii="Arial" w:cs="Arial" w:eastAsia="Arial" w:hAnsi="Arial"/>
                <w:sz w:val="13"/>
                <w:szCs w:val="13"/>
                <w:color w:val="auto"/>
              </w:rPr>
              <w:t>2018</w:t>
            </w:r>
          </w:p>
        </w:tc>
        <w:tc>
          <w:tcPr>
            <w:tcW w:w="2100" w:type="dxa"/>
            <w:vAlign w:val="bottom"/>
          </w:tcPr>
          <w:p>
            <w:pPr>
              <w:ind w:left="180"/>
              <w:spacing w:after="0"/>
              <w:rPr>
                <w:sz w:val="20"/>
                <w:szCs w:val="20"/>
                <w:color w:val="auto"/>
              </w:rPr>
            </w:pPr>
            <w:r>
              <w:rPr>
                <w:rFonts w:ascii="Arial" w:cs="Arial" w:eastAsia="Arial" w:hAnsi="Arial"/>
                <w:sz w:val="13"/>
                <w:szCs w:val="13"/>
                <w:color w:val="auto"/>
              </w:rPr>
              <w:t>Retired Chairman, CEO, and</w:t>
            </w:r>
          </w:p>
        </w:tc>
        <w:tc>
          <w:tcPr>
            <w:tcW w:w="2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B2D71"/>
                <w:w w:val="75"/>
              </w:rPr>
              <w:t>●</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20"/>
                <w:szCs w:val="20"/>
                <w:color w:val="auto"/>
              </w:rPr>
            </w:pPr>
            <w:r>
              <w:rPr>
                <w:rFonts w:ascii="Arial" w:cs="Arial" w:eastAsia="Arial" w:hAnsi="Arial"/>
                <w:sz w:val="13"/>
                <w:szCs w:val="13"/>
                <w:color w:val="auto"/>
              </w:rPr>
              <w:t>Reed-Klages</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ind w:left="240"/>
              <w:spacing w:after="0"/>
              <w:rPr>
                <w:sz w:val="20"/>
                <w:szCs w:val="20"/>
                <w:color w:val="auto"/>
              </w:rPr>
            </w:pPr>
            <w:r>
              <w:rPr>
                <w:rFonts w:ascii="Arial" w:cs="Arial" w:eastAsia="Arial" w:hAnsi="Arial"/>
                <w:sz w:val="13"/>
                <w:szCs w:val="13"/>
                <w:color w:val="auto"/>
              </w:rPr>
              <w:t>Caucasian</w:t>
            </w:r>
          </w:p>
        </w:tc>
        <w:tc>
          <w:tcPr>
            <w:tcW w:w="560" w:type="dxa"/>
            <w:vAlign w:val="bottom"/>
          </w:tcPr>
          <w:p>
            <w:pPr>
              <w:spacing w:after="0"/>
              <w:rPr>
                <w:sz w:val="15"/>
                <w:szCs w:val="15"/>
                <w:color w:val="auto"/>
              </w:rPr>
            </w:pPr>
          </w:p>
        </w:tc>
        <w:tc>
          <w:tcPr>
            <w:tcW w:w="2100" w:type="dxa"/>
            <w:vAlign w:val="bottom"/>
          </w:tcPr>
          <w:p>
            <w:pPr>
              <w:ind w:left="180"/>
              <w:spacing w:after="0"/>
              <w:rPr>
                <w:sz w:val="20"/>
                <w:szCs w:val="20"/>
                <w:color w:val="auto"/>
              </w:rPr>
            </w:pPr>
            <w:r>
              <w:rPr>
                <w:rFonts w:ascii="Arial" w:cs="Arial" w:eastAsia="Arial" w:hAnsi="Arial"/>
                <w:sz w:val="13"/>
                <w:szCs w:val="13"/>
                <w:color w:val="auto"/>
              </w:rPr>
              <w:t>President, Sempra Energy</w:t>
            </w:r>
          </w:p>
        </w:tc>
        <w:tc>
          <w:tcPr>
            <w:tcW w:w="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0B2D71"/>
        </w:rPr>
        <w:t>M</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0B2D71"/>
        </w:rPr>
        <w:t>C</w:t>
      </w:r>
    </w:p>
    <w:p>
      <w:pPr>
        <w:spacing w:after="0" w:line="20" w:lineRule="exact"/>
        <w:rPr>
          <w:sz w:val="20"/>
          <w:szCs w:val="20"/>
          <w:color w:val="auto"/>
        </w:rPr>
      </w:pPr>
      <w:r>
        <w:rPr>
          <w:sz w:val="20"/>
          <w:szCs w:val="20"/>
          <w:color w:val="auto"/>
        </w:rPr>
        <w:br w:type="column"/>
      </w:r>
    </w:p>
    <w:p>
      <w:pPr>
        <w:ind w:left="112" w:hanging="112"/>
        <w:spacing w:after="0"/>
        <w:tabs>
          <w:tab w:leader="none" w:pos="112" w:val="left"/>
        </w:tabs>
        <w:numPr>
          <w:ilvl w:val="0"/>
          <w:numId w:val="18"/>
        </w:numPr>
        <w:rPr>
          <w:rFonts w:ascii="Arial" w:cs="Arial" w:eastAsia="Arial" w:hAnsi="Arial"/>
          <w:sz w:val="13"/>
          <w:szCs w:val="13"/>
          <w:color w:val="auto"/>
        </w:rPr>
      </w:pPr>
      <w:r>
        <w:rPr>
          <w:rFonts w:ascii="Arial" w:cs="Arial" w:eastAsia="Arial" w:hAnsi="Arial"/>
          <w:sz w:val="13"/>
          <w:szCs w:val="13"/>
          <w:color w:val="auto"/>
        </w:rPr>
        <w:t>3M Company</w:t>
      </w:r>
    </w:p>
    <w:p>
      <w:pPr>
        <w:spacing w:after="0" w:line="135" w:lineRule="exact"/>
        <w:rPr>
          <w:rFonts w:ascii="Arial" w:cs="Arial" w:eastAsia="Arial" w:hAnsi="Arial"/>
          <w:sz w:val="13"/>
          <w:szCs w:val="13"/>
          <w:color w:val="auto"/>
        </w:rPr>
      </w:pPr>
    </w:p>
    <w:p>
      <w:pPr>
        <w:ind w:left="112" w:hanging="112"/>
        <w:spacing w:after="0"/>
        <w:tabs>
          <w:tab w:leader="none" w:pos="112" w:val="left"/>
        </w:tabs>
        <w:numPr>
          <w:ilvl w:val="0"/>
          <w:numId w:val="18"/>
        </w:numPr>
        <w:rPr>
          <w:rFonts w:ascii="Arial" w:cs="Arial" w:eastAsia="Arial" w:hAnsi="Arial"/>
          <w:sz w:val="13"/>
          <w:szCs w:val="13"/>
          <w:color w:val="auto"/>
        </w:rPr>
      </w:pPr>
      <w:r>
        <w:rPr>
          <w:rFonts w:ascii="Arial" w:cs="Arial" w:eastAsia="Arial" w:hAnsi="Arial"/>
          <w:sz w:val="13"/>
          <w:szCs w:val="13"/>
          <w:color w:val="auto"/>
        </w:rPr>
        <w:t>Caterpillar Inc.</w:t>
      </w:r>
    </w:p>
    <w:p>
      <w:pPr>
        <w:spacing w:after="0" w:line="11" w:lineRule="exact"/>
        <w:rPr>
          <w:rFonts w:ascii="Arial" w:cs="Arial" w:eastAsia="Arial" w:hAnsi="Arial"/>
          <w:sz w:val="13"/>
          <w:szCs w:val="13"/>
          <w:color w:val="auto"/>
        </w:rPr>
      </w:pPr>
    </w:p>
    <w:p>
      <w:pPr>
        <w:ind w:left="152" w:right="760" w:hanging="152"/>
        <w:spacing w:after="0" w:line="249" w:lineRule="auto"/>
        <w:tabs>
          <w:tab w:leader="none" w:pos="122" w:val="left"/>
        </w:tabs>
        <w:numPr>
          <w:ilvl w:val="0"/>
          <w:numId w:val="18"/>
        </w:numPr>
        <w:rPr>
          <w:rFonts w:ascii="Arial" w:cs="Arial" w:eastAsia="Arial" w:hAnsi="Arial"/>
          <w:sz w:val="13"/>
          <w:szCs w:val="13"/>
          <w:color w:val="auto"/>
        </w:rPr>
      </w:pPr>
      <w:r>
        <w:rPr>
          <w:rFonts w:ascii="Arial" w:cs="Arial" w:eastAsia="Arial" w:hAnsi="Arial"/>
          <w:sz w:val="13"/>
          <w:szCs w:val="13"/>
          <w:color w:val="auto"/>
        </w:rPr>
        <w:t>Lockheed Martin Corporation</w:t>
      </w:r>
    </w:p>
    <w:p>
      <w:pPr>
        <w:spacing w:after="0" w:line="1" w:lineRule="exact"/>
        <w:rPr>
          <w:sz w:val="20"/>
          <w:szCs w:val="20"/>
          <w:color w:val="auto"/>
        </w:rPr>
      </w:pPr>
    </w:p>
    <w:p>
      <w:pPr>
        <w:sectPr>
          <w:pgSz w:w="11900" w:h="16838" w:orient="portrait"/>
          <w:cols w:equalWidth="0" w:num="3">
            <w:col w:w="6480" w:space="360"/>
            <w:col w:w="1668" w:space="720"/>
            <w:col w:w="1872"/>
          </w:cols>
          <w:pgMar w:left="320" w:top="455" w:right="479" w:bottom="1440" w:gutter="0" w:footer="0" w:header="0"/>
          <w:type w:val="continuous"/>
        </w:sectPr>
      </w:pPr>
    </w:p>
    <w:tbl>
      <w:tblPr>
        <w:tblLayout w:type="fixed"/>
        <w:tblInd w:w="120" w:type="dxa"/>
        <w:tblCellMar>
          <w:top w:w="0" w:type="dxa"/>
          <w:left w:w="0" w:type="dxa"/>
          <w:bottom w:w="0" w:type="dxa"/>
          <w:right w:w="0" w:type="dxa"/>
        </w:tblCellMar>
      </w:tblPr>
      <w:tr>
        <w:trPr>
          <w:trHeight w:val="137"/>
        </w:trPr>
        <w:tc>
          <w:tcPr>
            <w:tcW w:w="1120" w:type="dxa"/>
            <w:vAlign w:val="bottom"/>
          </w:tcPr>
          <w:p>
            <w:pPr>
              <w:ind w:left="160"/>
              <w:spacing w:after="0" w:line="137" w:lineRule="exact"/>
              <w:rPr>
                <w:sz w:val="20"/>
                <w:szCs w:val="20"/>
                <w:color w:val="auto"/>
              </w:rPr>
            </w:pPr>
            <w:r>
              <w:rPr>
                <w:rFonts w:ascii="Arial" w:cs="Arial" w:eastAsia="Arial" w:hAnsi="Arial"/>
                <w:sz w:val="13"/>
                <w:szCs w:val="13"/>
                <w:color w:val="auto"/>
              </w:rPr>
              <w:t>Ronald D.</w:t>
            </w:r>
          </w:p>
        </w:tc>
        <w:tc>
          <w:tcPr>
            <w:tcW w:w="660" w:type="dxa"/>
            <w:vAlign w:val="bottom"/>
          </w:tcPr>
          <w:p>
            <w:pPr>
              <w:ind w:left="280"/>
              <w:spacing w:after="0" w:line="137" w:lineRule="exact"/>
              <w:rPr>
                <w:sz w:val="20"/>
                <w:szCs w:val="20"/>
                <w:color w:val="auto"/>
              </w:rPr>
            </w:pPr>
            <w:r>
              <w:rPr>
                <w:rFonts w:ascii="Arial" w:cs="Arial" w:eastAsia="Arial" w:hAnsi="Arial"/>
                <w:sz w:val="13"/>
                <w:szCs w:val="13"/>
                <w:color w:val="auto"/>
              </w:rPr>
              <w:t>M</w:t>
            </w:r>
          </w:p>
        </w:tc>
        <w:tc>
          <w:tcPr>
            <w:tcW w:w="640" w:type="dxa"/>
            <w:vAlign w:val="bottom"/>
          </w:tcPr>
          <w:p>
            <w:pPr>
              <w:jc w:val="right"/>
              <w:ind w:right="173"/>
              <w:spacing w:after="0" w:line="137" w:lineRule="exact"/>
              <w:rPr>
                <w:sz w:val="20"/>
                <w:szCs w:val="20"/>
                <w:color w:val="auto"/>
              </w:rPr>
            </w:pPr>
            <w:r>
              <w:rPr>
                <w:rFonts w:ascii="Arial" w:cs="Arial" w:eastAsia="Arial" w:hAnsi="Arial"/>
                <w:sz w:val="13"/>
                <w:szCs w:val="13"/>
                <w:color w:val="auto"/>
              </w:rPr>
              <w:t>73</w:t>
            </w:r>
          </w:p>
        </w:tc>
        <w:tc>
          <w:tcPr>
            <w:tcW w:w="1000" w:type="dxa"/>
            <w:vAlign w:val="bottom"/>
          </w:tcPr>
          <w:p>
            <w:pPr>
              <w:ind w:left="240"/>
              <w:spacing w:after="0" w:line="137" w:lineRule="exact"/>
              <w:rPr>
                <w:sz w:val="20"/>
                <w:szCs w:val="20"/>
                <w:color w:val="auto"/>
              </w:rPr>
            </w:pPr>
            <w:r>
              <w:rPr>
                <w:rFonts w:ascii="Arial" w:cs="Arial" w:eastAsia="Arial" w:hAnsi="Arial"/>
                <w:sz w:val="13"/>
                <w:szCs w:val="13"/>
                <w:color w:val="auto"/>
              </w:rPr>
              <w:t>White/</w:t>
            </w:r>
          </w:p>
        </w:tc>
        <w:tc>
          <w:tcPr>
            <w:tcW w:w="560" w:type="dxa"/>
            <w:vAlign w:val="bottom"/>
          </w:tcPr>
          <w:p>
            <w:pPr>
              <w:jc w:val="right"/>
              <w:ind w:right="93"/>
              <w:spacing w:after="0" w:line="137" w:lineRule="exact"/>
              <w:rPr>
                <w:sz w:val="20"/>
                <w:szCs w:val="20"/>
                <w:color w:val="auto"/>
              </w:rPr>
            </w:pPr>
            <w:r>
              <w:rPr>
                <w:rFonts w:ascii="Arial" w:cs="Arial" w:eastAsia="Arial" w:hAnsi="Arial"/>
                <w:sz w:val="13"/>
                <w:szCs w:val="13"/>
                <w:color w:val="auto"/>
              </w:rPr>
              <w:t>2005</w:t>
            </w:r>
          </w:p>
        </w:tc>
        <w:tc>
          <w:tcPr>
            <w:tcW w:w="2080" w:type="dxa"/>
            <w:vAlign w:val="bottom"/>
          </w:tcPr>
          <w:p>
            <w:pPr>
              <w:ind w:left="180"/>
              <w:spacing w:after="0" w:line="137" w:lineRule="exact"/>
              <w:rPr>
                <w:sz w:val="20"/>
                <w:szCs w:val="20"/>
                <w:color w:val="auto"/>
              </w:rPr>
            </w:pPr>
            <w:r>
              <w:rPr>
                <w:rFonts w:ascii="Arial" w:cs="Arial" w:eastAsia="Arial" w:hAnsi="Arial"/>
                <w:sz w:val="13"/>
                <w:szCs w:val="13"/>
                <w:color w:val="auto"/>
              </w:rPr>
              <w:t>Retired Chairman and CEO,</w:t>
            </w:r>
          </w:p>
        </w:tc>
        <w:tc>
          <w:tcPr>
            <w:tcW w:w="7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0B2D71"/>
              </w:rPr>
              <w:t>L</w:t>
            </w:r>
          </w:p>
        </w:tc>
        <w:tc>
          <w:tcPr>
            <w:tcW w:w="860" w:type="dxa"/>
            <w:vAlign w:val="bottom"/>
            <w:vMerge w:val="restart"/>
          </w:tcPr>
          <w:p>
            <w:pPr>
              <w:ind w:left="460"/>
              <w:spacing w:after="0"/>
              <w:rPr>
                <w:sz w:val="20"/>
                <w:szCs w:val="20"/>
                <w:color w:val="auto"/>
              </w:rPr>
            </w:pPr>
            <w:r>
              <w:rPr>
                <w:rFonts w:ascii="Arial" w:cs="Arial" w:eastAsia="Arial" w:hAnsi="Arial"/>
                <w:sz w:val="22"/>
                <w:szCs w:val="22"/>
                <w:b w:val="1"/>
                <w:bCs w:val="1"/>
                <w:color w:val="0B2D71"/>
              </w:rPr>
              <w:t>M</w:t>
            </w:r>
          </w:p>
        </w:tc>
        <w:tc>
          <w:tcPr>
            <w:tcW w:w="660" w:type="dxa"/>
            <w:vAlign w:val="bottom"/>
            <w:vMerge w:val="restart"/>
          </w:tcPr>
          <w:p>
            <w:pPr>
              <w:ind w:left="240"/>
              <w:spacing w:after="0"/>
              <w:rPr>
                <w:sz w:val="20"/>
                <w:szCs w:val="20"/>
                <w:color w:val="auto"/>
              </w:rPr>
            </w:pPr>
            <w:r>
              <w:rPr>
                <w:rFonts w:ascii="Arial" w:cs="Arial" w:eastAsia="Arial" w:hAnsi="Arial"/>
                <w:sz w:val="22"/>
                <w:szCs w:val="22"/>
                <w:b w:val="1"/>
                <w:bCs w:val="1"/>
                <w:color w:val="0B2D71"/>
              </w:rPr>
              <w:t>M</w:t>
            </w:r>
          </w:p>
        </w:tc>
        <w:tc>
          <w:tcPr>
            <w:tcW w:w="580" w:type="dxa"/>
            <w:vAlign w:val="bottom"/>
          </w:tcPr>
          <w:p>
            <w:pPr>
              <w:spacing w:after="0"/>
              <w:rPr>
                <w:sz w:val="11"/>
                <w:szCs w:val="11"/>
                <w:color w:val="auto"/>
              </w:rPr>
            </w:pPr>
          </w:p>
        </w:tc>
        <w:tc>
          <w:tcPr>
            <w:tcW w:w="2040" w:type="dxa"/>
            <w:vAlign w:val="bottom"/>
          </w:tcPr>
          <w:p>
            <w:pPr>
              <w:ind w:left="160"/>
              <w:spacing w:after="0" w:line="137" w:lineRule="exact"/>
              <w:rPr>
                <w:sz w:val="20"/>
                <w:szCs w:val="20"/>
                <w:color w:val="auto"/>
              </w:rPr>
            </w:pPr>
            <w:r>
              <w:rPr>
                <w:rFonts w:ascii="Arial" w:cs="Arial" w:eastAsia="Arial" w:hAnsi="Arial"/>
                <w:sz w:val="13"/>
                <w:szCs w:val="13"/>
                <w:color w:val="auto"/>
              </w:rPr>
              <w:t>• Amgen Inc.</w:t>
            </w:r>
          </w:p>
        </w:tc>
        <w:tc>
          <w:tcPr>
            <w:tcW w:w="0" w:type="dxa"/>
            <w:vAlign w:val="bottom"/>
          </w:tcPr>
          <w:p>
            <w:pPr>
              <w:spacing w:after="0"/>
              <w:rPr>
                <w:sz w:val="1"/>
                <w:szCs w:val="1"/>
                <w:color w:val="auto"/>
              </w:rPr>
            </w:pPr>
          </w:p>
        </w:tc>
      </w:tr>
      <w:tr>
        <w:trPr>
          <w:trHeight w:val="161"/>
        </w:trPr>
        <w:tc>
          <w:tcPr>
            <w:tcW w:w="1120" w:type="dxa"/>
            <w:vAlign w:val="bottom"/>
          </w:tcPr>
          <w:p>
            <w:pPr>
              <w:ind w:left="160"/>
              <w:spacing w:after="0"/>
              <w:rPr>
                <w:sz w:val="20"/>
                <w:szCs w:val="20"/>
                <w:color w:val="auto"/>
              </w:rPr>
            </w:pPr>
            <w:r>
              <w:rPr>
                <w:rFonts w:ascii="Arial" w:cs="Arial" w:eastAsia="Arial" w:hAnsi="Arial"/>
                <w:sz w:val="13"/>
                <w:szCs w:val="13"/>
                <w:color w:val="auto"/>
              </w:rPr>
              <w:t>Sugar</w:t>
            </w: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ind w:left="240"/>
              <w:spacing w:after="0"/>
              <w:rPr>
                <w:sz w:val="20"/>
                <w:szCs w:val="20"/>
                <w:color w:val="auto"/>
              </w:rPr>
            </w:pPr>
            <w:r>
              <w:rPr>
                <w:rFonts w:ascii="Arial" w:cs="Arial" w:eastAsia="Arial" w:hAnsi="Arial"/>
                <w:sz w:val="13"/>
                <w:szCs w:val="13"/>
                <w:color w:val="auto"/>
              </w:rPr>
              <w:t>Caucasian</w:t>
            </w:r>
          </w:p>
        </w:tc>
        <w:tc>
          <w:tcPr>
            <w:tcW w:w="560" w:type="dxa"/>
            <w:vAlign w:val="bottom"/>
          </w:tcPr>
          <w:p>
            <w:pPr>
              <w:spacing w:after="0"/>
              <w:rPr>
                <w:sz w:val="13"/>
                <w:szCs w:val="13"/>
                <w:color w:val="auto"/>
              </w:rPr>
            </w:pPr>
          </w:p>
        </w:tc>
        <w:tc>
          <w:tcPr>
            <w:tcW w:w="2080" w:type="dxa"/>
            <w:vAlign w:val="bottom"/>
          </w:tcPr>
          <w:p>
            <w:pPr>
              <w:ind w:left="180"/>
              <w:spacing w:after="0"/>
              <w:rPr>
                <w:sz w:val="20"/>
                <w:szCs w:val="20"/>
                <w:color w:val="auto"/>
              </w:rPr>
            </w:pPr>
            <w:r>
              <w:rPr>
                <w:rFonts w:ascii="Arial" w:cs="Arial" w:eastAsia="Arial" w:hAnsi="Arial"/>
                <w:sz w:val="13"/>
                <w:szCs w:val="13"/>
                <w:color w:val="auto"/>
              </w:rPr>
              <w:t>Northrop Grumman</w:t>
            </w:r>
          </w:p>
        </w:tc>
        <w:tc>
          <w:tcPr>
            <w:tcW w:w="7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2040" w:type="dxa"/>
            <w:vAlign w:val="bottom"/>
          </w:tcPr>
          <w:p>
            <w:pPr>
              <w:ind w:left="160"/>
              <w:spacing w:after="0"/>
              <w:rPr>
                <w:sz w:val="20"/>
                <w:szCs w:val="20"/>
                <w:color w:val="auto"/>
              </w:rPr>
            </w:pPr>
            <w:r>
              <w:rPr>
                <w:rFonts w:ascii="Arial" w:cs="Arial" w:eastAsia="Arial" w:hAnsi="Arial"/>
                <w:sz w:val="13"/>
                <w:szCs w:val="13"/>
                <w:color w:val="auto"/>
              </w:rPr>
              <w:t>• Apple Inc.</w:t>
            </w:r>
          </w:p>
        </w:tc>
        <w:tc>
          <w:tcPr>
            <w:tcW w:w="0" w:type="dxa"/>
            <w:vAlign w:val="bottom"/>
          </w:tcPr>
          <w:p>
            <w:pPr>
              <w:spacing w:after="0"/>
              <w:rPr>
                <w:sz w:val="1"/>
                <w:szCs w:val="1"/>
                <w:color w:val="auto"/>
              </w:rPr>
            </w:pPr>
          </w:p>
        </w:tc>
      </w:tr>
      <w:tr>
        <w:trPr>
          <w:trHeight w:val="163"/>
        </w:trPr>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80" w:type="dxa"/>
            <w:vAlign w:val="bottom"/>
          </w:tcPr>
          <w:p>
            <w:pPr>
              <w:ind w:left="180"/>
              <w:spacing w:after="0"/>
              <w:rPr>
                <w:sz w:val="20"/>
                <w:szCs w:val="20"/>
                <w:color w:val="auto"/>
              </w:rPr>
            </w:pPr>
            <w:r>
              <w:rPr>
                <w:rFonts w:ascii="Arial" w:cs="Arial" w:eastAsia="Arial" w:hAnsi="Arial"/>
                <w:sz w:val="13"/>
                <w:szCs w:val="13"/>
                <w:color w:val="auto"/>
              </w:rPr>
              <w:t>Corporation</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40" w:type="dxa"/>
            <w:vAlign w:val="bottom"/>
          </w:tcPr>
          <w:p>
            <w:pPr>
              <w:ind w:left="160"/>
              <w:spacing w:after="0"/>
              <w:rPr>
                <w:sz w:val="20"/>
                <w:szCs w:val="20"/>
                <w:color w:val="auto"/>
              </w:rPr>
            </w:pPr>
            <w:r>
              <w:rPr>
                <w:rFonts w:ascii="Arial" w:cs="Arial" w:eastAsia="Arial" w:hAnsi="Arial"/>
                <w:sz w:val="13"/>
                <w:szCs w:val="13"/>
                <w:color w:val="auto"/>
              </w:rPr>
              <w:t>• Uber Technologies, Inc.</w:t>
            </w:r>
          </w:p>
        </w:tc>
        <w:tc>
          <w:tcPr>
            <w:tcW w:w="0" w:type="dxa"/>
            <w:vAlign w:val="bottom"/>
          </w:tcPr>
          <w:p>
            <w:pPr>
              <w:spacing w:after="0"/>
              <w:rPr>
                <w:sz w:val="1"/>
                <w:szCs w:val="1"/>
                <w:color w:val="auto"/>
              </w:rPr>
            </w:pPr>
          </w:p>
        </w:tc>
      </w:tr>
      <w:tr>
        <w:trPr>
          <w:trHeight w:val="136"/>
        </w:trPr>
        <w:tc>
          <w:tcPr>
            <w:tcW w:w="1120" w:type="dxa"/>
            <w:vAlign w:val="bottom"/>
            <w:shd w:val="clear" w:color="auto" w:fill="D8D8D8"/>
          </w:tcPr>
          <w:p>
            <w:pPr>
              <w:ind w:left="160"/>
              <w:spacing w:after="0" w:line="136" w:lineRule="exact"/>
              <w:rPr>
                <w:sz w:val="20"/>
                <w:szCs w:val="20"/>
                <w:color w:val="auto"/>
              </w:rPr>
            </w:pPr>
            <w:r>
              <w:rPr>
                <w:rFonts w:ascii="Arial" w:cs="Arial" w:eastAsia="Arial" w:hAnsi="Arial"/>
                <w:sz w:val="13"/>
                <w:szCs w:val="13"/>
                <w:color w:val="auto"/>
              </w:rPr>
              <w:t>D. James</w:t>
            </w:r>
          </w:p>
        </w:tc>
        <w:tc>
          <w:tcPr>
            <w:tcW w:w="660" w:type="dxa"/>
            <w:vAlign w:val="bottom"/>
            <w:shd w:val="clear" w:color="auto" w:fill="D8D8D8"/>
          </w:tcPr>
          <w:p>
            <w:pPr>
              <w:ind w:left="280"/>
              <w:spacing w:after="0" w:line="136" w:lineRule="exact"/>
              <w:rPr>
                <w:sz w:val="20"/>
                <w:szCs w:val="20"/>
                <w:color w:val="auto"/>
              </w:rPr>
            </w:pPr>
            <w:r>
              <w:rPr>
                <w:rFonts w:ascii="Arial" w:cs="Arial" w:eastAsia="Arial" w:hAnsi="Arial"/>
                <w:sz w:val="13"/>
                <w:szCs w:val="13"/>
                <w:color w:val="auto"/>
              </w:rPr>
              <w:t>M</w:t>
            </w:r>
          </w:p>
        </w:tc>
        <w:tc>
          <w:tcPr>
            <w:tcW w:w="640" w:type="dxa"/>
            <w:vAlign w:val="bottom"/>
            <w:shd w:val="clear" w:color="auto" w:fill="D8D8D8"/>
          </w:tcPr>
          <w:p>
            <w:pPr>
              <w:jc w:val="right"/>
              <w:ind w:right="173"/>
              <w:spacing w:after="0" w:line="136" w:lineRule="exact"/>
              <w:rPr>
                <w:sz w:val="20"/>
                <w:szCs w:val="20"/>
                <w:color w:val="auto"/>
              </w:rPr>
            </w:pPr>
            <w:r>
              <w:rPr>
                <w:rFonts w:ascii="Arial" w:cs="Arial" w:eastAsia="Arial" w:hAnsi="Arial"/>
                <w:sz w:val="13"/>
                <w:szCs w:val="13"/>
                <w:color w:val="auto"/>
              </w:rPr>
              <w:t>64</w:t>
            </w:r>
          </w:p>
        </w:tc>
        <w:tc>
          <w:tcPr>
            <w:tcW w:w="1000" w:type="dxa"/>
            <w:vAlign w:val="bottom"/>
            <w:shd w:val="clear" w:color="auto" w:fill="D8D8D8"/>
          </w:tcPr>
          <w:p>
            <w:pPr>
              <w:ind w:left="240"/>
              <w:spacing w:after="0" w:line="136" w:lineRule="exact"/>
              <w:rPr>
                <w:sz w:val="20"/>
                <w:szCs w:val="20"/>
                <w:color w:val="auto"/>
              </w:rPr>
            </w:pPr>
            <w:r>
              <w:rPr>
                <w:rFonts w:ascii="Arial" w:cs="Arial" w:eastAsia="Arial" w:hAnsi="Arial"/>
                <w:sz w:val="13"/>
                <w:szCs w:val="13"/>
                <w:color w:val="auto"/>
              </w:rPr>
              <w:t>White/</w:t>
            </w:r>
          </w:p>
        </w:tc>
        <w:tc>
          <w:tcPr>
            <w:tcW w:w="560" w:type="dxa"/>
            <w:vAlign w:val="bottom"/>
            <w:shd w:val="clear" w:color="auto" w:fill="D8D8D8"/>
          </w:tcPr>
          <w:p>
            <w:pPr>
              <w:jc w:val="right"/>
              <w:ind w:right="93"/>
              <w:spacing w:after="0" w:line="136" w:lineRule="exact"/>
              <w:rPr>
                <w:sz w:val="20"/>
                <w:szCs w:val="20"/>
                <w:color w:val="auto"/>
              </w:rPr>
            </w:pPr>
            <w:r>
              <w:rPr>
                <w:rFonts w:ascii="Arial" w:cs="Arial" w:eastAsia="Arial" w:hAnsi="Arial"/>
                <w:sz w:val="13"/>
                <w:szCs w:val="13"/>
                <w:color w:val="auto"/>
              </w:rPr>
              <w:t>2018</w:t>
            </w:r>
          </w:p>
        </w:tc>
        <w:tc>
          <w:tcPr>
            <w:tcW w:w="2080" w:type="dxa"/>
            <w:vAlign w:val="bottom"/>
            <w:shd w:val="clear" w:color="auto" w:fill="D8D8D8"/>
          </w:tcPr>
          <w:p>
            <w:pPr>
              <w:ind w:left="180"/>
              <w:spacing w:after="0" w:line="136" w:lineRule="exact"/>
              <w:rPr>
                <w:sz w:val="20"/>
                <w:szCs w:val="20"/>
                <w:color w:val="auto"/>
              </w:rPr>
            </w:pPr>
            <w:r>
              <w:rPr>
                <w:rFonts w:ascii="Arial" w:cs="Arial" w:eastAsia="Arial" w:hAnsi="Arial"/>
                <w:sz w:val="13"/>
                <w:szCs w:val="13"/>
                <w:color w:val="auto"/>
              </w:rPr>
              <w:t>Chairman and CEO,</w:t>
            </w:r>
          </w:p>
        </w:tc>
        <w:tc>
          <w:tcPr>
            <w:tcW w:w="780" w:type="dxa"/>
            <w:vAlign w:val="bottom"/>
            <w:vMerge w:val="restart"/>
            <w:shd w:val="clear" w:color="auto" w:fill="D8D8D8"/>
          </w:tcPr>
          <w:p>
            <w:pPr>
              <w:jc w:val="center"/>
              <w:ind w:right="172"/>
              <w:spacing w:after="0"/>
              <w:rPr>
                <w:sz w:val="20"/>
                <w:szCs w:val="20"/>
                <w:color w:val="auto"/>
              </w:rPr>
            </w:pPr>
            <w:r>
              <w:rPr>
                <w:rFonts w:ascii="Times New Roman" w:cs="Times New Roman" w:eastAsia="Times New Roman" w:hAnsi="Times New Roman"/>
                <w:sz w:val="13"/>
                <w:szCs w:val="13"/>
                <w:color w:val="0B2D71"/>
              </w:rPr>
              <w:t>●</w:t>
            </w:r>
          </w:p>
        </w:tc>
        <w:tc>
          <w:tcPr>
            <w:tcW w:w="860" w:type="dxa"/>
            <w:vAlign w:val="bottom"/>
            <w:vMerge w:val="restart"/>
            <w:shd w:val="clear" w:color="auto" w:fill="D8D8D8"/>
          </w:tcPr>
          <w:p>
            <w:pPr>
              <w:ind w:left="460"/>
              <w:spacing w:after="0"/>
              <w:rPr>
                <w:sz w:val="20"/>
                <w:szCs w:val="20"/>
                <w:color w:val="auto"/>
              </w:rPr>
            </w:pPr>
            <w:r>
              <w:rPr>
                <w:rFonts w:ascii="Arial" w:cs="Arial" w:eastAsia="Arial" w:hAnsi="Arial"/>
                <w:sz w:val="22"/>
                <w:szCs w:val="22"/>
                <w:b w:val="1"/>
                <w:bCs w:val="1"/>
                <w:color w:val="0B2D71"/>
              </w:rPr>
              <w:t>M</w:t>
            </w:r>
          </w:p>
        </w:tc>
        <w:tc>
          <w:tcPr>
            <w:tcW w:w="660" w:type="dxa"/>
            <w:vAlign w:val="bottom"/>
            <w:shd w:val="clear" w:color="auto" w:fill="D8D8D8"/>
          </w:tcPr>
          <w:p>
            <w:pPr>
              <w:spacing w:after="0"/>
              <w:rPr>
                <w:sz w:val="11"/>
                <w:szCs w:val="11"/>
                <w:color w:val="auto"/>
              </w:rPr>
            </w:pPr>
          </w:p>
        </w:tc>
        <w:tc>
          <w:tcPr>
            <w:tcW w:w="580" w:type="dxa"/>
            <w:vAlign w:val="bottom"/>
            <w:vMerge w:val="restart"/>
            <w:shd w:val="clear" w:color="auto" w:fill="D8D8D8"/>
          </w:tcPr>
          <w:p>
            <w:pPr>
              <w:ind w:left="220"/>
              <w:spacing w:after="0"/>
              <w:rPr>
                <w:sz w:val="20"/>
                <w:szCs w:val="20"/>
                <w:color w:val="auto"/>
              </w:rPr>
            </w:pPr>
            <w:r>
              <w:rPr>
                <w:rFonts w:ascii="Arial" w:cs="Arial" w:eastAsia="Arial" w:hAnsi="Arial"/>
                <w:sz w:val="22"/>
                <w:szCs w:val="22"/>
                <w:b w:val="1"/>
                <w:bCs w:val="1"/>
                <w:color w:val="0B2D71"/>
              </w:rPr>
              <w:t>M</w:t>
            </w:r>
          </w:p>
        </w:tc>
        <w:tc>
          <w:tcPr>
            <w:tcW w:w="2040" w:type="dxa"/>
            <w:vAlign w:val="bottom"/>
            <w:shd w:val="clear" w:color="auto" w:fill="D8D8D8"/>
          </w:tcPr>
          <w:p>
            <w:pPr>
              <w:ind w:left="160"/>
              <w:spacing w:after="0" w:line="136" w:lineRule="exact"/>
              <w:rPr>
                <w:sz w:val="20"/>
                <w:szCs w:val="20"/>
                <w:color w:val="auto"/>
              </w:rPr>
            </w:pPr>
            <w:r>
              <w:rPr>
                <w:rFonts w:ascii="Arial" w:cs="Arial" w:eastAsia="Arial" w:hAnsi="Arial"/>
                <w:sz w:val="13"/>
                <w:szCs w:val="13"/>
                <w:color w:val="auto"/>
              </w:rPr>
              <w:t>• Caterpillar Inc.</w:t>
            </w:r>
          </w:p>
        </w:tc>
        <w:tc>
          <w:tcPr>
            <w:tcW w:w="0" w:type="dxa"/>
            <w:vAlign w:val="bottom"/>
          </w:tcPr>
          <w:p>
            <w:pPr>
              <w:spacing w:after="0"/>
              <w:rPr>
                <w:sz w:val="1"/>
                <w:szCs w:val="1"/>
                <w:color w:val="auto"/>
              </w:rPr>
            </w:pPr>
          </w:p>
        </w:tc>
      </w:tr>
      <w:tr>
        <w:trPr>
          <w:trHeight w:val="175"/>
        </w:trPr>
        <w:tc>
          <w:tcPr>
            <w:tcW w:w="1120" w:type="dxa"/>
            <w:vAlign w:val="bottom"/>
            <w:shd w:val="clear" w:color="auto" w:fill="D8D8D8"/>
          </w:tcPr>
          <w:p>
            <w:pPr>
              <w:ind w:left="160"/>
              <w:spacing w:after="0"/>
              <w:rPr>
                <w:sz w:val="20"/>
                <w:szCs w:val="20"/>
                <w:color w:val="auto"/>
              </w:rPr>
            </w:pPr>
            <w:r>
              <w:rPr>
                <w:rFonts w:ascii="Arial" w:cs="Arial" w:eastAsia="Arial" w:hAnsi="Arial"/>
                <w:sz w:val="13"/>
                <w:szCs w:val="13"/>
                <w:color w:val="auto"/>
              </w:rPr>
              <w:t>Umpleby III</w:t>
            </w:r>
          </w:p>
        </w:tc>
        <w:tc>
          <w:tcPr>
            <w:tcW w:w="66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1000" w:type="dxa"/>
            <w:vAlign w:val="bottom"/>
            <w:shd w:val="clear" w:color="auto" w:fill="D8D8D8"/>
          </w:tcPr>
          <w:p>
            <w:pPr>
              <w:ind w:left="240"/>
              <w:spacing w:after="0"/>
              <w:rPr>
                <w:sz w:val="20"/>
                <w:szCs w:val="20"/>
                <w:color w:val="auto"/>
              </w:rPr>
            </w:pPr>
            <w:r>
              <w:rPr>
                <w:rFonts w:ascii="Arial" w:cs="Arial" w:eastAsia="Arial" w:hAnsi="Arial"/>
                <w:sz w:val="13"/>
                <w:szCs w:val="13"/>
                <w:color w:val="auto"/>
              </w:rPr>
              <w:t>Caucasian</w:t>
            </w:r>
          </w:p>
        </w:tc>
        <w:tc>
          <w:tcPr>
            <w:tcW w:w="560" w:type="dxa"/>
            <w:vAlign w:val="bottom"/>
            <w:shd w:val="clear" w:color="auto" w:fill="D8D8D8"/>
          </w:tcPr>
          <w:p>
            <w:pPr>
              <w:spacing w:after="0"/>
              <w:rPr>
                <w:sz w:val="15"/>
                <w:szCs w:val="15"/>
                <w:color w:val="auto"/>
              </w:rPr>
            </w:pPr>
          </w:p>
        </w:tc>
        <w:tc>
          <w:tcPr>
            <w:tcW w:w="2080" w:type="dxa"/>
            <w:vAlign w:val="bottom"/>
            <w:shd w:val="clear" w:color="auto" w:fill="D8D8D8"/>
          </w:tcPr>
          <w:p>
            <w:pPr>
              <w:ind w:left="180"/>
              <w:spacing w:after="0"/>
              <w:rPr>
                <w:sz w:val="20"/>
                <w:szCs w:val="20"/>
                <w:color w:val="auto"/>
              </w:rPr>
            </w:pPr>
            <w:r>
              <w:rPr>
                <w:rFonts w:ascii="Arial" w:cs="Arial" w:eastAsia="Arial" w:hAnsi="Arial"/>
                <w:sz w:val="13"/>
                <w:szCs w:val="13"/>
                <w:color w:val="auto"/>
              </w:rPr>
              <w:t>Caterpillar Inc.</w:t>
            </w:r>
          </w:p>
        </w:tc>
        <w:tc>
          <w:tcPr>
            <w:tcW w:w="780" w:type="dxa"/>
            <w:vAlign w:val="bottom"/>
            <w:vMerge w:val="continue"/>
            <w:shd w:val="clear" w:color="auto" w:fill="D8D8D8"/>
          </w:tcPr>
          <w:p>
            <w:pPr>
              <w:spacing w:after="0"/>
              <w:rPr>
                <w:sz w:val="15"/>
                <w:szCs w:val="15"/>
                <w:color w:val="auto"/>
              </w:rPr>
            </w:pPr>
          </w:p>
        </w:tc>
        <w:tc>
          <w:tcPr>
            <w:tcW w:w="860" w:type="dxa"/>
            <w:vAlign w:val="bottom"/>
            <w:vMerge w:val="continue"/>
            <w:shd w:val="clear" w:color="auto" w:fill="D8D8D8"/>
          </w:tcPr>
          <w:p>
            <w:pPr>
              <w:spacing w:after="0"/>
              <w:rPr>
                <w:sz w:val="15"/>
                <w:szCs w:val="15"/>
                <w:color w:val="auto"/>
              </w:rPr>
            </w:pPr>
          </w:p>
        </w:tc>
        <w:tc>
          <w:tcPr>
            <w:tcW w:w="660" w:type="dxa"/>
            <w:vAlign w:val="bottom"/>
            <w:shd w:val="clear" w:color="auto" w:fill="D8D8D8"/>
          </w:tcPr>
          <w:p>
            <w:pPr>
              <w:spacing w:after="0"/>
              <w:rPr>
                <w:sz w:val="15"/>
                <w:szCs w:val="15"/>
                <w:color w:val="auto"/>
              </w:rPr>
            </w:pPr>
          </w:p>
        </w:tc>
        <w:tc>
          <w:tcPr>
            <w:tcW w:w="580" w:type="dxa"/>
            <w:vAlign w:val="bottom"/>
            <w:vMerge w:val="continue"/>
            <w:shd w:val="clear" w:color="auto" w:fill="D8D8D8"/>
          </w:tcPr>
          <w:p>
            <w:pPr>
              <w:spacing w:after="0"/>
              <w:rPr>
                <w:sz w:val="15"/>
                <w:szCs w:val="15"/>
                <w:color w:val="auto"/>
              </w:rPr>
            </w:pPr>
          </w:p>
        </w:tc>
        <w:tc>
          <w:tcPr>
            <w:tcW w:w="204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120" w:type="dxa"/>
            <w:vAlign w:val="bottom"/>
          </w:tcPr>
          <w:p>
            <w:pPr>
              <w:ind w:left="160"/>
              <w:spacing w:after="0" w:line="136" w:lineRule="exact"/>
              <w:rPr>
                <w:sz w:val="20"/>
                <w:szCs w:val="20"/>
                <w:color w:val="auto"/>
              </w:rPr>
            </w:pPr>
            <w:r>
              <w:rPr>
                <w:rFonts w:ascii="Arial" w:cs="Arial" w:eastAsia="Arial" w:hAnsi="Arial"/>
                <w:sz w:val="13"/>
                <w:szCs w:val="13"/>
                <w:color w:val="auto"/>
              </w:rPr>
              <w:t>Michael K.</w:t>
            </w:r>
          </w:p>
        </w:tc>
        <w:tc>
          <w:tcPr>
            <w:tcW w:w="660" w:type="dxa"/>
            <w:vAlign w:val="bottom"/>
          </w:tcPr>
          <w:p>
            <w:pPr>
              <w:ind w:left="280"/>
              <w:spacing w:after="0" w:line="136" w:lineRule="exact"/>
              <w:rPr>
                <w:sz w:val="20"/>
                <w:szCs w:val="20"/>
                <w:color w:val="auto"/>
              </w:rPr>
            </w:pPr>
            <w:r>
              <w:rPr>
                <w:rFonts w:ascii="Arial" w:cs="Arial" w:eastAsia="Arial" w:hAnsi="Arial"/>
                <w:sz w:val="13"/>
                <w:szCs w:val="13"/>
                <w:color w:val="auto"/>
              </w:rPr>
              <w:t>M</w:t>
            </w:r>
          </w:p>
        </w:tc>
        <w:tc>
          <w:tcPr>
            <w:tcW w:w="640" w:type="dxa"/>
            <w:vAlign w:val="bottom"/>
          </w:tcPr>
          <w:p>
            <w:pPr>
              <w:jc w:val="right"/>
              <w:ind w:right="173"/>
              <w:spacing w:after="0" w:line="136" w:lineRule="exact"/>
              <w:rPr>
                <w:sz w:val="20"/>
                <w:szCs w:val="20"/>
                <w:color w:val="auto"/>
              </w:rPr>
            </w:pPr>
            <w:r>
              <w:rPr>
                <w:rFonts w:ascii="Arial" w:cs="Arial" w:eastAsia="Arial" w:hAnsi="Arial"/>
                <w:sz w:val="13"/>
                <w:szCs w:val="13"/>
                <w:color w:val="auto"/>
              </w:rPr>
              <w:t>61</w:t>
            </w:r>
          </w:p>
        </w:tc>
        <w:tc>
          <w:tcPr>
            <w:tcW w:w="1000" w:type="dxa"/>
            <w:vAlign w:val="bottom"/>
          </w:tcPr>
          <w:p>
            <w:pPr>
              <w:ind w:left="240"/>
              <w:spacing w:after="0" w:line="136" w:lineRule="exact"/>
              <w:rPr>
                <w:sz w:val="20"/>
                <w:szCs w:val="20"/>
                <w:color w:val="auto"/>
              </w:rPr>
            </w:pPr>
            <w:r>
              <w:rPr>
                <w:rFonts w:ascii="Arial" w:cs="Arial" w:eastAsia="Arial" w:hAnsi="Arial"/>
                <w:sz w:val="13"/>
                <w:szCs w:val="13"/>
                <w:color w:val="auto"/>
              </w:rPr>
              <w:t>White/</w:t>
            </w:r>
          </w:p>
        </w:tc>
        <w:tc>
          <w:tcPr>
            <w:tcW w:w="560" w:type="dxa"/>
            <w:vAlign w:val="bottom"/>
          </w:tcPr>
          <w:p>
            <w:pPr>
              <w:jc w:val="right"/>
              <w:ind w:right="93"/>
              <w:spacing w:after="0" w:line="136" w:lineRule="exact"/>
              <w:rPr>
                <w:sz w:val="20"/>
                <w:szCs w:val="20"/>
                <w:color w:val="auto"/>
              </w:rPr>
            </w:pPr>
            <w:r>
              <w:rPr>
                <w:rFonts w:ascii="Arial" w:cs="Arial" w:eastAsia="Arial" w:hAnsi="Arial"/>
                <w:sz w:val="13"/>
                <w:szCs w:val="13"/>
                <w:color w:val="auto"/>
              </w:rPr>
              <w:t>2017</w:t>
            </w:r>
          </w:p>
        </w:tc>
        <w:tc>
          <w:tcPr>
            <w:tcW w:w="2080" w:type="dxa"/>
            <w:vAlign w:val="bottom"/>
          </w:tcPr>
          <w:p>
            <w:pPr>
              <w:ind w:left="180"/>
              <w:spacing w:after="0" w:line="136" w:lineRule="exact"/>
              <w:rPr>
                <w:sz w:val="20"/>
                <w:szCs w:val="20"/>
                <w:color w:val="auto"/>
              </w:rPr>
            </w:pPr>
            <w:r>
              <w:rPr>
                <w:rFonts w:ascii="Arial" w:cs="Arial" w:eastAsia="Arial" w:hAnsi="Arial"/>
                <w:sz w:val="13"/>
                <w:szCs w:val="13"/>
                <w:color w:val="auto"/>
              </w:rPr>
              <w:t>Chairman and CEO,</w:t>
            </w: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40" w:type="dxa"/>
            <w:vAlign w:val="bottom"/>
          </w:tcPr>
          <w:p>
            <w:pPr>
              <w:ind w:left="160"/>
              <w:spacing w:after="0" w:line="136" w:lineRule="exact"/>
              <w:rPr>
                <w:sz w:val="20"/>
                <w:szCs w:val="20"/>
                <w:color w:val="auto"/>
              </w:rPr>
            </w:pPr>
            <w:r>
              <w:rPr>
                <w:rFonts w:ascii="Arial" w:cs="Arial" w:eastAsia="Arial" w:hAnsi="Arial"/>
                <w:sz w:val="13"/>
                <w:szCs w:val="13"/>
                <w:color w:val="auto"/>
              </w:rPr>
              <w:t>• None</w:t>
            </w:r>
          </w:p>
        </w:tc>
        <w:tc>
          <w:tcPr>
            <w:tcW w:w="0" w:type="dxa"/>
            <w:vAlign w:val="bottom"/>
          </w:tcPr>
          <w:p>
            <w:pPr>
              <w:spacing w:after="0"/>
              <w:rPr>
                <w:sz w:val="1"/>
                <w:szCs w:val="1"/>
                <w:color w:val="auto"/>
              </w:rPr>
            </w:pPr>
          </w:p>
        </w:tc>
      </w:tr>
      <w:tr>
        <w:trPr>
          <w:trHeight w:val="176"/>
        </w:trPr>
        <w:tc>
          <w:tcPr>
            <w:tcW w:w="1120" w:type="dxa"/>
            <w:vAlign w:val="bottom"/>
          </w:tcPr>
          <w:p>
            <w:pPr>
              <w:ind w:left="160"/>
              <w:spacing w:after="0"/>
              <w:rPr>
                <w:sz w:val="20"/>
                <w:szCs w:val="20"/>
                <w:color w:val="auto"/>
              </w:rPr>
            </w:pPr>
            <w:r>
              <w:rPr>
                <w:rFonts w:ascii="Arial" w:cs="Arial" w:eastAsia="Arial" w:hAnsi="Arial"/>
                <w:sz w:val="13"/>
                <w:szCs w:val="13"/>
                <w:color w:val="auto"/>
              </w:rPr>
              <w:t>Wirth</w:t>
            </w: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ind w:left="240"/>
              <w:spacing w:after="0"/>
              <w:rPr>
                <w:sz w:val="20"/>
                <w:szCs w:val="20"/>
                <w:color w:val="auto"/>
              </w:rPr>
            </w:pPr>
            <w:r>
              <w:rPr>
                <w:rFonts w:ascii="Arial" w:cs="Arial" w:eastAsia="Arial" w:hAnsi="Arial"/>
                <w:sz w:val="13"/>
                <w:szCs w:val="13"/>
                <w:color w:val="auto"/>
              </w:rPr>
              <w:t>Caucasian</w:t>
            </w:r>
          </w:p>
        </w:tc>
        <w:tc>
          <w:tcPr>
            <w:tcW w:w="560" w:type="dxa"/>
            <w:vAlign w:val="bottom"/>
          </w:tcPr>
          <w:p>
            <w:pPr>
              <w:spacing w:after="0"/>
              <w:rPr>
                <w:sz w:val="15"/>
                <w:szCs w:val="15"/>
                <w:color w:val="auto"/>
              </w:rPr>
            </w:pPr>
          </w:p>
        </w:tc>
        <w:tc>
          <w:tcPr>
            <w:tcW w:w="2080" w:type="dxa"/>
            <w:vAlign w:val="bottom"/>
          </w:tcPr>
          <w:p>
            <w:pPr>
              <w:ind w:left="180"/>
              <w:spacing w:after="0"/>
              <w:rPr>
                <w:sz w:val="20"/>
                <w:szCs w:val="20"/>
                <w:color w:val="auto"/>
              </w:rPr>
            </w:pPr>
            <w:r>
              <w:rPr>
                <w:rFonts w:ascii="Arial" w:cs="Arial" w:eastAsia="Arial" w:hAnsi="Arial"/>
                <w:sz w:val="13"/>
                <w:szCs w:val="13"/>
                <w:color w:val="auto"/>
              </w:rPr>
              <w:t>Chevron Corporation</w:t>
            </w: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sectPr>
          <w:pgSz w:w="11900" w:h="16838" w:orient="portrait"/>
          <w:cols w:equalWidth="0" w:num="1">
            <w:col w:w="11100"/>
          </w:cols>
          <w:pgMar w:left="320" w:top="455" w:right="479" w:bottom="1440" w:gutter="0" w:footer="0" w:header="0"/>
          <w:type w:val="continuous"/>
        </w:sectPr>
      </w:pPr>
    </w:p>
    <w:p>
      <w:pPr>
        <w:ind w:left="440" w:hanging="324"/>
        <w:spacing w:after="0"/>
        <w:tabs>
          <w:tab w:leader="none" w:pos="4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As of April 7, 2022.</w:t>
      </w:r>
    </w:p>
    <w:p>
      <w:pPr>
        <w:spacing w:after="0" w:line="82" w:lineRule="exact"/>
        <w:rPr>
          <w:rFonts w:ascii="Arial" w:cs="Arial" w:eastAsia="Arial" w:hAnsi="Arial"/>
          <w:sz w:val="14"/>
          <w:szCs w:val="14"/>
          <w:color w:val="auto"/>
        </w:rPr>
      </w:pPr>
    </w:p>
    <w:p>
      <w:pPr>
        <w:ind w:left="440" w:hanging="324"/>
        <w:spacing w:after="0" w:line="285" w:lineRule="auto"/>
        <w:tabs>
          <w:tab w:leader="none" w:pos="4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Independent in accordance with the NYSE Corporate Governance Standards. No material relationship exists with Chevron other than as a Director.</w:t>
      </w:r>
    </w:p>
    <w:p>
      <w:pPr>
        <w:spacing w:after="0" w:line="22" w:lineRule="exact"/>
        <w:rPr>
          <w:rFonts w:ascii="Arial" w:cs="Arial" w:eastAsia="Arial" w:hAnsi="Arial"/>
          <w:sz w:val="14"/>
          <w:szCs w:val="14"/>
          <w:color w:val="auto"/>
        </w:rPr>
      </w:pPr>
    </w:p>
    <w:p>
      <w:pPr>
        <w:ind w:left="440" w:hanging="324"/>
        <w:spacing w:after="0"/>
        <w:tabs>
          <w:tab w:leader="none" w:pos="4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Audit Committee</w:t>
      </w:r>
    </w:p>
    <w:p>
      <w:pPr>
        <w:spacing w:after="0" w:line="82" w:lineRule="exact"/>
        <w:rPr>
          <w:rFonts w:ascii="Arial" w:cs="Arial" w:eastAsia="Arial" w:hAnsi="Arial"/>
          <w:sz w:val="14"/>
          <w:szCs w:val="14"/>
          <w:color w:val="auto"/>
        </w:rPr>
      </w:pPr>
    </w:p>
    <w:p>
      <w:pPr>
        <w:ind w:left="440" w:hanging="324"/>
        <w:spacing w:after="0"/>
        <w:tabs>
          <w:tab w:leader="none" w:pos="4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Board Nominating and Governance Committee</w:t>
      </w:r>
    </w:p>
    <w:p>
      <w:pPr>
        <w:spacing w:after="0" w:line="82" w:lineRule="exact"/>
        <w:rPr>
          <w:rFonts w:ascii="Arial" w:cs="Arial" w:eastAsia="Arial" w:hAnsi="Arial"/>
          <w:sz w:val="14"/>
          <w:szCs w:val="14"/>
          <w:color w:val="auto"/>
        </w:rPr>
      </w:pPr>
    </w:p>
    <w:p>
      <w:pPr>
        <w:ind w:left="440" w:hanging="324"/>
        <w:spacing w:after="0"/>
        <w:tabs>
          <w:tab w:leader="none" w:pos="4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Management Compensation Committee</w:t>
      </w:r>
    </w:p>
    <w:p>
      <w:pPr>
        <w:spacing w:after="0" w:line="82" w:lineRule="exact"/>
        <w:rPr>
          <w:rFonts w:ascii="Arial" w:cs="Arial" w:eastAsia="Arial" w:hAnsi="Arial"/>
          <w:sz w:val="14"/>
          <w:szCs w:val="14"/>
          <w:color w:val="auto"/>
        </w:rPr>
      </w:pPr>
    </w:p>
    <w:p>
      <w:pPr>
        <w:ind w:left="440" w:hanging="324"/>
        <w:spacing w:after="0"/>
        <w:tabs>
          <w:tab w:leader="none" w:pos="4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Public Policy and Sustainability Committee</w:t>
      </w:r>
    </w:p>
    <w:p>
      <w:pPr>
        <w:spacing w:after="0" w:line="82" w:lineRule="exact"/>
        <w:rPr>
          <w:rFonts w:ascii="Arial" w:cs="Arial" w:eastAsia="Arial" w:hAnsi="Arial"/>
          <w:sz w:val="14"/>
          <w:szCs w:val="14"/>
          <w:color w:val="auto"/>
        </w:rPr>
      </w:pPr>
    </w:p>
    <w:p>
      <w:pPr>
        <w:ind w:left="440" w:right="260" w:hanging="324"/>
        <w:spacing w:after="0" w:line="285" w:lineRule="auto"/>
        <w:tabs>
          <w:tab w:leader="none" w:pos="4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Previously served as a Director of the Company from January 15, 2014 to September 28, 2017.</w:t>
      </w:r>
    </w:p>
    <w:p>
      <w:pPr>
        <w:spacing w:after="0" w:line="20" w:lineRule="exact"/>
        <w:rPr>
          <w:sz w:val="20"/>
          <w:szCs w:val="20"/>
          <w:color w:val="auto"/>
        </w:rPr>
      </w:pPr>
      <w:r>
        <w:rPr>
          <w:sz w:val="20"/>
          <w:szCs w:val="20"/>
          <w:color w:val="auto"/>
        </w:rPr>
        <w:br w:type="column"/>
      </w:r>
    </w:p>
    <w:p>
      <w:pPr>
        <w:ind w:left="9" w:right="2500" w:hanging="9"/>
        <w:spacing w:after="0" w:line="259" w:lineRule="auto"/>
        <w:tabs>
          <w:tab w:leader="none" w:pos="324" w:val="left"/>
        </w:tabs>
        <w:numPr>
          <w:ilvl w:val="0"/>
          <w:numId w:val="20"/>
        </w:numPr>
        <w:rPr>
          <w:rFonts w:ascii="Arial" w:cs="Arial" w:eastAsia="Arial" w:hAnsi="Arial"/>
          <w:sz w:val="17"/>
          <w:szCs w:val="17"/>
          <w:b w:val="1"/>
          <w:bCs w:val="1"/>
          <w:color w:val="0B2D71"/>
        </w:rPr>
      </w:pPr>
      <w:r>
        <w:rPr>
          <w:rFonts w:ascii="Arial" w:cs="Arial" w:eastAsia="Arial" w:hAnsi="Arial"/>
          <w:sz w:val="17"/>
          <w:szCs w:val="17"/>
          <w:b w:val="1"/>
          <w:bCs w:val="1"/>
          <w:color w:val="0B2D71"/>
        </w:rPr>
        <w:t>Lead Director (independent) C Committee Chair</w:t>
      </w:r>
    </w:p>
    <w:p>
      <w:pPr>
        <w:spacing w:after="0" w:line="1" w:lineRule="exact"/>
        <w:rPr>
          <w:rFonts w:ascii="Arial" w:cs="Arial" w:eastAsia="Arial" w:hAnsi="Arial"/>
          <w:sz w:val="17"/>
          <w:szCs w:val="17"/>
          <w:b w:val="1"/>
          <w:bCs w:val="1"/>
          <w:color w:val="0B2D71"/>
        </w:rPr>
      </w:pPr>
    </w:p>
    <w:p>
      <w:pPr>
        <w:ind w:left="9"/>
        <w:spacing w:after="0"/>
        <w:rPr>
          <w:rFonts w:ascii="Arial" w:cs="Arial" w:eastAsia="Arial" w:hAnsi="Arial"/>
          <w:sz w:val="17"/>
          <w:szCs w:val="17"/>
          <w:b w:val="1"/>
          <w:bCs w:val="1"/>
          <w:color w:val="0B2D71"/>
        </w:rPr>
      </w:pPr>
      <w:r>
        <w:rPr>
          <w:rFonts w:ascii="Arial" w:cs="Arial" w:eastAsia="Arial" w:hAnsi="Arial"/>
          <w:sz w:val="18"/>
          <w:szCs w:val="18"/>
          <w:b w:val="1"/>
          <w:bCs w:val="1"/>
          <w:color w:val="0B2D71"/>
        </w:rPr>
        <w:t>M  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-396240</wp:posOffset>
            </wp:positionV>
            <wp:extent cx="2400300" cy="4032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00300" cy="403225"/>
                    </a:xfrm>
                    <a:prstGeom prst="rect">
                      <a:avLst/>
                    </a:prstGeom>
                    <a:noFill/>
                  </pic:spPr>
                </pic:pic>
              </a:graphicData>
            </a:graphic>
          </wp:anchor>
        </w:drawing>
      </w:r>
    </w:p>
    <w:p>
      <w:pPr>
        <w:spacing w:after="0" w:line="1568" w:lineRule="exact"/>
        <w:rPr>
          <w:sz w:val="20"/>
          <w:szCs w:val="20"/>
          <w:color w:val="auto"/>
        </w:rPr>
      </w:pPr>
    </w:p>
    <w:p>
      <w:pPr>
        <w:sectPr>
          <w:pgSz w:w="11900" w:h="16838" w:orient="portrait"/>
          <w:cols w:equalWidth="0" w:num="2">
            <w:col w:w="5380" w:space="511"/>
            <w:col w:w="5209"/>
          </w:cols>
          <w:pgMar w:left="320" w:top="455" w:right="479" w:bottom="1440" w:gutter="0" w:footer="0" w:header="0"/>
          <w:type w:val="continuous"/>
        </w:sectPr>
      </w:pP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0B2D71"/>
        </w:rPr>
        <w:t>Your Board recommends that you vote for each of these Director nominees.</w:t>
      </w:r>
    </w:p>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100"/>
          </w:cols>
          <w:pgMar w:left="320" w:top="455" w:right="47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26873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68730" cy="145415"/>
                    </a:xfrm>
                    <a:prstGeom prst="rect">
                      <a:avLst/>
                    </a:prstGeom>
                    <a:noFill/>
                  </pic:spPr>
                </pic:pic>
              </a:graphicData>
            </a:graphic>
          </wp:anchor>
        </w:drawing>
      </w:r>
    </w:p>
    <w:p>
      <w:pPr>
        <w:spacing w:after="0" w:line="33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FFFFFF"/>
        </w:rPr>
        <w:t>Election of directors</w:t>
      </w:r>
    </w:p>
    <w:p>
      <w:pPr>
        <w:spacing w:after="0" w:line="171" w:lineRule="exact"/>
        <w:rPr>
          <w:sz w:val="20"/>
          <w:szCs w:val="20"/>
          <w:color w:val="auto"/>
        </w:rPr>
      </w:pPr>
    </w:p>
    <w:tbl>
      <w:tblPr>
        <w:tblLayout w:type="fixed"/>
        <w:tblInd w:w="3100" w:type="dxa"/>
        <w:tblCellMar>
          <w:top w:w="0" w:type="dxa"/>
          <w:left w:w="0" w:type="dxa"/>
          <w:bottom w:w="0" w:type="dxa"/>
          <w:right w:w="0" w:type="dxa"/>
        </w:tblCellMar>
      </w:tblPr>
      <w:tr>
        <w:trPr>
          <w:trHeight w:val="253"/>
        </w:trPr>
        <w:tc>
          <w:tcPr>
            <w:tcW w:w="3440" w:type="dxa"/>
            <w:vAlign w:val="bottom"/>
            <w:gridSpan w:val="2"/>
            <w:shd w:val="clear" w:color="auto" w:fill="D8D8D8"/>
          </w:tcPr>
          <w:p>
            <w:pPr>
              <w:ind w:left="100"/>
              <w:spacing w:after="0"/>
              <w:rPr>
                <w:sz w:val="20"/>
                <w:szCs w:val="20"/>
                <w:color w:val="auto"/>
              </w:rPr>
            </w:pPr>
            <w:r>
              <w:rPr>
                <w:rFonts w:ascii="Arial" w:cs="Arial" w:eastAsia="Arial" w:hAnsi="Arial"/>
                <w:sz w:val="22"/>
                <w:szCs w:val="22"/>
                <w:b w:val="1"/>
                <w:bCs w:val="1"/>
                <w:color w:val="0B2D71"/>
              </w:rPr>
              <w:t>Wanda M. Austin</w:t>
            </w:r>
          </w:p>
        </w:tc>
        <w:tc>
          <w:tcPr>
            <w:tcW w:w="900" w:type="dxa"/>
            <w:vAlign w:val="bottom"/>
            <w:shd w:val="clear" w:color="auto" w:fill="D8D8D8"/>
          </w:tcPr>
          <w:p>
            <w:pPr>
              <w:spacing w:after="0"/>
              <w:rPr>
                <w:sz w:val="21"/>
                <w:szCs w:val="21"/>
                <w:color w:val="auto"/>
              </w:rPr>
            </w:pPr>
          </w:p>
        </w:tc>
        <w:tc>
          <w:tcPr>
            <w:tcW w:w="3700" w:type="dxa"/>
            <w:vAlign w:val="bottom"/>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440" w:type="dxa"/>
            <w:vAlign w:val="bottom"/>
            <w:gridSpan w:val="2"/>
            <w:shd w:val="clear" w:color="auto" w:fill="D8D8D8"/>
          </w:tcPr>
          <w:p>
            <w:pPr>
              <w:ind w:left="100"/>
              <w:spacing w:after="0" w:line="135" w:lineRule="exact"/>
              <w:rPr>
                <w:sz w:val="20"/>
                <w:szCs w:val="20"/>
                <w:color w:val="auto"/>
              </w:rPr>
            </w:pPr>
            <w:r>
              <w:rPr>
                <w:rFonts w:ascii="Arial" w:cs="Arial" w:eastAsia="Arial" w:hAnsi="Arial"/>
                <w:sz w:val="13"/>
                <w:szCs w:val="13"/>
                <w:b w:val="1"/>
                <w:bCs w:val="1"/>
                <w:color w:val="auto"/>
              </w:rPr>
              <w:t>Retired President and Chief Executive</w:t>
            </w:r>
          </w:p>
        </w:tc>
        <w:tc>
          <w:tcPr>
            <w:tcW w:w="4600" w:type="dxa"/>
            <w:vAlign w:val="bottom"/>
            <w:gridSpan w:val="2"/>
            <w:vMerge w:val="restart"/>
            <w:shd w:val="clear" w:color="auto" w:fill="D8D8D8"/>
          </w:tcPr>
          <w:p>
            <w:pPr>
              <w:ind w:left="800"/>
              <w:spacing w:after="0"/>
              <w:rPr>
                <w:sz w:val="20"/>
                <w:szCs w:val="20"/>
                <w:color w:val="auto"/>
              </w:rPr>
            </w:pPr>
            <w:r>
              <w:rPr>
                <w:rFonts w:ascii="Arial" w:cs="Arial" w:eastAsia="Arial" w:hAnsi="Arial"/>
                <w:sz w:val="13"/>
                <w:szCs w:val="13"/>
                <w:b w:val="1"/>
                <w:bCs w:val="1"/>
                <w:color w:val="auto"/>
              </w:rPr>
              <w:t>Prior Public Company Directorships</w:t>
            </w:r>
          </w:p>
        </w:tc>
        <w:tc>
          <w:tcPr>
            <w:tcW w:w="0" w:type="dxa"/>
            <w:vAlign w:val="bottom"/>
          </w:tcPr>
          <w:p>
            <w:pPr>
              <w:spacing w:after="0"/>
              <w:rPr>
                <w:sz w:val="1"/>
                <w:szCs w:val="1"/>
                <w:color w:val="auto"/>
              </w:rPr>
            </w:pPr>
          </w:p>
        </w:tc>
      </w:tr>
      <w:tr>
        <w:trPr>
          <w:trHeight w:val="54"/>
        </w:trPr>
        <w:tc>
          <w:tcPr>
            <w:tcW w:w="3440" w:type="dxa"/>
            <w:vAlign w:val="bottom"/>
            <w:gridSpan w:val="2"/>
            <w:vMerge w:val="restart"/>
            <w:shd w:val="clear" w:color="auto" w:fill="D8D8D8"/>
          </w:tcPr>
          <w:p>
            <w:pPr>
              <w:ind w:left="100"/>
              <w:spacing w:after="0"/>
              <w:rPr>
                <w:sz w:val="20"/>
                <w:szCs w:val="20"/>
                <w:color w:val="auto"/>
              </w:rPr>
            </w:pPr>
            <w:r>
              <w:rPr>
                <w:rFonts w:ascii="Arial" w:cs="Arial" w:eastAsia="Arial" w:hAnsi="Arial"/>
                <w:sz w:val="13"/>
                <w:szCs w:val="13"/>
                <w:b w:val="1"/>
                <w:bCs w:val="1"/>
                <w:color w:val="auto"/>
              </w:rPr>
              <w:t>Officer, The Aerospace Corporation</w:t>
            </w:r>
          </w:p>
        </w:tc>
        <w:tc>
          <w:tcPr>
            <w:tcW w:w="4600" w:type="dxa"/>
            <w:vAlign w:val="bottom"/>
            <w:gridSpan w:val="2"/>
            <w:vMerge w:val="continue"/>
            <w:shd w:val="clear" w:color="auto" w:fill="D8D8D8"/>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440" w:type="dxa"/>
            <w:vAlign w:val="bottom"/>
            <w:gridSpan w:val="2"/>
            <w:vMerge w:val="continue"/>
            <w:shd w:val="clear" w:color="auto" w:fill="D8D8D8"/>
          </w:tcPr>
          <w:p>
            <w:pPr>
              <w:spacing w:after="0"/>
              <w:rPr>
                <w:sz w:val="11"/>
                <w:szCs w:val="11"/>
                <w:color w:val="auto"/>
              </w:rPr>
            </w:pPr>
          </w:p>
        </w:tc>
        <w:tc>
          <w:tcPr>
            <w:tcW w:w="4600" w:type="dxa"/>
            <w:vAlign w:val="bottom"/>
            <w:gridSpan w:val="2"/>
            <w:shd w:val="clear" w:color="auto" w:fill="D8D8D8"/>
          </w:tcPr>
          <w:p>
            <w:pPr>
              <w:ind w:left="800"/>
              <w:spacing w:after="0" w:line="135" w:lineRule="exact"/>
              <w:rPr>
                <w:sz w:val="20"/>
                <w:szCs w:val="20"/>
                <w:color w:val="auto"/>
              </w:rPr>
            </w:pPr>
            <w:r>
              <w:rPr>
                <w:rFonts w:ascii="Arial" w:cs="Arial" w:eastAsia="Arial" w:hAnsi="Arial"/>
                <w:sz w:val="13"/>
                <w:szCs w:val="13"/>
                <w:color w:val="auto"/>
              </w:rPr>
              <w:t>(within last five years):</w:t>
            </w:r>
          </w:p>
        </w:tc>
        <w:tc>
          <w:tcPr>
            <w:tcW w:w="0" w:type="dxa"/>
            <w:vAlign w:val="bottom"/>
          </w:tcPr>
          <w:p>
            <w:pPr>
              <w:spacing w:after="0"/>
              <w:rPr>
                <w:sz w:val="1"/>
                <w:szCs w:val="1"/>
                <w:color w:val="auto"/>
              </w:rPr>
            </w:pPr>
          </w:p>
        </w:tc>
      </w:tr>
      <w:tr>
        <w:trPr>
          <w:trHeight w:val="162"/>
        </w:trPr>
        <w:tc>
          <w:tcPr>
            <w:tcW w:w="3440" w:type="dxa"/>
            <w:vAlign w:val="bottom"/>
            <w:gridSpan w:val="2"/>
            <w:shd w:val="clear" w:color="auto" w:fill="D8D8D8"/>
          </w:tcPr>
          <w:p>
            <w:pPr>
              <w:ind w:left="10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67</w:t>
            </w:r>
          </w:p>
        </w:tc>
        <w:tc>
          <w:tcPr>
            <w:tcW w:w="900" w:type="dxa"/>
            <w:vAlign w:val="bottom"/>
            <w:shd w:val="clear" w:color="auto" w:fill="D8D8D8"/>
          </w:tcPr>
          <w:p>
            <w:pPr>
              <w:ind w:left="800"/>
              <w:spacing w:after="0"/>
              <w:rPr>
                <w:sz w:val="20"/>
                <w:szCs w:val="20"/>
                <w:color w:val="auto"/>
              </w:rPr>
            </w:pPr>
            <w:r>
              <w:rPr>
                <w:rFonts w:ascii="Arial" w:cs="Arial" w:eastAsia="Arial" w:hAnsi="Arial"/>
                <w:sz w:val="13"/>
                <w:szCs w:val="13"/>
                <w:color w:val="auto"/>
              </w:rPr>
              <w:t>•</w:t>
            </w:r>
          </w:p>
        </w:tc>
        <w:tc>
          <w:tcPr>
            <w:tcW w:w="3700" w:type="dxa"/>
            <w:vAlign w:val="bottom"/>
            <w:shd w:val="clear" w:color="auto" w:fill="D8D8D8"/>
          </w:tcPr>
          <w:p>
            <w:pPr>
              <w:ind w:left="60"/>
              <w:spacing w:after="0"/>
              <w:rPr>
                <w:sz w:val="20"/>
                <w:szCs w:val="20"/>
                <w:color w:val="auto"/>
              </w:rPr>
            </w:pPr>
            <w:r>
              <w:rPr>
                <w:rFonts w:ascii="Arial" w:cs="Arial" w:eastAsia="Arial" w:hAnsi="Arial"/>
                <w:sz w:val="13"/>
                <w:szCs w:val="13"/>
                <w:color w:val="auto"/>
              </w:rPr>
              <w:t>None</w:t>
            </w:r>
          </w:p>
        </w:tc>
        <w:tc>
          <w:tcPr>
            <w:tcW w:w="0" w:type="dxa"/>
            <w:vAlign w:val="bottom"/>
          </w:tcPr>
          <w:p>
            <w:pPr>
              <w:spacing w:after="0"/>
              <w:rPr>
                <w:sz w:val="1"/>
                <w:szCs w:val="1"/>
                <w:color w:val="auto"/>
              </w:rPr>
            </w:pPr>
          </w:p>
        </w:tc>
      </w:tr>
      <w:tr>
        <w:trPr>
          <w:trHeight w:val="135"/>
        </w:trPr>
        <w:tc>
          <w:tcPr>
            <w:tcW w:w="3440" w:type="dxa"/>
            <w:vAlign w:val="bottom"/>
            <w:gridSpan w:val="2"/>
            <w:shd w:val="clear" w:color="auto" w:fill="D8D8D8"/>
          </w:tcPr>
          <w:p>
            <w:pPr>
              <w:ind w:left="100"/>
              <w:spacing w:after="0" w:line="135" w:lineRule="exact"/>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December 2016</w:t>
            </w:r>
          </w:p>
        </w:tc>
        <w:tc>
          <w:tcPr>
            <w:tcW w:w="4600" w:type="dxa"/>
            <w:vAlign w:val="bottom"/>
            <w:gridSpan w:val="2"/>
            <w:vMerge w:val="restart"/>
            <w:shd w:val="clear" w:color="auto" w:fill="D8D8D8"/>
          </w:tcPr>
          <w:p>
            <w:pPr>
              <w:ind w:left="800"/>
              <w:spacing w:after="0"/>
              <w:rPr>
                <w:sz w:val="20"/>
                <w:szCs w:val="20"/>
                <w:color w:val="auto"/>
              </w:rPr>
            </w:pPr>
            <w:r>
              <w:rPr>
                <w:rFonts w:ascii="Arial" w:cs="Arial" w:eastAsia="Arial" w:hAnsi="Arial"/>
                <w:sz w:val="13"/>
                <w:szCs w:val="13"/>
                <w:b w:val="1"/>
                <w:bCs w:val="1"/>
                <w:color w:val="auto"/>
              </w:rPr>
              <w:t>Other Directorships and Memberships:</w:t>
            </w:r>
          </w:p>
        </w:tc>
        <w:tc>
          <w:tcPr>
            <w:tcW w:w="0" w:type="dxa"/>
            <w:vAlign w:val="bottom"/>
          </w:tcPr>
          <w:p>
            <w:pPr>
              <w:spacing w:after="0"/>
              <w:rPr>
                <w:sz w:val="1"/>
                <w:szCs w:val="1"/>
                <w:color w:val="auto"/>
              </w:rPr>
            </w:pPr>
          </w:p>
        </w:tc>
      </w:tr>
      <w:tr>
        <w:trPr>
          <w:trHeight w:val="54"/>
        </w:trPr>
        <w:tc>
          <w:tcPr>
            <w:tcW w:w="3440" w:type="dxa"/>
            <w:vAlign w:val="bottom"/>
            <w:gridSpan w:val="2"/>
            <w:vMerge w:val="restart"/>
            <w:shd w:val="clear" w:color="auto" w:fill="D8D8D8"/>
          </w:tcPr>
          <w:p>
            <w:pPr>
              <w:ind w:left="100"/>
              <w:spacing w:after="0"/>
              <w:rPr>
                <w:sz w:val="20"/>
                <w:szCs w:val="20"/>
                <w:color w:val="auto"/>
              </w:rPr>
            </w:pPr>
            <w:r>
              <w:rPr>
                <w:rFonts w:ascii="Arial" w:cs="Arial" w:eastAsia="Arial" w:hAnsi="Arial"/>
                <w:sz w:val="13"/>
                <w:szCs w:val="13"/>
                <w:b w:val="1"/>
                <w:bCs w:val="1"/>
                <w:color w:val="auto"/>
              </w:rPr>
              <w:t xml:space="preserve">Independent: </w:t>
            </w:r>
            <w:r>
              <w:rPr>
                <w:rFonts w:ascii="Arial" w:cs="Arial" w:eastAsia="Arial" w:hAnsi="Arial"/>
                <w:sz w:val="13"/>
                <w:szCs w:val="13"/>
                <w:color w:val="auto"/>
              </w:rPr>
              <w:t>Yes</w:t>
            </w:r>
          </w:p>
        </w:tc>
        <w:tc>
          <w:tcPr>
            <w:tcW w:w="4600" w:type="dxa"/>
            <w:vAlign w:val="bottom"/>
            <w:gridSpan w:val="2"/>
            <w:vMerge w:val="continue"/>
            <w:shd w:val="clear" w:color="auto" w:fill="D8D8D8"/>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440" w:type="dxa"/>
            <w:vAlign w:val="bottom"/>
            <w:gridSpan w:val="2"/>
            <w:vMerge w:val="continue"/>
            <w:shd w:val="clear" w:color="auto" w:fill="D8D8D8"/>
          </w:tcPr>
          <w:p>
            <w:pPr>
              <w:spacing w:after="0"/>
              <w:rPr>
                <w:sz w:val="11"/>
                <w:szCs w:val="11"/>
                <w:color w:val="auto"/>
              </w:rPr>
            </w:pPr>
          </w:p>
        </w:tc>
        <w:tc>
          <w:tcPr>
            <w:tcW w:w="900" w:type="dxa"/>
            <w:vAlign w:val="bottom"/>
            <w:shd w:val="clear" w:color="auto" w:fill="D8D8D8"/>
          </w:tcPr>
          <w:p>
            <w:pPr>
              <w:ind w:left="800"/>
              <w:spacing w:after="0" w:line="135" w:lineRule="exact"/>
              <w:rPr>
                <w:sz w:val="20"/>
                <w:szCs w:val="20"/>
                <w:color w:val="auto"/>
              </w:rPr>
            </w:pPr>
            <w:r>
              <w:rPr>
                <w:rFonts w:ascii="Arial" w:cs="Arial" w:eastAsia="Arial" w:hAnsi="Arial"/>
                <w:sz w:val="13"/>
                <w:szCs w:val="13"/>
                <w:color w:val="auto"/>
              </w:rPr>
              <w:t>•</w:t>
            </w:r>
          </w:p>
        </w:tc>
        <w:tc>
          <w:tcPr>
            <w:tcW w:w="3700" w:type="dxa"/>
            <w:vAlign w:val="bottom"/>
            <w:shd w:val="clear" w:color="auto" w:fill="D8D8D8"/>
          </w:tcPr>
          <w:p>
            <w:pPr>
              <w:ind w:left="60"/>
              <w:spacing w:after="0" w:line="135" w:lineRule="exact"/>
              <w:rPr>
                <w:sz w:val="20"/>
                <w:szCs w:val="20"/>
                <w:color w:val="auto"/>
              </w:rPr>
            </w:pPr>
            <w:r>
              <w:rPr>
                <w:rFonts w:ascii="Arial" w:cs="Arial" w:eastAsia="Arial" w:hAnsi="Arial"/>
                <w:sz w:val="13"/>
                <w:szCs w:val="13"/>
                <w:color w:val="auto"/>
              </w:rPr>
              <w:t>Horatio Alger Association</w:t>
            </w:r>
          </w:p>
        </w:tc>
        <w:tc>
          <w:tcPr>
            <w:tcW w:w="0" w:type="dxa"/>
            <w:vAlign w:val="bottom"/>
          </w:tcPr>
          <w:p>
            <w:pPr>
              <w:spacing w:after="0"/>
              <w:rPr>
                <w:sz w:val="1"/>
                <w:szCs w:val="1"/>
                <w:color w:val="auto"/>
              </w:rPr>
            </w:pPr>
          </w:p>
        </w:tc>
      </w:tr>
      <w:tr>
        <w:trPr>
          <w:trHeight w:val="153"/>
        </w:trPr>
        <w:tc>
          <w:tcPr>
            <w:tcW w:w="3440" w:type="dxa"/>
            <w:vAlign w:val="bottom"/>
            <w:gridSpan w:val="2"/>
            <w:shd w:val="clear" w:color="auto" w:fill="D8D8D8"/>
          </w:tcPr>
          <w:p>
            <w:pPr>
              <w:ind w:left="100"/>
              <w:spacing w:after="0"/>
              <w:rPr>
                <w:sz w:val="20"/>
                <w:szCs w:val="20"/>
                <w:color w:val="auto"/>
              </w:rPr>
            </w:pPr>
            <w:r>
              <w:rPr>
                <w:rFonts w:ascii="Arial" w:cs="Arial" w:eastAsia="Arial" w:hAnsi="Arial"/>
                <w:sz w:val="13"/>
                <w:szCs w:val="13"/>
                <w:b w:val="1"/>
                <w:bCs w:val="1"/>
                <w:color w:val="auto"/>
              </w:rPr>
              <w:t>Chevron Committees:</w:t>
            </w:r>
          </w:p>
        </w:tc>
        <w:tc>
          <w:tcPr>
            <w:tcW w:w="4600" w:type="dxa"/>
            <w:vAlign w:val="bottom"/>
            <w:gridSpan w:val="2"/>
            <w:shd w:val="clear" w:color="auto" w:fill="D8D8D8"/>
          </w:tcPr>
          <w:p>
            <w:pPr>
              <w:ind w:left="800"/>
              <w:spacing w:after="0"/>
              <w:rPr>
                <w:sz w:val="20"/>
                <w:szCs w:val="20"/>
                <w:color w:val="auto"/>
              </w:rPr>
            </w:pPr>
            <w:r>
              <w:rPr>
                <w:rFonts w:ascii="Arial" w:cs="Arial" w:eastAsia="Arial" w:hAnsi="Arial"/>
                <w:sz w:val="13"/>
                <w:szCs w:val="13"/>
                <w:color w:val="auto"/>
              </w:rPr>
              <w:t>•  National Academy of Engineering</w:t>
            </w:r>
          </w:p>
        </w:tc>
        <w:tc>
          <w:tcPr>
            <w:tcW w:w="0" w:type="dxa"/>
            <w:vAlign w:val="bottom"/>
          </w:tcPr>
          <w:p>
            <w:pPr>
              <w:spacing w:after="0"/>
              <w:rPr>
                <w:sz w:val="1"/>
                <w:szCs w:val="1"/>
                <w:color w:val="auto"/>
              </w:rPr>
            </w:pPr>
          </w:p>
        </w:tc>
      </w:tr>
      <w:tr>
        <w:trPr>
          <w:trHeight w:val="144"/>
        </w:trPr>
        <w:tc>
          <w:tcPr>
            <w:tcW w:w="3440" w:type="dxa"/>
            <w:vAlign w:val="bottom"/>
            <w:gridSpan w:val="2"/>
            <w:shd w:val="clear" w:color="auto" w:fill="D8D8D8"/>
          </w:tcPr>
          <w:p>
            <w:pPr>
              <w:ind w:left="100"/>
              <w:spacing w:after="0" w:line="144" w:lineRule="exact"/>
              <w:rPr>
                <w:sz w:val="20"/>
                <w:szCs w:val="20"/>
                <w:color w:val="auto"/>
              </w:rPr>
            </w:pPr>
            <w:r>
              <w:rPr>
                <w:rFonts w:ascii="Arial" w:cs="Arial" w:eastAsia="Arial" w:hAnsi="Arial"/>
                <w:sz w:val="13"/>
                <w:szCs w:val="13"/>
                <w:color w:val="auto"/>
              </w:rPr>
              <w:t>•  Board Nominating and Governance (Chair)</w:t>
            </w:r>
          </w:p>
        </w:tc>
        <w:tc>
          <w:tcPr>
            <w:tcW w:w="4600" w:type="dxa"/>
            <w:vAlign w:val="bottom"/>
            <w:gridSpan w:val="2"/>
            <w:shd w:val="clear" w:color="auto" w:fill="D8D8D8"/>
          </w:tcPr>
          <w:p>
            <w:pPr>
              <w:ind w:left="800"/>
              <w:spacing w:after="0" w:line="144" w:lineRule="exact"/>
              <w:rPr>
                <w:sz w:val="20"/>
                <w:szCs w:val="20"/>
                <w:color w:val="auto"/>
              </w:rPr>
            </w:pPr>
            <w:r>
              <w:rPr>
                <w:rFonts w:ascii="Arial" w:cs="Arial" w:eastAsia="Arial" w:hAnsi="Arial"/>
                <w:sz w:val="13"/>
                <w:szCs w:val="13"/>
                <w:color w:val="auto"/>
              </w:rPr>
              <w:t>•  University of Southern California (Life Trustee)</w:t>
            </w:r>
          </w:p>
        </w:tc>
        <w:tc>
          <w:tcPr>
            <w:tcW w:w="0" w:type="dxa"/>
            <w:vAlign w:val="bottom"/>
          </w:tcPr>
          <w:p>
            <w:pPr>
              <w:spacing w:after="0"/>
              <w:rPr>
                <w:sz w:val="1"/>
                <w:szCs w:val="1"/>
                <w:color w:val="auto"/>
              </w:rPr>
            </w:pPr>
          </w:p>
        </w:tc>
      </w:tr>
      <w:tr>
        <w:trPr>
          <w:trHeight w:val="166"/>
        </w:trPr>
        <w:tc>
          <w:tcPr>
            <w:tcW w:w="200" w:type="dxa"/>
            <w:vAlign w:val="bottom"/>
            <w:shd w:val="clear" w:color="auto" w:fill="D8D8D8"/>
          </w:tcPr>
          <w:p>
            <w:pPr>
              <w:ind w:left="100"/>
              <w:spacing w:after="0"/>
              <w:rPr>
                <w:sz w:val="20"/>
                <w:szCs w:val="20"/>
                <w:color w:val="auto"/>
              </w:rPr>
            </w:pPr>
            <w:r>
              <w:rPr>
                <w:rFonts w:ascii="Arial" w:cs="Arial" w:eastAsia="Arial" w:hAnsi="Arial"/>
                <w:sz w:val="13"/>
                <w:szCs w:val="13"/>
                <w:color w:val="auto"/>
              </w:rPr>
              <w:t>•</w:t>
            </w:r>
          </w:p>
        </w:tc>
        <w:tc>
          <w:tcPr>
            <w:tcW w:w="3240" w:type="dxa"/>
            <w:vAlign w:val="bottom"/>
            <w:shd w:val="clear" w:color="auto" w:fill="D8D8D8"/>
          </w:tcPr>
          <w:p>
            <w:pPr>
              <w:ind w:left="60"/>
              <w:spacing w:after="0"/>
              <w:rPr>
                <w:sz w:val="20"/>
                <w:szCs w:val="20"/>
                <w:color w:val="auto"/>
              </w:rPr>
            </w:pPr>
            <w:r>
              <w:rPr>
                <w:rFonts w:ascii="Arial" w:cs="Arial" w:eastAsia="Arial" w:hAnsi="Arial"/>
                <w:sz w:val="13"/>
                <w:szCs w:val="13"/>
                <w:color w:val="auto"/>
              </w:rPr>
              <w:t>Management Compensation</w:t>
            </w:r>
          </w:p>
        </w:tc>
        <w:tc>
          <w:tcPr>
            <w:tcW w:w="900" w:type="dxa"/>
            <w:vAlign w:val="bottom"/>
            <w:shd w:val="clear" w:color="auto" w:fill="D8D8D8"/>
          </w:tcPr>
          <w:p>
            <w:pPr>
              <w:spacing w:after="0"/>
              <w:rPr>
                <w:sz w:val="14"/>
                <w:szCs w:val="14"/>
                <w:color w:val="auto"/>
              </w:rPr>
            </w:pPr>
          </w:p>
        </w:tc>
        <w:tc>
          <w:tcPr>
            <w:tcW w:w="37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40" w:type="dxa"/>
            <w:vAlign w:val="bottom"/>
            <w:gridSpan w:val="2"/>
            <w:shd w:val="clear" w:color="auto" w:fill="D8D8D8"/>
          </w:tcPr>
          <w:p>
            <w:pPr>
              <w:ind w:left="100"/>
              <w:spacing w:after="0"/>
              <w:rPr>
                <w:sz w:val="20"/>
                <w:szCs w:val="20"/>
                <w:color w:val="auto"/>
              </w:rPr>
            </w:pPr>
            <w:r>
              <w:rPr>
                <w:rFonts w:ascii="Arial" w:cs="Arial" w:eastAsia="Arial" w:hAnsi="Arial"/>
                <w:sz w:val="13"/>
                <w:szCs w:val="13"/>
                <w:b w:val="1"/>
                <w:bCs w:val="1"/>
                <w:color w:val="auto"/>
              </w:rPr>
              <w:t>Current Public Company Directorships:</w:t>
            </w:r>
          </w:p>
        </w:tc>
        <w:tc>
          <w:tcPr>
            <w:tcW w:w="900" w:type="dxa"/>
            <w:vAlign w:val="bottom"/>
            <w:shd w:val="clear" w:color="auto" w:fill="D8D8D8"/>
          </w:tcPr>
          <w:p>
            <w:pPr>
              <w:spacing w:after="0"/>
              <w:rPr>
                <w:sz w:val="16"/>
                <w:szCs w:val="16"/>
                <w:color w:val="auto"/>
              </w:rPr>
            </w:pPr>
          </w:p>
        </w:tc>
        <w:tc>
          <w:tcPr>
            <w:tcW w:w="370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0" w:type="dxa"/>
            <w:vAlign w:val="bottom"/>
            <w:shd w:val="clear" w:color="auto" w:fill="D8D8D8"/>
          </w:tcPr>
          <w:p>
            <w:pPr>
              <w:ind w:left="100"/>
              <w:spacing w:after="0" w:line="135" w:lineRule="exact"/>
              <w:rPr>
                <w:sz w:val="20"/>
                <w:szCs w:val="20"/>
                <w:color w:val="auto"/>
              </w:rPr>
            </w:pPr>
            <w:r>
              <w:rPr>
                <w:rFonts w:ascii="Arial" w:cs="Arial" w:eastAsia="Arial" w:hAnsi="Arial"/>
                <w:sz w:val="13"/>
                <w:szCs w:val="13"/>
                <w:color w:val="auto"/>
              </w:rPr>
              <w:t>•</w:t>
            </w:r>
          </w:p>
        </w:tc>
        <w:tc>
          <w:tcPr>
            <w:tcW w:w="3240" w:type="dxa"/>
            <w:vAlign w:val="bottom"/>
            <w:shd w:val="clear" w:color="auto" w:fill="D8D8D8"/>
          </w:tcPr>
          <w:p>
            <w:pPr>
              <w:ind w:left="60"/>
              <w:spacing w:after="0" w:line="135" w:lineRule="exact"/>
              <w:rPr>
                <w:sz w:val="20"/>
                <w:szCs w:val="20"/>
                <w:color w:val="auto"/>
              </w:rPr>
            </w:pPr>
            <w:r>
              <w:rPr>
                <w:rFonts w:ascii="Arial" w:cs="Arial" w:eastAsia="Arial" w:hAnsi="Arial"/>
                <w:sz w:val="13"/>
                <w:szCs w:val="13"/>
                <w:color w:val="auto"/>
              </w:rPr>
              <w:t>Amgen Inc.</w:t>
            </w:r>
          </w:p>
        </w:tc>
        <w:tc>
          <w:tcPr>
            <w:tcW w:w="900" w:type="dxa"/>
            <w:vAlign w:val="bottom"/>
            <w:shd w:val="clear" w:color="auto" w:fill="D8D8D8"/>
          </w:tcPr>
          <w:p>
            <w:pPr>
              <w:spacing w:after="0"/>
              <w:rPr>
                <w:sz w:val="11"/>
                <w:szCs w:val="11"/>
                <w:color w:val="auto"/>
              </w:rPr>
            </w:pPr>
          </w:p>
        </w:tc>
        <w:tc>
          <w:tcPr>
            <w:tcW w:w="37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440" w:type="dxa"/>
            <w:vAlign w:val="bottom"/>
            <w:gridSpan w:val="2"/>
            <w:shd w:val="clear" w:color="auto" w:fill="D8D8D8"/>
          </w:tcPr>
          <w:p>
            <w:pPr>
              <w:ind w:left="100"/>
              <w:spacing w:after="0"/>
              <w:rPr>
                <w:sz w:val="20"/>
                <w:szCs w:val="20"/>
                <w:color w:val="auto"/>
              </w:rPr>
            </w:pPr>
            <w:r>
              <w:rPr>
                <w:rFonts w:ascii="Arial" w:cs="Arial" w:eastAsia="Arial" w:hAnsi="Arial"/>
                <w:sz w:val="13"/>
                <w:szCs w:val="13"/>
                <w:color w:val="auto"/>
              </w:rPr>
              <w:t>•  Virgin Galactic Holdings, Inc.</w:t>
            </w:r>
          </w:p>
        </w:tc>
        <w:tc>
          <w:tcPr>
            <w:tcW w:w="900" w:type="dxa"/>
            <w:vAlign w:val="bottom"/>
            <w:shd w:val="clear" w:color="auto" w:fill="D8D8D8"/>
          </w:tcPr>
          <w:p>
            <w:pPr>
              <w:spacing w:after="0"/>
              <w:rPr>
                <w:sz w:val="14"/>
                <w:szCs w:val="14"/>
                <w:color w:val="auto"/>
              </w:rPr>
            </w:pPr>
          </w:p>
        </w:tc>
        <w:tc>
          <w:tcPr>
            <w:tcW w:w="37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676"/>
        </w:trPr>
        <w:tc>
          <w:tcPr>
            <w:tcW w:w="200" w:type="dxa"/>
            <w:vAlign w:val="bottom"/>
            <w:shd w:val="clear" w:color="auto" w:fill="D8D8D8"/>
          </w:tcPr>
          <w:p>
            <w:pPr>
              <w:spacing w:after="0"/>
              <w:rPr>
                <w:sz w:val="24"/>
                <w:szCs w:val="24"/>
                <w:color w:val="auto"/>
              </w:rPr>
            </w:pPr>
          </w:p>
        </w:tc>
        <w:tc>
          <w:tcPr>
            <w:tcW w:w="3240" w:type="dxa"/>
            <w:vAlign w:val="bottom"/>
            <w:shd w:val="clear" w:color="auto" w:fill="D8D8D8"/>
          </w:tcPr>
          <w:p>
            <w:pPr>
              <w:spacing w:after="0"/>
              <w:rPr>
                <w:sz w:val="24"/>
                <w:szCs w:val="24"/>
                <w:color w:val="auto"/>
              </w:rPr>
            </w:pPr>
          </w:p>
        </w:tc>
        <w:tc>
          <w:tcPr>
            <w:tcW w:w="900" w:type="dxa"/>
            <w:vAlign w:val="bottom"/>
            <w:shd w:val="clear" w:color="auto" w:fill="D8D8D8"/>
          </w:tcPr>
          <w:p>
            <w:pPr>
              <w:spacing w:after="0"/>
              <w:rPr>
                <w:sz w:val="24"/>
                <w:szCs w:val="24"/>
                <w:color w:val="auto"/>
              </w:rPr>
            </w:pPr>
          </w:p>
        </w:tc>
        <w:tc>
          <w:tcPr>
            <w:tcW w:w="37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-1696720</wp:posOffset>
            </wp:positionV>
            <wp:extent cx="17145" cy="16973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 cy="16973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-1696720</wp:posOffset>
            </wp:positionV>
            <wp:extent cx="1903095" cy="1697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03095" cy="1697355"/>
                    </a:xfrm>
                    <a:prstGeom prst="rect">
                      <a:avLst/>
                    </a:prstGeom>
                    <a:noFill/>
                  </pic:spPr>
                </pic:pic>
              </a:graphicData>
            </a:graphic>
          </wp:anchor>
        </w:drawing>
      </w:r>
    </w:p>
    <w:p>
      <w:pPr>
        <w:spacing w:after="0" w:line="74"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b w:val="1"/>
          <w:bCs w:val="1"/>
          <w:color w:val="auto"/>
        </w:rPr>
        <w:t xml:space="preserve">Dr. Austin </w:t>
      </w:r>
      <w:r>
        <w:rPr>
          <w:rFonts w:ascii="Arial" w:cs="Arial" w:eastAsia="Arial" w:hAnsi="Arial"/>
          <w:sz w:val="16"/>
          <w:szCs w:val="16"/>
          <w:color w:val="auto"/>
        </w:rPr>
        <w:t>has held an adjunct Research Professor appointment at the University of Southern California’s Viterbi School’s Department of Industrial and</w:t>
      </w:r>
      <w:r>
        <w:rPr>
          <w:rFonts w:ascii="Arial" w:cs="Arial" w:eastAsia="Arial" w:hAnsi="Arial"/>
          <w:sz w:val="16"/>
          <w:szCs w:val="16"/>
          <w:b w:val="1"/>
          <w:bCs w:val="1"/>
          <w:color w:val="auto"/>
        </w:rPr>
        <w:t xml:space="preserve"> </w:t>
      </w:r>
      <w:r>
        <w:rPr>
          <w:rFonts w:ascii="Arial" w:cs="Arial" w:eastAsia="Arial" w:hAnsi="Arial"/>
          <w:sz w:val="16"/>
          <w:szCs w:val="16"/>
          <w:color w:val="auto"/>
        </w:rPr>
        <w:t>Systems Engineering since 2007. She has been Co-founder and Chief Executive Officer of MakingSpace, Inc., a leadership and STEM (science, technology, engineering, and math) consulting firm, since December 2017. She is a World 50 executive advisor, fostering peer-to-peer discussions among senior executives from some of the world’s largest companies. She served as Interim President of the University of Southern California from August 2018 until July 2019. She served as President and Chief Executive Officer of The Aerospace Corporation (“Aerospace”), a leading architect for the United States’ national security space programs, from 2008 until her retirement in 2016. From 2004 to 2007, she was Senior Vice President, National Systems Group, at Aerospace. Dr. Austin joined Aerospace in 1979.</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Skills and qualifications</w:t>
      </w:r>
    </w:p>
    <w:p>
      <w:pPr>
        <w:spacing w:after="0" w:line="112"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b w:val="1"/>
          <w:bCs w:val="1"/>
          <w:color w:val="auto"/>
        </w:rPr>
        <w:t xml:space="preserve">Business Leadership/Operations: </w:t>
      </w:r>
      <w:r>
        <w:rPr>
          <w:rFonts w:ascii="Arial" w:cs="Arial" w:eastAsia="Arial" w:hAnsi="Arial"/>
          <w:sz w:val="16"/>
          <w:szCs w:val="16"/>
          <w:color w:val="auto"/>
        </w:rPr>
        <w:t>Eight years as CEO of Aerospace. Thirty-seven-year career with Aerospace included numerous senior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executive positions. CEO of MakingSpace, Inc. since December 2017.</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Finance: </w:t>
      </w:r>
      <w:r>
        <w:rPr>
          <w:rFonts w:ascii="Arial" w:cs="Arial" w:eastAsia="Arial" w:hAnsi="Arial"/>
          <w:sz w:val="16"/>
          <w:szCs w:val="16"/>
          <w:color w:val="auto"/>
        </w:rPr>
        <w:t>More than a decade of financial responsibility and experience at Aerospace. Audit Committee member at Amgen Inc.</w:t>
      </w:r>
    </w:p>
    <w:p>
      <w:pPr>
        <w:spacing w:after="0" w:line="113" w:lineRule="exact"/>
        <w:rPr>
          <w:sz w:val="20"/>
          <w:szCs w:val="20"/>
          <w:color w:val="auto"/>
        </w:rPr>
      </w:pPr>
    </w:p>
    <w:p>
      <w:pPr>
        <w:ind w:left="120" w:right="340"/>
        <w:spacing w:after="0" w:line="266" w:lineRule="auto"/>
        <w:rPr>
          <w:sz w:val="20"/>
          <w:szCs w:val="20"/>
          <w:color w:val="auto"/>
        </w:rPr>
      </w:pPr>
      <w:r>
        <w:rPr>
          <w:rFonts w:ascii="Arial" w:cs="Arial" w:eastAsia="Arial" w:hAnsi="Arial"/>
          <w:sz w:val="16"/>
          <w:szCs w:val="16"/>
          <w:b w:val="1"/>
          <w:bCs w:val="1"/>
          <w:color w:val="auto"/>
        </w:rPr>
        <w:t xml:space="preserve">Global Business/International Affairs: </w:t>
      </w:r>
      <w:r>
        <w:rPr>
          <w:rFonts w:ascii="Arial" w:cs="Arial" w:eastAsia="Arial" w:hAnsi="Arial"/>
          <w:sz w:val="16"/>
          <w:szCs w:val="16"/>
          <w:color w:val="auto"/>
        </w:rPr>
        <w:t>Internationally recognized for her work in satellite and payload system acquisition, systems engineering, and</w:t>
      </w:r>
      <w:r>
        <w:rPr>
          <w:rFonts w:ascii="Arial" w:cs="Arial" w:eastAsia="Arial" w:hAnsi="Arial"/>
          <w:sz w:val="16"/>
          <w:szCs w:val="16"/>
          <w:b w:val="1"/>
          <w:bCs w:val="1"/>
          <w:color w:val="auto"/>
        </w:rPr>
        <w:t xml:space="preserve"> </w:t>
      </w:r>
      <w:r>
        <w:rPr>
          <w:rFonts w:ascii="Arial" w:cs="Arial" w:eastAsia="Arial" w:hAnsi="Arial"/>
          <w:sz w:val="16"/>
          <w:szCs w:val="16"/>
          <w:color w:val="auto"/>
        </w:rPr>
        <w:t>system simulation. Former CEO of a company that provides space systems expertise to international organizations. Director of companies with international operations.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Government/Regulatory/Public Policy: </w:t>
      </w:r>
      <w:r>
        <w:rPr>
          <w:rFonts w:ascii="Arial" w:cs="Arial" w:eastAsia="Arial" w:hAnsi="Arial"/>
          <w:sz w:val="16"/>
          <w:szCs w:val="16"/>
          <w:color w:val="auto"/>
        </w:rPr>
        <w:t>Served on the President’s Council of Advisors on Science and Technology and the President’s Review of U.S.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Human Space Flight Plans Committee. Appointed to the Defense Policy Board, the Defense Science Board, and the NASA Advisory Council.</w:t>
      </w:r>
    </w:p>
    <w:p>
      <w:pPr>
        <w:spacing w:after="0" w:line="97"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b w:val="1"/>
          <w:bCs w:val="1"/>
          <w:color w:val="auto"/>
        </w:rPr>
        <w:t xml:space="preserve">Leading Business Transformation: </w:t>
      </w:r>
      <w:r>
        <w:rPr>
          <w:rFonts w:ascii="Arial" w:cs="Arial" w:eastAsia="Arial" w:hAnsi="Arial"/>
          <w:sz w:val="16"/>
          <w:szCs w:val="16"/>
          <w:color w:val="auto"/>
        </w:rPr>
        <w:t>As President and CEO of The Aerospace Corporation, led the technical evaluation and certification of the launch</w:t>
      </w:r>
      <w:r>
        <w:rPr>
          <w:rFonts w:ascii="Arial" w:cs="Arial" w:eastAsia="Arial" w:hAnsi="Arial"/>
          <w:sz w:val="16"/>
          <w:szCs w:val="16"/>
          <w:b w:val="1"/>
          <w:bCs w:val="1"/>
          <w:color w:val="auto"/>
        </w:rPr>
        <w:t xml:space="preserve"> </w:t>
      </w:r>
      <w:r>
        <w:rPr>
          <w:rFonts w:ascii="Arial" w:cs="Arial" w:eastAsia="Arial" w:hAnsi="Arial"/>
          <w:sz w:val="16"/>
          <w:szCs w:val="16"/>
          <w:color w:val="auto"/>
        </w:rPr>
        <w:t>enterprise transition to a commercial business model for national security space missions. Numerous awards for leadership and impact. As Interim President of the University of Southern California, implemented transformational governance measures to raise the bar at a time of great challenge – e.g. systemic lapses involving college athletics program, student admissions.</w:t>
      </w:r>
    </w:p>
    <w:p>
      <w:pPr>
        <w:spacing w:after="0" w:line="70" w:lineRule="exact"/>
        <w:rPr>
          <w:sz w:val="20"/>
          <w:szCs w:val="20"/>
          <w:color w:val="auto"/>
        </w:rPr>
      </w:pPr>
    </w:p>
    <w:p>
      <w:pPr>
        <w:ind w:left="120" w:right="240"/>
        <w:spacing w:after="0" w:line="286" w:lineRule="auto"/>
        <w:rPr>
          <w:sz w:val="20"/>
          <w:szCs w:val="20"/>
          <w:color w:val="auto"/>
        </w:rPr>
      </w:pPr>
      <w:r>
        <w:rPr>
          <w:rFonts w:ascii="Arial" w:cs="Arial" w:eastAsia="Arial" w:hAnsi="Arial"/>
          <w:sz w:val="16"/>
          <w:szCs w:val="16"/>
          <w:b w:val="1"/>
          <w:bCs w:val="1"/>
          <w:color w:val="auto"/>
        </w:rPr>
        <w:t xml:space="preserve">Research/Academia: </w:t>
      </w:r>
      <w:r>
        <w:rPr>
          <w:rFonts w:ascii="Arial" w:cs="Arial" w:eastAsia="Arial" w:hAnsi="Arial"/>
          <w:sz w:val="16"/>
          <w:szCs w:val="16"/>
          <w:color w:val="auto"/>
        </w:rPr>
        <w:t>Trustee and Adjunct Research Professor at the University of Southern California’s Viterbi School of Engineering. Former Interim</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the University of Southern California.</w:t>
      </w:r>
    </w:p>
    <w:p>
      <w:pPr>
        <w:spacing w:after="0" w:line="48"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b w:val="1"/>
          <w:bCs w:val="1"/>
          <w:color w:val="auto"/>
        </w:rPr>
        <w:t xml:space="preserve">Science/Technology/Engineering: </w:t>
      </w:r>
      <w:r>
        <w:rPr>
          <w:rFonts w:ascii="Arial" w:cs="Arial" w:eastAsia="Arial" w:hAnsi="Arial"/>
          <w:sz w:val="16"/>
          <w:szCs w:val="16"/>
          <w:color w:val="auto"/>
        </w:rPr>
        <w:t>Ph.D. in Industrial and Systems Engineering from the University of Southern California, Master of Science in both</w:t>
      </w:r>
      <w:r>
        <w:rPr>
          <w:rFonts w:ascii="Arial" w:cs="Arial" w:eastAsia="Arial" w:hAnsi="Arial"/>
          <w:sz w:val="16"/>
          <w:szCs w:val="16"/>
          <w:b w:val="1"/>
          <w:bCs w:val="1"/>
          <w:color w:val="auto"/>
        </w:rPr>
        <w:t xml:space="preserve"> </w:t>
      </w:r>
      <w:r>
        <w:rPr>
          <w:rFonts w:ascii="Arial" w:cs="Arial" w:eastAsia="Arial" w:hAnsi="Arial"/>
          <w:sz w:val="16"/>
          <w:szCs w:val="16"/>
          <w:color w:val="auto"/>
        </w:rPr>
        <w:t>Systems Engineering and Mathematics from the University of Pittsburgh. Thirty-seven-year career in national security space programs. Director at Amgen Inc., a biotechnology company, and Virgin Galactic Holdings, Inc., the world’s first commercial space line and vertically integrated aerospace company. Honorary fellow of the American Institute of Aeronautics and Astronautics. A member of the National Academy of Engineering.</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140"/>
          </w:cols>
          <w:pgMar w:left="320" w:top="455" w:right="4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28" w:lineRule="exact"/>
        <w:rPr>
          <w:sz w:val="20"/>
          <w:szCs w:val="20"/>
          <w:color w:val="auto"/>
        </w:rPr>
      </w:pPr>
    </w:p>
    <w:tbl>
      <w:tblPr>
        <w:tblLayout w:type="fixed"/>
        <w:tblInd w:w="3100" w:type="dxa"/>
        <w:tblCellMar>
          <w:top w:w="0" w:type="dxa"/>
          <w:left w:w="0" w:type="dxa"/>
          <w:bottom w:w="0" w:type="dxa"/>
          <w:right w:w="0" w:type="dxa"/>
        </w:tblCellMar>
      </w:tblPr>
      <w:tr>
        <w:trPr>
          <w:trHeight w:val="229"/>
        </w:trPr>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120" w:type="dxa"/>
            <w:vAlign w:val="bottom"/>
            <w:shd w:val="clear" w:color="auto" w:fill="0B2D71"/>
          </w:tcPr>
          <w:p>
            <w:pPr>
              <w:ind w:left="380"/>
              <w:spacing w:after="0"/>
              <w:rPr>
                <w:sz w:val="20"/>
                <w:szCs w:val="20"/>
                <w:color w:val="auto"/>
              </w:rPr>
            </w:pPr>
            <w:r>
              <w:rPr>
                <w:rFonts w:ascii="Arial" w:cs="Arial" w:eastAsia="Arial" w:hAnsi="Arial"/>
                <w:sz w:val="14"/>
                <w:szCs w:val="14"/>
                <w:b w:val="1"/>
                <w:bCs w:val="1"/>
                <w:color w:val="FFFFFF"/>
              </w:rPr>
              <w:t>Election of directors</w:t>
            </w:r>
          </w:p>
        </w:tc>
        <w:tc>
          <w:tcPr>
            <w:tcW w:w="0" w:type="dxa"/>
            <w:vAlign w:val="bottom"/>
          </w:tcPr>
          <w:p>
            <w:pPr>
              <w:spacing w:after="0"/>
              <w:rPr>
                <w:sz w:val="1"/>
                <w:szCs w:val="1"/>
                <w:color w:val="auto"/>
              </w:rPr>
            </w:pPr>
          </w:p>
        </w:tc>
      </w:tr>
      <w:tr>
        <w:trPr>
          <w:trHeight w:val="149"/>
        </w:trPr>
        <w:tc>
          <w:tcPr>
            <w:tcW w:w="338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3380" w:type="dxa"/>
            <w:vAlign w:val="bottom"/>
            <w:gridSpan w:val="2"/>
            <w:shd w:val="clear" w:color="auto" w:fill="D8D8D8"/>
          </w:tcPr>
          <w:p>
            <w:pPr>
              <w:ind w:left="100"/>
              <w:spacing w:after="0" w:line="239" w:lineRule="exact"/>
              <w:rPr>
                <w:sz w:val="20"/>
                <w:szCs w:val="20"/>
                <w:color w:val="auto"/>
              </w:rPr>
            </w:pPr>
            <w:r>
              <w:rPr>
                <w:rFonts w:ascii="Arial" w:cs="Arial" w:eastAsia="Arial" w:hAnsi="Arial"/>
                <w:sz w:val="22"/>
                <w:szCs w:val="22"/>
                <w:b w:val="1"/>
                <w:bCs w:val="1"/>
                <w:color w:val="0B2D71"/>
              </w:rPr>
              <w:t>John B. Frank</w:t>
            </w:r>
          </w:p>
        </w:tc>
        <w:tc>
          <w:tcPr>
            <w:tcW w:w="800" w:type="dxa"/>
            <w:vAlign w:val="bottom"/>
            <w:shd w:val="clear" w:color="auto" w:fill="D8D8D8"/>
          </w:tcPr>
          <w:p>
            <w:pPr>
              <w:spacing w:after="0"/>
              <w:rPr>
                <w:sz w:val="20"/>
                <w:szCs w:val="20"/>
                <w:color w:val="auto"/>
              </w:rPr>
            </w:pPr>
          </w:p>
        </w:tc>
        <w:tc>
          <w:tcPr>
            <w:tcW w:w="1740" w:type="dxa"/>
            <w:vAlign w:val="bottom"/>
            <w:shd w:val="clear" w:color="auto" w:fill="D8D8D8"/>
          </w:tcPr>
          <w:p>
            <w:pPr>
              <w:spacing w:after="0"/>
              <w:rPr>
                <w:sz w:val="20"/>
                <w:szCs w:val="20"/>
                <w:color w:val="auto"/>
              </w:rPr>
            </w:pPr>
          </w:p>
        </w:tc>
        <w:tc>
          <w:tcPr>
            <w:tcW w:w="212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380" w:type="dxa"/>
            <w:vAlign w:val="bottom"/>
            <w:gridSpan w:val="2"/>
            <w:shd w:val="clear" w:color="auto" w:fill="D8D8D8"/>
          </w:tcPr>
          <w:p>
            <w:pPr>
              <w:ind w:left="100"/>
              <w:spacing w:after="0"/>
              <w:rPr>
                <w:sz w:val="20"/>
                <w:szCs w:val="20"/>
                <w:color w:val="auto"/>
              </w:rPr>
            </w:pPr>
            <w:r>
              <w:rPr>
                <w:rFonts w:ascii="Arial" w:cs="Arial" w:eastAsia="Arial" w:hAnsi="Arial"/>
                <w:sz w:val="13"/>
                <w:szCs w:val="13"/>
                <w:b w:val="1"/>
                <w:bCs w:val="1"/>
                <w:color w:val="auto"/>
              </w:rPr>
              <w:t>Vice Chairman, Oaktree Capital Group, LLC</w:t>
            </w:r>
          </w:p>
        </w:tc>
        <w:tc>
          <w:tcPr>
            <w:tcW w:w="4660" w:type="dxa"/>
            <w:vAlign w:val="bottom"/>
            <w:gridSpan w:val="3"/>
            <w:shd w:val="clear" w:color="auto" w:fill="D8D8D8"/>
          </w:tcPr>
          <w:p>
            <w:pPr>
              <w:ind w:left="700"/>
              <w:spacing w:after="0"/>
              <w:rPr>
                <w:sz w:val="20"/>
                <w:szCs w:val="20"/>
                <w:color w:val="auto"/>
              </w:rPr>
            </w:pPr>
            <w:r>
              <w:rPr>
                <w:rFonts w:ascii="Arial" w:cs="Arial" w:eastAsia="Arial" w:hAnsi="Arial"/>
                <w:sz w:val="13"/>
                <w:szCs w:val="13"/>
                <w:b w:val="1"/>
                <w:bCs w:val="1"/>
                <w:color w:val="auto"/>
              </w:rPr>
              <w:t>Prior Public Company Directorships</w:t>
            </w:r>
          </w:p>
        </w:tc>
        <w:tc>
          <w:tcPr>
            <w:tcW w:w="0" w:type="dxa"/>
            <w:vAlign w:val="bottom"/>
          </w:tcPr>
          <w:p>
            <w:pPr>
              <w:spacing w:after="0"/>
              <w:rPr>
                <w:sz w:val="1"/>
                <w:szCs w:val="1"/>
                <w:color w:val="auto"/>
              </w:rPr>
            </w:pPr>
          </w:p>
        </w:tc>
      </w:tr>
      <w:tr>
        <w:trPr>
          <w:trHeight w:val="147"/>
        </w:trPr>
        <w:tc>
          <w:tcPr>
            <w:tcW w:w="3380" w:type="dxa"/>
            <w:vAlign w:val="bottom"/>
            <w:gridSpan w:val="2"/>
            <w:shd w:val="clear" w:color="auto" w:fill="D8D8D8"/>
          </w:tcPr>
          <w:p>
            <w:pPr>
              <w:ind w:left="100"/>
              <w:spacing w:after="0" w:line="147" w:lineRule="exact"/>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65</w:t>
            </w:r>
          </w:p>
        </w:tc>
        <w:tc>
          <w:tcPr>
            <w:tcW w:w="4660" w:type="dxa"/>
            <w:vAlign w:val="bottom"/>
            <w:gridSpan w:val="3"/>
            <w:shd w:val="clear" w:color="auto" w:fill="D8D8D8"/>
          </w:tcPr>
          <w:p>
            <w:pPr>
              <w:ind w:left="700"/>
              <w:spacing w:after="0" w:line="147" w:lineRule="exact"/>
              <w:rPr>
                <w:sz w:val="20"/>
                <w:szCs w:val="20"/>
                <w:color w:val="auto"/>
              </w:rPr>
            </w:pPr>
            <w:r>
              <w:rPr>
                <w:rFonts w:ascii="Arial" w:cs="Arial" w:eastAsia="Arial" w:hAnsi="Arial"/>
                <w:sz w:val="13"/>
                <w:szCs w:val="13"/>
                <w:color w:val="auto"/>
              </w:rPr>
              <w:t>(within last five years):</w:t>
            </w:r>
          </w:p>
        </w:tc>
        <w:tc>
          <w:tcPr>
            <w:tcW w:w="0" w:type="dxa"/>
            <w:vAlign w:val="bottom"/>
          </w:tcPr>
          <w:p>
            <w:pPr>
              <w:spacing w:after="0"/>
              <w:rPr>
                <w:sz w:val="1"/>
                <w:szCs w:val="1"/>
                <w:color w:val="auto"/>
              </w:rPr>
            </w:pPr>
          </w:p>
        </w:tc>
      </w:tr>
      <w:tr>
        <w:trPr>
          <w:trHeight w:val="141"/>
        </w:trPr>
        <w:tc>
          <w:tcPr>
            <w:tcW w:w="3380" w:type="dxa"/>
            <w:vAlign w:val="bottom"/>
            <w:gridSpan w:val="2"/>
            <w:shd w:val="clear" w:color="auto" w:fill="D8D8D8"/>
          </w:tcPr>
          <w:p>
            <w:pPr>
              <w:ind w:left="100"/>
              <w:spacing w:after="0" w:line="141" w:lineRule="exact"/>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November 2017</w:t>
            </w:r>
          </w:p>
        </w:tc>
        <w:tc>
          <w:tcPr>
            <w:tcW w:w="800" w:type="dxa"/>
            <w:vAlign w:val="bottom"/>
            <w:shd w:val="clear" w:color="auto" w:fill="D8D8D8"/>
          </w:tcPr>
          <w:p>
            <w:pPr>
              <w:ind w:left="700"/>
              <w:spacing w:after="0" w:line="141" w:lineRule="exact"/>
              <w:rPr>
                <w:sz w:val="20"/>
                <w:szCs w:val="20"/>
                <w:color w:val="auto"/>
              </w:rPr>
            </w:pPr>
            <w:r>
              <w:rPr>
                <w:rFonts w:ascii="Arial" w:cs="Arial" w:eastAsia="Arial" w:hAnsi="Arial"/>
                <w:sz w:val="13"/>
                <w:szCs w:val="13"/>
                <w:color w:val="auto"/>
              </w:rPr>
              <w:t>•</w:t>
            </w:r>
          </w:p>
        </w:tc>
        <w:tc>
          <w:tcPr>
            <w:tcW w:w="3860" w:type="dxa"/>
            <w:vAlign w:val="bottom"/>
            <w:gridSpan w:val="2"/>
            <w:shd w:val="clear" w:color="auto" w:fill="D8D8D8"/>
          </w:tcPr>
          <w:p>
            <w:pPr>
              <w:ind w:left="60"/>
              <w:spacing w:after="0" w:line="141" w:lineRule="exact"/>
              <w:rPr>
                <w:sz w:val="20"/>
                <w:szCs w:val="20"/>
                <w:color w:val="auto"/>
              </w:rPr>
            </w:pPr>
            <w:r>
              <w:rPr>
                <w:rFonts w:ascii="Arial" w:cs="Arial" w:eastAsia="Arial" w:hAnsi="Arial"/>
                <w:sz w:val="13"/>
                <w:szCs w:val="13"/>
                <w:color w:val="auto"/>
              </w:rPr>
              <w:t>Oaktree Acquisition Corporation</w:t>
            </w:r>
          </w:p>
        </w:tc>
        <w:tc>
          <w:tcPr>
            <w:tcW w:w="0" w:type="dxa"/>
            <w:vAlign w:val="bottom"/>
          </w:tcPr>
          <w:p>
            <w:pPr>
              <w:spacing w:after="0"/>
              <w:rPr>
                <w:sz w:val="1"/>
                <w:szCs w:val="1"/>
                <w:color w:val="auto"/>
              </w:rPr>
            </w:pPr>
          </w:p>
        </w:tc>
      </w:tr>
      <w:tr>
        <w:trPr>
          <w:trHeight w:val="181"/>
        </w:trPr>
        <w:tc>
          <w:tcPr>
            <w:tcW w:w="3380" w:type="dxa"/>
            <w:vAlign w:val="bottom"/>
            <w:gridSpan w:val="2"/>
            <w:shd w:val="clear" w:color="auto" w:fill="D8D8D8"/>
          </w:tcPr>
          <w:p>
            <w:pPr>
              <w:ind w:left="100"/>
              <w:spacing w:after="0"/>
              <w:rPr>
                <w:sz w:val="20"/>
                <w:szCs w:val="20"/>
                <w:color w:val="auto"/>
              </w:rPr>
            </w:pPr>
            <w:r>
              <w:rPr>
                <w:rFonts w:ascii="Arial" w:cs="Arial" w:eastAsia="Arial" w:hAnsi="Arial"/>
                <w:sz w:val="13"/>
                <w:szCs w:val="13"/>
                <w:b w:val="1"/>
                <w:bCs w:val="1"/>
                <w:color w:val="auto"/>
              </w:rPr>
              <w:t xml:space="preserve">Independent: </w:t>
            </w:r>
            <w:r>
              <w:rPr>
                <w:rFonts w:ascii="Arial" w:cs="Arial" w:eastAsia="Arial" w:hAnsi="Arial"/>
                <w:sz w:val="13"/>
                <w:szCs w:val="13"/>
                <w:color w:val="auto"/>
              </w:rPr>
              <w:t>Yes</w:t>
            </w:r>
          </w:p>
        </w:tc>
        <w:tc>
          <w:tcPr>
            <w:tcW w:w="4660" w:type="dxa"/>
            <w:vAlign w:val="bottom"/>
            <w:gridSpan w:val="3"/>
            <w:shd w:val="clear" w:color="auto" w:fill="D8D8D8"/>
          </w:tcPr>
          <w:p>
            <w:pPr>
              <w:ind w:left="700"/>
              <w:spacing w:after="0"/>
              <w:rPr>
                <w:sz w:val="20"/>
                <w:szCs w:val="20"/>
                <w:color w:val="auto"/>
              </w:rPr>
            </w:pPr>
            <w:r>
              <w:rPr>
                <w:rFonts w:ascii="Arial" w:cs="Arial" w:eastAsia="Arial" w:hAnsi="Arial"/>
                <w:sz w:val="13"/>
                <w:szCs w:val="13"/>
                <w:color w:val="auto"/>
              </w:rPr>
              <w:t>•  Oaktree Strategic Income Corporation</w:t>
            </w:r>
          </w:p>
        </w:tc>
        <w:tc>
          <w:tcPr>
            <w:tcW w:w="0" w:type="dxa"/>
            <w:vAlign w:val="bottom"/>
          </w:tcPr>
          <w:p>
            <w:pPr>
              <w:spacing w:after="0"/>
              <w:rPr>
                <w:sz w:val="1"/>
                <w:szCs w:val="1"/>
                <w:color w:val="auto"/>
              </w:rPr>
            </w:pPr>
          </w:p>
        </w:tc>
      </w:tr>
      <w:tr>
        <w:trPr>
          <w:trHeight w:val="170"/>
        </w:trPr>
        <w:tc>
          <w:tcPr>
            <w:tcW w:w="3380" w:type="dxa"/>
            <w:vAlign w:val="bottom"/>
            <w:gridSpan w:val="2"/>
            <w:shd w:val="clear" w:color="auto" w:fill="D8D8D8"/>
          </w:tcPr>
          <w:p>
            <w:pPr>
              <w:ind w:left="100"/>
              <w:spacing w:after="0"/>
              <w:rPr>
                <w:sz w:val="20"/>
                <w:szCs w:val="20"/>
                <w:color w:val="auto"/>
              </w:rPr>
            </w:pPr>
            <w:r>
              <w:rPr>
                <w:rFonts w:ascii="Arial" w:cs="Arial" w:eastAsia="Arial" w:hAnsi="Arial"/>
                <w:sz w:val="13"/>
                <w:szCs w:val="13"/>
                <w:b w:val="1"/>
                <w:bCs w:val="1"/>
                <w:color w:val="auto"/>
              </w:rPr>
              <w:t>Chevron Committees:</w:t>
            </w:r>
          </w:p>
        </w:tc>
        <w:tc>
          <w:tcPr>
            <w:tcW w:w="4660" w:type="dxa"/>
            <w:vAlign w:val="bottom"/>
            <w:gridSpan w:val="3"/>
            <w:shd w:val="clear" w:color="auto" w:fill="D8D8D8"/>
          </w:tcPr>
          <w:p>
            <w:pPr>
              <w:ind w:left="700"/>
              <w:spacing w:after="0"/>
              <w:rPr>
                <w:sz w:val="20"/>
                <w:szCs w:val="20"/>
                <w:color w:val="auto"/>
              </w:rPr>
            </w:pPr>
            <w:r>
              <w:rPr>
                <w:rFonts w:ascii="Arial" w:cs="Arial" w:eastAsia="Arial" w:hAnsi="Arial"/>
                <w:sz w:val="13"/>
                <w:szCs w:val="13"/>
                <w:b w:val="1"/>
                <w:bCs w:val="1"/>
                <w:color w:val="auto"/>
              </w:rPr>
              <w:t>Other Directorships and Memberships:</w:t>
            </w:r>
          </w:p>
        </w:tc>
        <w:tc>
          <w:tcPr>
            <w:tcW w:w="0" w:type="dxa"/>
            <w:vAlign w:val="bottom"/>
          </w:tcPr>
          <w:p>
            <w:pPr>
              <w:spacing w:after="0"/>
              <w:rPr>
                <w:sz w:val="1"/>
                <w:szCs w:val="1"/>
                <w:color w:val="auto"/>
              </w:rPr>
            </w:pPr>
          </w:p>
        </w:tc>
      </w:tr>
      <w:tr>
        <w:trPr>
          <w:trHeight w:val="135"/>
        </w:trPr>
        <w:tc>
          <w:tcPr>
            <w:tcW w:w="200" w:type="dxa"/>
            <w:vAlign w:val="bottom"/>
            <w:shd w:val="clear" w:color="auto" w:fill="D8D8D8"/>
          </w:tcPr>
          <w:p>
            <w:pPr>
              <w:ind w:left="100"/>
              <w:spacing w:after="0" w:line="135" w:lineRule="exact"/>
              <w:rPr>
                <w:sz w:val="20"/>
                <w:szCs w:val="20"/>
                <w:color w:val="auto"/>
              </w:rPr>
            </w:pPr>
            <w:r>
              <w:rPr>
                <w:rFonts w:ascii="Arial" w:cs="Arial" w:eastAsia="Arial" w:hAnsi="Arial"/>
                <w:sz w:val="13"/>
                <w:szCs w:val="13"/>
                <w:color w:val="auto"/>
              </w:rPr>
              <w:t>•</w:t>
            </w:r>
          </w:p>
        </w:tc>
        <w:tc>
          <w:tcPr>
            <w:tcW w:w="3180" w:type="dxa"/>
            <w:vAlign w:val="bottom"/>
            <w:shd w:val="clear" w:color="auto" w:fill="D8D8D8"/>
          </w:tcPr>
          <w:p>
            <w:pPr>
              <w:ind w:left="60"/>
              <w:spacing w:after="0" w:line="135" w:lineRule="exact"/>
              <w:rPr>
                <w:sz w:val="20"/>
                <w:szCs w:val="20"/>
                <w:color w:val="auto"/>
              </w:rPr>
            </w:pPr>
            <w:r>
              <w:rPr>
                <w:rFonts w:ascii="Arial" w:cs="Arial" w:eastAsia="Arial" w:hAnsi="Arial"/>
                <w:sz w:val="13"/>
                <w:szCs w:val="13"/>
                <w:color w:val="auto"/>
              </w:rPr>
              <w:t xml:space="preserve">Audit – </w:t>
            </w:r>
            <w:r>
              <w:rPr>
                <w:rFonts w:ascii="Arial" w:cs="Arial" w:eastAsia="Arial" w:hAnsi="Arial"/>
                <w:sz w:val="13"/>
                <w:szCs w:val="13"/>
                <w:i w:val="1"/>
                <w:iCs w:val="1"/>
                <w:color w:val="auto"/>
              </w:rPr>
              <w:t>audit committee financial expert</w:t>
            </w:r>
          </w:p>
        </w:tc>
        <w:tc>
          <w:tcPr>
            <w:tcW w:w="4660" w:type="dxa"/>
            <w:vAlign w:val="bottom"/>
            <w:gridSpan w:val="3"/>
            <w:shd w:val="clear" w:color="auto" w:fill="D8D8D8"/>
          </w:tcPr>
          <w:p>
            <w:pPr>
              <w:ind w:left="700"/>
              <w:spacing w:after="0" w:line="135" w:lineRule="exact"/>
              <w:rPr>
                <w:sz w:val="20"/>
                <w:szCs w:val="20"/>
                <w:color w:val="auto"/>
              </w:rPr>
            </w:pPr>
            <w:r>
              <w:rPr>
                <w:rFonts w:ascii="Arial" w:cs="Arial" w:eastAsia="Arial" w:hAnsi="Arial"/>
                <w:sz w:val="13"/>
                <w:szCs w:val="13"/>
                <w:color w:val="auto"/>
              </w:rPr>
              <w:t>•  The James Irvine Foundation</w:t>
            </w:r>
          </w:p>
        </w:tc>
        <w:tc>
          <w:tcPr>
            <w:tcW w:w="0" w:type="dxa"/>
            <w:vAlign w:val="bottom"/>
          </w:tcPr>
          <w:p>
            <w:pPr>
              <w:spacing w:after="0"/>
              <w:rPr>
                <w:sz w:val="1"/>
                <w:szCs w:val="1"/>
                <w:color w:val="auto"/>
              </w:rPr>
            </w:pPr>
          </w:p>
        </w:tc>
      </w:tr>
      <w:tr>
        <w:trPr>
          <w:trHeight w:val="117"/>
        </w:trPr>
        <w:tc>
          <w:tcPr>
            <w:tcW w:w="3380" w:type="dxa"/>
            <w:vAlign w:val="bottom"/>
            <w:gridSpan w:val="2"/>
            <w:vMerge w:val="restart"/>
            <w:shd w:val="clear" w:color="auto" w:fill="D8D8D8"/>
          </w:tcPr>
          <w:p>
            <w:pPr>
              <w:ind w:left="100"/>
              <w:spacing w:after="0"/>
              <w:rPr>
                <w:sz w:val="20"/>
                <w:szCs w:val="20"/>
                <w:color w:val="auto"/>
              </w:rPr>
            </w:pPr>
            <w:r>
              <w:rPr>
                <w:rFonts w:ascii="Arial" w:cs="Arial" w:eastAsia="Arial" w:hAnsi="Arial"/>
                <w:sz w:val="13"/>
                <w:szCs w:val="13"/>
                <w:b w:val="1"/>
                <w:bCs w:val="1"/>
                <w:color w:val="auto"/>
              </w:rPr>
              <w:t>Current Public Company Directorships:</w:t>
            </w:r>
          </w:p>
        </w:tc>
        <w:tc>
          <w:tcPr>
            <w:tcW w:w="800" w:type="dxa"/>
            <w:vAlign w:val="bottom"/>
            <w:shd w:val="clear" w:color="auto" w:fill="D8D8D8"/>
          </w:tcPr>
          <w:p>
            <w:pPr>
              <w:ind w:left="700"/>
              <w:spacing w:after="0" w:line="117" w:lineRule="exact"/>
              <w:rPr>
                <w:sz w:val="20"/>
                <w:szCs w:val="20"/>
                <w:color w:val="auto"/>
              </w:rPr>
            </w:pPr>
            <w:r>
              <w:rPr>
                <w:rFonts w:ascii="Arial" w:cs="Arial" w:eastAsia="Arial" w:hAnsi="Arial"/>
                <w:sz w:val="13"/>
                <w:szCs w:val="13"/>
                <w:color w:val="auto"/>
              </w:rPr>
              <w:t>•</w:t>
            </w:r>
          </w:p>
        </w:tc>
        <w:tc>
          <w:tcPr>
            <w:tcW w:w="3860" w:type="dxa"/>
            <w:vAlign w:val="bottom"/>
            <w:gridSpan w:val="2"/>
            <w:shd w:val="clear" w:color="auto" w:fill="D8D8D8"/>
          </w:tcPr>
          <w:p>
            <w:pPr>
              <w:ind w:left="60"/>
              <w:spacing w:after="0" w:line="117" w:lineRule="exact"/>
              <w:rPr>
                <w:sz w:val="20"/>
                <w:szCs w:val="20"/>
                <w:color w:val="auto"/>
              </w:rPr>
            </w:pPr>
            <w:r>
              <w:rPr>
                <w:rFonts w:ascii="Arial" w:cs="Arial" w:eastAsia="Arial" w:hAnsi="Arial"/>
                <w:sz w:val="13"/>
                <w:szCs w:val="13"/>
                <w:color w:val="auto"/>
              </w:rPr>
              <w:t>Wesleyan University</w:t>
            </w:r>
          </w:p>
        </w:tc>
        <w:tc>
          <w:tcPr>
            <w:tcW w:w="0" w:type="dxa"/>
            <w:vAlign w:val="bottom"/>
          </w:tcPr>
          <w:p>
            <w:pPr>
              <w:spacing w:after="0"/>
              <w:rPr>
                <w:sz w:val="1"/>
                <w:szCs w:val="1"/>
                <w:color w:val="auto"/>
              </w:rPr>
            </w:pPr>
          </w:p>
        </w:tc>
      </w:tr>
      <w:tr>
        <w:trPr>
          <w:trHeight w:val="126"/>
        </w:trPr>
        <w:tc>
          <w:tcPr>
            <w:tcW w:w="3380" w:type="dxa"/>
            <w:vAlign w:val="bottom"/>
            <w:gridSpan w:val="2"/>
            <w:vMerge w:val="continue"/>
            <w:shd w:val="clear" w:color="auto" w:fill="D8D8D8"/>
          </w:tcPr>
          <w:p>
            <w:pPr>
              <w:spacing w:after="0"/>
              <w:rPr>
                <w:sz w:val="10"/>
                <w:szCs w:val="10"/>
                <w:color w:val="auto"/>
              </w:rPr>
            </w:pPr>
          </w:p>
        </w:tc>
        <w:tc>
          <w:tcPr>
            <w:tcW w:w="800" w:type="dxa"/>
            <w:vAlign w:val="bottom"/>
            <w:shd w:val="clear" w:color="auto" w:fill="D8D8D8"/>
          </w:tcPr>
          <w:p>
            <w:pPr>
              <w:ind w:left="700"/>
              <w:spacing w:after="0" w:line="126" w:lineRule="exact"/>
              <w:rPr>
                <w:sz w:val="20"/>
                <w:szCs w:val="20"/>
                <w:color w:val="auto"/>
              </w:rPr>
            </w:pPr>
            <w:r>
              <w:rPr>
                <w:rFonts w:ascii="Arial" w:cs="Arial" w:eastAsia="Arial" w:hAnsi="Arial"/>
                <w:sz w:val="13"/>
                <w:szCs w:val="13"/>
                <w:color w:val="auto"/>
              </w:rPr>
              <w:t>•</w:t>
            </w:r>
          </w:p>
        </w:tc>
        <w:tc>
          <w:tcPr>
            <w:tcW w:w="3860" w:type="dxa"/>
            <w:vAlign w:val="bottom"/>
            <w:gridSpan w:val="2"/>
            <w:shd w:val="clear" w:color="auto" w:fill="D8D8D8"/>
          </w:tcPr>
          <w:p>
            <w:pPr>
              <w:ind w:left="60"/>
              <w:spacing w:after="0" w:line="126" w:lineRule="exact"/>
              <w:rPr>
                <w:sz w:val="20"/>
                <w:szCs w:val="20"/>
                <w:color w:val="auto"/>
              </w:rPr>
            </w:pPr>
            <w:r>
              <w:rPr>
                <w:rFonts w:ascii="Arial" w:cs="Arial" w:eastAsia="Arial" w:hAnsi="Arial"/>
                <w:sz w:val="13"/>
                <w:szCs w:val="13"/>
                <w:color w:val="auto"/>
              </w:rPr>
              <w:t>XPRIZE Foundation</w:t>
            </w:r>
          </w:p>
        </w:tc>
        <w:tc>
          <w:tcPr>
            <w:tcW w:w="0" w:type="dxa"/>
            <w:vAlign w:val="bottom"/>
          </w:tcPr>
          <w:p>
            <w:pPr>
              <w:spacing w:after="0"/>
              <w:rPr>
                <w:sz w:val="1"/>
                <w:szCs w:val="1"/>
                <w:color w:val="auto"/>
              </w:rPr>
            </w:pPr>
          </w:p>
        </w:tc>
      </w:tr>
      <w:tr>
        <w:trPr>
          <w:trHeight w:val="117"/>
        </w:trPr>
        <w:tc>
          <w:tcPr>
            <w:tcW w:w="200" w:type="dxa"/>
            <w:vAlign w:val="bottom"/>
            <w:shd w:val="clear" w:color="auto" w:fill="D8D8D8"/>
          </w:tcPr>
          <w:p>
            <w:pPr>
              <w:ind w:left="100"/>
              <w:spacing w:after="0" w:line="117" w:lineRule="exact"/>
              <w:rPr>
                <w:sz w:val="20"/>
                <w:szCs w:val="20"/>
                <w:color w:val="auto"/>
              </w:rPr>
            </w:pPr>
            <w:r>
              <w:rPr>
                <w:rFonts w:ascii="Arial" w:cs="Arial" w:eastAsia="Arial" w:hAnsi="Arial"/>
                <w:sz w:val="13"/>
                <w:szCs w:val="13"/>
                <w:color w:val="auto"/>
              </w:rPr>
              <w:t>•</w:t>
            </w:r>
          </w:p>
        </w:tc>
        <w:tc>
          <w:tcPr>
            <w:tcW w:w="3180" w:type="dxa"/>
            <w:vAlign w:val="bottom"/>
            <w:shd w:val="clear" w:color="auto" w:fill="D8D8D8"/>
          </w:tcPr>
          <w:p>
            <w:pPr>
              <w:ind w:left="60"/>
              <w:spacing w:after="0" w:line="117" w:lineRule="exact"/>
              <w:rPr>
                <w:sz w:val="20"/>
                <w:szCs w:val="20"/>
                <w:color w:val="auto"/>
              </w:rPr>
            </w:pPr>
            <w:r>
              <w:rPr>
                <w:rFonts w:ascii="Arial" w:cs="Arial" w:eastAsia="Arial" w:hAnsi="Arial"/>
                <w:sz w:val="13"/>
                <w:szCs w:val="13"/>
                <w:color w:val="auto"/>
              </w:rPr>
              <w:t>Daily Journal Corporation</w:t>
            </w:r>
          </w:p>
        </w:tc>
        <w:tc>
          <w:tcPr>
            <w:tcW w:w="800" w:type="dxa"/>
            <w:vAlign w:val="bottom"/>
            <w:shd w:val="clear" w:color="auto" w:fill="D8D8D8"/>
          </w:tcPr>
          <w:p>
            <w:pPr>
              <w:spacing w:after="0"/>
              <w:rPr>
                <w:sz w:val="10"/>
                <w:szCs w:val="10"/>
                <w:color w:val="auto"/>
              </w:rPr>
            </w:pPr>
          </w:p>
        </w:tc>
        <w:tc>
          <w:tcPr>
            <w:tcW w:w="1740" w:type="dxa"/>
            <w:vAlign w:val="bottom"/>
            <w:shd w:val="clear" w:color="auto" w:fill="D8D8D8"/>
          </w:tcPr>
          <w:p>
            <w:pPr>
              <w:spacing w:after="0"/>
              <w:rPr>
                <w:sz w:val="10"/>
                <w:szCs w:val="10"/>
                <w:color w:val="auto"/>
              </w:rPr>
            </w:pPr>
          </w:p>
        </w:tc>
        <w:tc>
          <w:tcPr>
            <w:tcW w:w="212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80" w:type="dxa"/>
            <w:vAlign w:val="bottom"/>
            <w:gridSpan w:val="2"/>
            <w:shd w:val="clear" w:color="auto" w:fill="D8D8D8"/>
          </w:tcPr>
          <w:p>
            <w:pPr>
              <w:ind w:left="100"/>
              <w:spacing w:after="0" w:line="135" w:lineRule="exact"/>
              <w:rPr>
                <w:sz w:val="20"/>
                <w:szCs w:val="20"/>
                <w:color w:val="auto"/>
              </w:rPr>
            </w:pPr>
            <w:r>
              <w:rPr>
                <w:rFonts w:ascii="Arial" w:cs="Arial" w:eastAsia="Arial" w:hAnsi="Arial"/>
                <w:sz w:val="13"/>
                <w:szCs w:val="13"/>
                <w:color w:val="auto"/>
              </w:rPr>
              <w:t>•  Oaktree Capital Group, LLC</w:t>
            </w:r>
          </w:p>
        </w:tc>
        <w:tc>
          <w:tcPr>
            <w:tcW w:w="800" w:type="dxa"/>
            <w:vAlign w:val="bottom"/>
            <w:shd w:val="clear" w:color="auto" w:fill="D8D8D8"/>
          </w:tcPr>
          <w:p>
            <w:pPr>
              <w:spacing w:after="0"/>
              <w:rPr>
                <w:sz w:val="11"/>
                <w:szCs w:val="11"/>
                <w:color w:val="auto"/>
              </w:rPr>
            </w:pPr>
          </w:p>
        </w:tc>
        <w:tc>
          <w:tcPr>
            <w:tcW w:w="1740" w:type="dxa"/>
            <w:vAlign w:val="bottom"/>
            <w:shd w:val="clear" w:color="auto" w:fill="D8D8D8"/>
          </w:tcPr>
          <w:p>
            <w:pPr>
              <w:spacing w:after="0"/>
              <w:rPr>
                <w:sz w:val="11"/>
                <w:szCs w:val="11"/>
                <w:color w:val="auto"/>
              </w:rPr>
            </w:pPr>
          </w:p>
        </w:tc>
        <w:tc>
          <w:tcPr>
            <w:tcW w:w="212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 w:type="dxa"/>
            <w:vAlign w:val="bottom"/>
            <w:shd w:val="clear" w:color="auto" w:fill="D8D8D8"/>
          </w:tcPr>
          <w:p>
            <w:pPr>
              <w:spacing w:after="0"/>
              <w:rPr>
                <w:sz w:val="11"/>
                <w:szCs w:val="11"/>
                <w:color w:val="auto"/>
              </w:rPr>
            </w:pPr>
          </w:p>
        </w:tc>
        <w:tc>
          <w:tcPr>
            <w:tcW w:w="3180" w:type="dxa"/>
            <w:vAlign w:val="bottom"/>
            <w:shd w:val="clear" w:color="auto" w:fill="D8D8D8"/>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   </w:t>
            </w:r>
            <w:r>
              <w:rPr>
                <w:rFonts w:ascii="Arial" w:cs="Arial" w:eastAsia="Arial" w:hAnsi="Arial"/>
                <w:sz w:val="12"/>
                <w:szCs w:val="12"/>
                <w:color w:val="auto"/>
              </w:rPr>
              <w:t>Oaktree Acquisition Corporation II</w:t>
            </w:r>
          </w:p>
        </w:tc>
        <w:tc>
          <w:tcPr>
            <w:tcW w:w="800" w:type="dxa"/>
            <w:vAlign w:val="bottom"/>
            <w:shd w:val="clear" w:color="auto" w:fill="D8D8D8"/>
          </w:tcPr>
          <w:p>
            <w:pPr>
              <w:spacing w:after="0"/>
              <w:rPr>
                <w:sz w:val="11"/>
                <w:szCs w:val="11"/>
                <w:color w:val="auto"/>
              </w:rPr>
            </w:pPr>
          </w:p>
        </w:tc>
        <w:tc>
          <w:tcPr>
            <w:tcW w:w="1740" w:type="dxa"/>
            <w:vAlign w:val="bottom"/>
            <w:shd w:val="clear" w:color="auto" w:fill="D8D8D8"/>
          </w:tcPr>
          <w:p>
            <w:pPr>
              <w:spacing w:after="0"/>
              <w:rPr>
                <w:sz w:val="11"/>
                <w:szCs w:val="11"/>
                <w:color w:val="auto"/>
              </w:rPr>
            </w:pPr>
          </w:p>
        </w:tc>
        <w:tc>
          <w:tcPr>
            <w:tcW w:w="212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0" w:type="dxa"/>
            <w:vAlign w:val="bottom"/>
            <w:shd w:val="clear" w:color="auto" w:fill="D8D8D8"/>
          </w:tcPr>
          <w:p>
            <w:pPr>
              <w:spacing w:after="0"/>
              <w:rPr>
                <w:sz w:val="14"/>
                <w:szCs w:val="14"/>
                <w:color w:val="auto"/>
              </w:rPr>
            </w:pPr>
          </w:p>
        </w:tc>
        <w:tc>
          <w:tcPr>
            <w:tcW w:w="3180" w:type="dxa"/>
            <w:vAlign w:val="bottom"/>
            <w:shd w:val="clear" w:color="auto" w:fill="D8D8D8"/>
          </w:tcPr>
          <w:p>
            <w:pPr>
              <w:ind w:left="100"/>
              <w:spacing w:after="0"/>
              <w:rPr>
                <w:sz w:val="20"/>
                <w:szCs w:val="20"/>
                <w:color w:val="auto"/>
              </w:rPr>
            </w:pPr>
            <w:r>
              <w:rPr>
                <w:rFonts w:ascii="Times New Roman" w:cs="Times New Roman" w:eastAsia="Times New Roman" w:hAnsi="Times New Roman"/>
                <w:sz w:val="11"/>
                <w:szCs w:val="11"/>
                <w:color w:val="auto"/>
              </w:rPr>
              <w:t xml:space="preserve">¡  </w:t>
            </w:r>
            <w:r>
              <w:rPr>
                <w:rFonts w:ascii="Arial" w:cs="Arial" w:eastAsia="Arial" w:hAnsi="Arial"/>
                <w:sz w:val="12"/>
                <w:szCs w:val="12"/>
                <w:color w:val="auto"/>
              </w:rPr>
              <w:t>Oaktree Specialty Lending Corporation</w:t>
            </w:r>
          </w:p>
        </w:tc>
        <w:tc>
          <w:tcPr>
            <w:tcW w:w="800" w:type="dxa"/>
            <w:vAlign w:val="bottom"/>
            <w:shd w:val="clear" w:color="auto" w:fill="D8D8D8"/>
          </w:tcPr>
          <w:p>
            <w:pPr>
              <w:spacing w:after="0"/>
              <w:rPr>
                <w:sz w:val="14"/>
                <w:szCs w:val="14"/>
                <w:color w:val="auto"/>
              </w:rPr>
            </w:pPr>
          </w:p>
        </w:tc>
        <w:tc>
          <w:tcPr>
            <w:tcW w:w="1740" w:type="dxa"/>
            <w:vAlign w:val="bottom"/>
            <w:shd w:val="clear" w:color="auto" w:fill="D8D8D8"/>
          </w:tcPr>
          <w:p>
            <w:pPr>
              <w:spacing w:after="0"/>
              <w:rPr>
                <w:sz w:val="14"/>
                <w:szCs w:val="14"/>
                <w:color w:val="auto"/>
              </w:rPr>
            </w:pPr>
          </w:p>
        </w:tc>
        <w:tc>
          <w:tcPr>
            <w:tcW w:w="212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662"/>
        </w:trPr>
        <w:tc>
          <w:tcPr>
            <w:tcW w:w="200" w:type="dxa"/>
            <w:vAlign w:val="bottom"/>
            <w:shd w:val="clear" w:color="auto" w:fill="D8D8D8"/>
          </w:tcPr>
          <w:p>
            <w:pPr>
              <w:spacing w:after="0"/>
              <w:rPr>
                <w:sz w:val="24"/>
                <w:szCs w:val="24"/>
                <w:color w:val="auto"/>
              </w:rPr>
            </w:pPr>
          </w:p>
        </w:tc>
        <w:tc>
          <w:tcPr>
            <w:tcW w:w="3180" w:type="dxa"/>
            <w:vAlign w:val="bottom"/>
            <w:shd w:val="clear" w:color="auto" w:fill="D8D8D8"/>
          </w:tcPr>
          <w:p>
            <w:pPr>
              <w:spacing w:after="0"/>
              <w:rPr>
                <w:sz w:val="24"/>
                <w:szCs w:val="24"/>
                <w:color w:val="auto"/>
              </w:rPr>
            </w:pPr>
          </w:p>
        </w:tc>
        <w:tc>
          <w:tcPr>
            <w:tcW w:w="800" w:type="dxa"/>
            <w:vAlign w:val="bottom"/>
            <w:shd w:val="clear" w:color="auto" w:fill="D8D8D8"/>
          </w:tcPr>
          <w:p>
            <w:pPr>
              <w:spacing w:after="0"/>
              <w:rPr>
                <w:sz w:val="24"/>
                <w:szCs w:val="24"/>
                <w:color w:val="auto"/>
              </w:rPr>
            </w:pPr>
          </w:p>
        </w:tc>
        <w:tc>
          <w:tcPr>
            <w:tcW w:w="1740" w:type="dxa"/>
            <w:vAlign w:val="bottom"/>
            <w:shd w:val="clear" w:color="auto" w:fill="D8D8D8"/>
          </w:tcPr>
          <w:p>
            <w:pPr>
              <w:spacing w:after="0"/>
              <w:rPr>
                <w:sz w:val="24"/>
                <w:szCs w:val="24"/>
                <w:color w:val="auto"/>
              </w:rPr>
            </w:pPr>
          </w:p>
        </w:tc>
        <w:tc>
          <w:tcPr>
            <w:tcW w:w="212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-1687830</wp:posOffset>
            </wp:positionV>
            <wp:extent cx="17145" cy="1688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 cy="168846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-1688465</wp:posOffset>
            </wp:positionV>
            <wp:extent cx="1903095" cy="1689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03095" cy="1689100"/>
                    </a:xfrm>
                    <a:prstGeom prst="rect">
                      <a:avLst/>
                    </a:prstGeom>
                    <a:noFill/>
                  </pic:spPr>
                </pic:pic>
              </a:graphicData>
            </a:graphic>
          </wp:anchor>
        </w:drawing>
      </w:r>
    </w:p>
    <w:p>
      <w:pPr>
        <w:spacing w:after="0" w:line="74"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b w:val="1"/>
          <w:bCs w:val="1"/>
          <w:color w:val="auto"/>
        </w:rPr>
        <w:t xml:space="preserve">Mr. Frank </w:t>
      </w:r>
      <w:r>
        <w:rPr>
          <w:rFonts w:ascii="Arial" w:cs="Arial" w:eastAsia="Arial" w:hAnsi="Arial"/>
          <w:sz w:val="16"/>
          <w:szCs w:val="16"/>
          <w:color w:val="auto"/>
        </w:rPr>
        <w:t>has been Vice Chairman since 2014, and Director since 2007, of Oaktree Capital Group, LLC (“Oaktree Capital”), a global investment</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company with expertise in credit strategies. He is one of four members of Oaktree Capital’s Executive Committee and was previously the firm’s principal executive officer. Mr. Frank was Oaktree Capital’s Managing Principal from 2005 until 2014, having joined Oaktree Capital in 2001 as General Counsel. Prior to that, he served as a Partner of the Los Angeles law firm of Munger, Tolles &amp; Olson LLP, where his practice focused on mergers and acquisitions and general corporate counseling.</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Skills and qualifications</w:t>
      </w:r>
    </w:p>
    <w:p>
      <w:pPr>
        <w:spacing w:after="0" w:line="58" w:lineRule="exact"/>
        <w:rPr>
          <w:sz w:val="20"/>
          <w:szCs w:val="20"/>
          <w:color w:val="auto"/>
        </w:rPr>
      </w:pPr>
    </w:p>
    <w:p>
      <w:pPr>
        <w:ind w:left="120" w:right="640"/>
        <w:spacing w:after="0" w:line="286" w:lineRule="auto"/>
        <w:rPr>
          <w:sz w:val="20"/>
          <w:szCs w:val="20"/>
          <w:color w:val="auto"/>
        </w:rPr>
      </w:pPr>
      <w:r>
        <w:rPr>
          <w:rFonts w:ascii="Arial" w:cs="Arial" w:eastAsia="Arial" w:hAnsi="Arial"/>
          <w:sz w:val="16"/>
          <w:szCs w:val="16"/>
          <w:b w:val="1"/>
          <w:bCs w:val="1"/>
          <w:color w:val="auto"/>
        </w:rPr>
        <w:t xml:space="preserve">Business Leadership/Operations: </w:t>
      </w:r>
      <w:r>
        <w:rPr>
          <w:rFonts w:ascii="Arial" w:cs="Arial" w:eastAsia="Arial" w:hAnsi="Arial"/>
          <w:sz w:val="16"/>
          <w:szCs w:val="16"/>
          <w:color w:val="auto"/>
        </w:rPr>
        <w:t>Over 20 years of service as senior executive of Oaktree Capital, a global investment management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service as principal executive officer, Vice Chairman, Director, Managing Principal, and General Counsel.</w:t>
      </w:r>
    </w:p>
    <w:p>
      <w:pPr>
        <w:spacing w:after="0" w:line="21" w:lineRule="exact"/>
        <w:rPr>
          <w:sz w:val="20"/>
          <w:szCs w:val="20"/>
          <w:color w:val="auto"/>
        </w:rPr>
      </w:pPr>
    </w:p>
    <w:p>
      <w:pPr>
        <w:ind w:left="120" w:right="540"/>
        <w:spacing w:after="0" w:line="286" w:lineRule="auto"/>
        <w:rPr>
          <w:sz w:val="20"/>
          <w:szCs w:val="20"/>
          <w:color w:val="auto"/>
        </w:rPr>
      </w:pPr>
      <w:r>
        <w:rPr>
          <w:rFonts w:ascii="Arial" w:cs="Arial" w:eastAsia="Arial" w:hAnsi="Arial"/>
          <w:sz w:val="16"/>
          <w:szCs w:val="16"/>
          <w:b w:val="1"/>
          <w:bCs w:val="1"/>
          <w:color w:val="auto"/>
        </w:rPr>
        <w:t xml:space="preserve">Finance: </w:t>
      </w:r>
      <w:r>
        <w:rPr>
          <w:rFonts w:ascii="Arial" w:cs="Arial" w:eastAsia="Arial" w:hAnsi="Arial"/>
          <w:sz w:val="16"/>
          <w:szCs w:val="16"/>
          <w:color w:val="auto"/>
        </w:rPr>
        <w:t>More than 22 years of financial responsibility and experience as a senior executive at Oaktree Capital, and as the partner responsible for</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affairs at the law firm of Munger, Tolles &amp; Olson LLP.</w:t>
      </w:r>
    </w:p>
    <w:p>
      <w:pPr>
        <w:spacing w:after="0" w:line="7" w:lineRule="exact"/>
        <w:rPr>
          <w:sz w:val="20"/>
          <w:szCs w:val="20"/>
          <w:color w:val="auto"/>
        </w:rPr>
      </w:pPr>
    </w:p>
    <w:p>
      <w:pPr>
        <w:jc w:val="both"/>
        <w:ind w:left="120" w:right="420"/>
        <w:spacing w:after="0" w:line="266" w:lineRule="auto"/>
        <w:rPr>
          <w:sz w:val="20"/>
          <w:szCs w:val="20"/>
          <w:color w:val="auto"/>
        </w:rPr>
      </w:pPr>
      <w:r>
        <w:rPr>
          <w:rFonts w:ascii="Arial" w:cs="Arial" w:eastAsia="Arial" w:hAnsi="Arial"/>
          <w:sz w:val="16"/>
          <w:szCs w:val="16"/>
          <w:b w:val="1"/>
          <w:bCs w:val="1"/>
          <w:color w:val="auto"/>
        </w:rPr>
        <w:t xml:space="preserve">Global Business/International Affairs: </w:t>
      </w:r>
      <w:r>
        <w:rPr>
          <w:rFonts w:ascii="Arial" w:cs="Arial" w:eastAsia="Arial" w:hAnsi="Arial"/>
          <w:sz w:val="16"/>
          <w:szCs w:val="16"/>
          <w:color w:val="auto"/>
        </w:rPr>
        <w:t>Senior executive of Oaktree Capital, which conducts business worldwide from 18 offices around the globe.</w:t>
      </w:r>
      <w:r>
        <w:rPr>
          <w:rFonts w:ascii="Arial" w:cs="Arial" w:eastAsia="Arial" w:hAnsi="Arial"/>
          <w:sz w:val="16"/>
          <w:szCs w:val="16"/>
          <w:b w:val="1"/>
          <w:bCs w:val="1"/>
          <w:color w:val="auto"/>
        </w:rPr>
        <w:t xml:space="preserve"> </w:t>
      </w:r>
      <w:r>
        <w:rPr>
          <w:rFonts w:ascii="Arial" w:cs="Arial" w:eastAsia="Arial" w:hAnsi="Arial"/>
          <w:sz w:val="16"/>
          <w:szCs w:val="16"/>
          <w:color w:val="auto"/>
        </w:rPr>
        <w:t>Travels around the world to meet with Oaktree Capital’s institutional clients and speak at international investment forums. Director of companies with international operations.</w:t>
      </w:r>
    </w:p>
    <w:p>
      <w:pPr>
        <w:spacing w:after="0" w:line="23" w:lineRule="exact"/>
        <w:rPr>
          <w:sz w:val="20"/>
          <w:szCs w:val="20"/>
          <w:color w:val="auto"/>
        </w:rPr>
      </w:pPr>
    </w:p>
    <w:p>
      <w:pPr>
        <w:ind w:left="120" w:right="200"/>
        <w:spacing w:after="0" w:line="266" w:lineRule="auto"/>
        <w:rPr>
          <w:sz w:val="20"/>
          <w:szCs w:val="20"/>
          <w:color w:val="auto"/>
        </w:rPr>
      </w:pPr>
      <w:r>
        <w:rPr>
          <w:rFonts w:ascii="Arial" w:cs="Arial" w:eastAsia="Arial" w:hAnsi="Arial"/>
          <w:sz w:val="16"/>
          <w:szCs w:val="16"/>
          <w:b w:val="1"/>
          <w:bCs w:val="1"/>
          <w:color w:val="auto"/>
        </w:rPr>
        <w:t xml:space="preserve">Government/Regulatory/Public Policy: </w:t>
      </w:r>
      <w:r>
        <w:rPr>
          <w:rFonts w:ascii="Arial" w:cs="Arial" w:eastAsia="Arial" w:hAnsi="Arial"/>
          <w:sz w:val="16"/>
          <w:szCs w:val="16"/>
          <w:color w:val="auto"/>
        </w:rPr>
        <w:t>Two decades of experience working with government officials regarding regulatory and public policy issues,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testimony before the U.S. Senate Finance Committee and as a senior executive of Oaktree Capital. Served as a Legislative Assistant to the Honorable Robert F. Drinan, Member of Congress, and as a law clerk to the Honorable Frank M. Coffin of the U.S. Court of Appeals for the First Circuit.</w:t>
      </w:r>
    </w:p>
    <w:p>
      <w:pPr>
        <w:spacing w:after="0" w:line="36" w:lineRule="exact"/>
        <w:rPr>
          <w:sz w:val="20"/>
          <w:szCs w:val="20"/>
          <w:color w:val="auto"/>
        </w:rPr>
      </w:pPr>
    </w:p>
    <w:p>
      <w:pPr>
        <w:ind w:left="120" w:right="860"/>
        <w:spacing w:after="0" w:line="286" w:lineRule="auto"/>
        <w:rPr>
          <w:sz w:val="20"/>
          <w:szCs w:val="20"/>
          <w:color w:val="auto"/>
        </w:rPr>
      </w:pPr>
      <w:r>
        <w:rPr>
          <w:rFonts w:ascii="Arial" w:cs="Arial" w:eastAsia="Arial" w:hAnsi="Arial"/>
          <w:sz w:val="16"/>
          <w:szCs w:val="16"/>
          <w:b w:val="1"/>
          <w:bCs w:val="1"/>
          <w:color w:val="auto"/>
        </w:rPr>
        <w:t xml:space="preserve">Legal: </w:t>
      </w:r>
      <w:r>
        <w:rPr>
          <w:rFonts w:ascii="Arial" w:cs="Arial" w:eastAsia="Arial" w:hAnsi="Arial"/>
          <w:sz w:val="16"/>
          <w:szCs w:val="16"/>
          <w:color w:val="auto"/>
        </w:rPr>
        <w:t>Served as General Counsel of Oaktree Capital. Former Partner of Munger, Tolles &amp; Olson LLP. Extensive experience with mergers and</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acquisitions and strategic, financial, and corporate governance issues. Law degree from the University of Michigan.</w:t>
      </w:r>
    </w:p>
    <w:p>
      <w:pPr>
        <w:spacing w:after="0" w:line="8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Chevron Corporation – 2022 Proxy Statement</w:t>
      </w:r>
    </w:p>
    <w:p>
      <w:pPr>
        <w:spacing w:after="0" w:line="5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40"/>
          </w:cols>
          <w:pgMar w:left="320" w:top="455" w:right="4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26873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68730" cy="145415"/>
                    </a:xfrm>
                    <a:prstGeom prst="rect">
                      <a:avLst/>
                    </a:prstGeom>
                    <a:noFill/>
                  </pic:spPr>
                </pic:pic>
              </a:graphicData>
            </a:graphic>
          </wp:anchor>
        </w:drawing>
      </w:r>
    </w:p>
    <w:p>
      <w:pPr>
        <w:spacing w:after="0" w:line="33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FFFFFF"/>
        </w:rPr>
        <w:t>Election of directors</w:t>
      </w:r>
    </w:p>
    <w:p>
      <w:pPr>
        <w:spacing w:after="0" w:line="157"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0B2D71"/>
        </w:rPr>
        <w:t>Alice P. Gast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1885950" cy="1688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85950" cy="1688465"/>
                    </a:xfrm>
                    <a:prstGeom prst="rect">
                      <a:avLst/>
                    </a:prstGeom>
                    <a:noFill/>
                  </pic:spPr>
                </pic:pic>
              </a:graphicData>
            </a:graphic>
          </wp:anchor>
        </w:drawing>
      </w:r>
    </w:p>
    <w:p>
      <w:pPr>
        <w:spacing w:after="0" w:line="6" w:lineRule="exact"/>
        <w:rPr>
          <w:sz w:val="20"/>
          <w:szCs w:val="20"/>
          <w:color w:val="auto"/>
        </w:rPr>
      </w:pPr>
    </w:p>
    <w:p>
      <w:pPr>
        <w:ind w:left="3200"/>
        <w:spacing w:after="0"/>
        <w:rPr>
          <w:sz w:val="20"/>
          <w:szCs w:val="20"/>
          <w:color w:val="auto"/>
        </w:rPr>
      </w:pPr>
      <w:r>
        <w:rPr>
          <w:rFonts w:ascii="Arial" w:cs="Arial" w:eastAsia="Arial" w:hAnsi="Arial"/>
          <w:sz w:val="13"/>
          <w:szCs w:val="13"/>
          <w:b w:val="1"/>
          <w:bCs w:val="1"/>
          <w:color w:val="auto"/>
        </w:rPr>
        <w:t>President, Imperial College London</w:t>
      </w:r>
    </w:p>
    <w:p>
      <w:pPr>
        <w:spacing w:after="0" w:line="52" w:lineRule="exact"/>
        <w:rPr>
          <w:sz w:val="20"/>
          <w:szCs w:val="20"/>
          <w:color w:val="auto"/>
        </w:rPr>
      </w:pPr>
    </w:p>
    <w:p>
      <w:pPr>
        <w:ind w:left="320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63</w:t>
      </w:r>
    </w:p>
    <w:p>
      <w:pPr>
        <w:ind w:left="3200"/>
        <w:spacing w:after="0" w:line="216" w:lineRule="auto"/>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December 2012</w:t>
      </w:r>
    </w:p>
    <w:p>
      <w:pPr>
        <w:ind w:left="3200"/>
        <w:spacing w:after="0"/>
        <w:rPr>
          <w:sz w:val="20"/>
          <w:szCs w:val="20"/>
          <w:color w:val="auto"/>
        </w:rPr>
      </w:pPr>
      <w:r>
        <w:rPr>
          <w:rFonts w:ascii="Arial" w:cs="Arial" w:eastAsia="Arial" w:hAnsi="Arial"/>
          <w:sz w:val="13"/>
          <w:szCs w:val="13"/>
          <w:b w:val="1"/>
          <w:bCs w:val="1"/>
          <w:color w:val="auto"/>
        </w:rPr>
        <w:t xml:space="preserve">Independent: </w:t>
      </w:r>
      <w:r>
        <w:rPr>
          <w:rFonts w:ascii="Arial" w:cs="Arial" w:eastAsia="Arial" w:hAnsi="Arial"/>
          <w:sz w:val="13"/>
          <w:szCs w:val="13"/>
          <w:color w:val="auto"/>
        </w:rPr>
        <w:t>Yes</w:t>
      </w:r>
    </w:p>
    <w:p>
      <w:pPr>
        <w:spacing w:after="0" w:line="52" w:lineRule="exact"/>
        <w:rPr>
          <w:sz w:val="20"/>
          <w:szCs w:val="20"/>
          <w:color w:val="auto"/>
        </w:rPr>
      </w:pPr>
    </w:p>
    <w:p>
      <w:pPr>
        <w:ind w:left="3200"/>
        <w:spacing w:after="0"/>
        <w:rPr>
          <w:sz w:val="20"/>
          <w:szCs w:val="20"/>
          <w:color w:val="auto"/>
        </w:rPr>
      </w:pPr>
      <w:r>
        <w:rPr>
          <w:rFonts w:ascii="Arial" w:cs="Arial" w:eastAsia="Arial" w:hAnsi="Arial"/>
          <w:sz w:val="13"/>
          <w:szCs w:val="13"/>
          <w:b w:val="1"/>
          <w:bCs w:val="1"/>
          <w:color w:val="auto"/>
        </w:rPr>
        <w:t>Chevron Committees:</w:t>
      </w:r>
    </w:p>
    <w:p>
      <w:pPr>
        <w:ind w:left="3200" w:right="1100"/>
        <w:spacing w:after="0" w:line="231" w:lineRule="auto"/>
        <w:rPr>
          <w:sz w:val="20"/>
          <w:szCs w:val="20"/>
          <w:color w:val="auto"/>
        </w:rPr>
      </w:pPr>
      <w:r>
        <w:rPr>
          <w:rFonts w:ascii="Arial" w:cs="Arial" w:eastAsia="Arial" w:hAnsi="Arial"/>
          <w:sz w:val="13"/>
          <w:szCs w:val="13"/>
          <w:color w:val="auto"/>
        </w:rPr>
        <w:t>• Board Nominating and Governance • Public Policy and Sustainability</w:t>
      </w:r>
    </w:p>
    <w:p>
      <w:pPr>
        <w:spacing w:after="0" w:line="51" w:lineRule="exact"/>
        <w:rPr>
          <w:sz w:val="20"/>
          <w:szCs w:val="20"/>
          <w:color w:val="auto"/>
        </w:rPr>
      </w:pPr>
    </w:p>
    <w:p>
      <w:pPr>
        <w:ind w:left="3200"/>
        <w:spacing w:after="0"/>
        <w:rPr>
          <w:sz w:val="20"/>
          <w:szCs w:val="20"/>
          <w:color w:val="auto"/>
        </w:rPr>
      </w:pPr>
      <w:r>
        <w:rPr>
          <w:rFonts w:ascii="Arial" w:cs="Arial" w:eastAsia="Arial" w:hAnsi="Arial"/>
          <w:sz w:val="12"/>
          <w:szCs w:val="12"/>
          <w:b w:val="1"/>
          <w:bCs w:val="1"/>
          <w:color w:val="auto"/>
        </w:rPr>
        <w:t>Current Public Company Directorships:</w:t>
      </w:r>
    </w:p>
    <w:p>
      <w:pPr>
        <w:spacing w:after="0" w:line="9" w:lineRule="exact"/>
        <w:rPr>
          <w:sz w:val="20"/>
          <w:szCs w:val="20"/>
          <w:color w:val="auto"/>
        </w:rPr>
      </w:pPr>
    </w:p>
    <w:p>
      <w:pPr>
        <w:ind w:left="3200"/>
        <w:spacing w:after="0"/>
        <w:tabs>
          <w:tab w:leader="none" w:pos="334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Prior Public Company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-278765</wp:posOffset>
            </wp:positionV>
            <wp:extent cx="5109210" cy="1688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09210" cy="1688465"/>
                    </a:xfrm>
                    <a:prstGeom prst="rect">
                      <a:avLst/>
                    </a:prstGeom>
                    <a:noFill/>
                  </pic:spPr>
                </pic:pic>
              </a:graphicData>
            </a:graphic>
          </wp:anchor>
        </w:drawing>
      </w:r>
    </w:p>
    <w:p>
      <w:pPr>
        <w:spacing w:after="0" w:line="216" w:lineRule="auto"/>
        <w:rPr>
          <w:sz w:val="20"/>
          <w:szCs w:val="20"/>
          <w:color w:val="auto"/>
        </w:rPr>
      </w:pPr>
      <w:r>
        <w:rPr>
          <w:rFonts w:ascii="Arial" w:cs="Arial" w:eastAsia="Arial" w:hAnsi="Arial"/>
          <w:sz w:val="13"/>
          <w:szCs w:val="13"/>
          <w:color w:val="auto"/>
        </w:rPr>
        <w:t>(within last five years):</w:t>
      </w:r>
    </w:p>
    <w:p>
      <w:pPr>
        <w:ind w:left="180" w:hanging="177"/>
        <w:spacing w:after="0"/>
        <w:tabs>
          <w:tab w:leader="none" w:pos="1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None</w:t>
      </w:r>
    </w:p>
    <w:p>
      <w:pPr>
        <w:spacing w:after="0" w:line="55" w:lineRule="exact"/>
        <w:rPr>
          <w:sz w:val="20"/>
          <w:szCs w:val="20"/>
          <w:color w:val="auto"/>
        </w:rPr>
      </w:pPr>
    </w:p>
    <w:p>
      <w:pPr>
        <w:jc w:val="center"/>
        <w:ind w:right="1600"/>
        <w:spacing w:after="0"/>
        <w:rPr>
          <w:sz w:val="20"/>
          <w:szCs w:val="20"/>
          <w:color w:val="auto"/>
        </w:rPr>
      </w:pPr>
      <w:r>
        <w:rPr>
          <w:rFonts w:ascii="Arial" w:cs="Arial" w:eastAsia="Arial" w:hAnsi="Arial"/>
          <w:sz w:val="12"/>
          <w:szCs w:val="12"/>
          <w:b w:val="1"/>
          <w:bCs w:val="1"/>
          <w:color w:val="auto"/>
        </w:rPr>
        <w:t>Other Directorships and Memberships:</w:t>
      </w:r>
    </w:p>
    <w:p>
      <w:pPr>
        <w:ind w:left="180" w:hanging="177"/>
        <w:spacing w:after="0" w:line="231" w:lineRule="auto"/>
        <w:tabs>
          <w:tab w:leader="none" w:pos="1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National Academy of Engineering</w:t>
      </w:r>
    </w:p>
    <w:p>
      <w:pPr>
        <w:ind w:left="180" w:hanging="177"/>
        <w:spacing w:after="0" w:line="216" w:lineRule="auto"/>
        <w:tabs>
          <w:tab w:leader="none" w:pos="1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Royal Academy of Engineering</w:t>
      </w:r>
    </w:p>
    <w:p>
      <w:pPr>
        <w:ind w:left="160" w:hanging="157"/>
        <w:spacing w:after="0"/>
        <w:tabs>
          <w:tab w:leader="none" w:pos="1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Academie des Technologies (France)</w:t>
      </w:r>
    </w:p>
    <w:p>
      <w:pPr>
        <w:spacing w:after="0" w:line="577" w:lineRule="exact"/>
        <w:rPr>
          <w:sz w:val="20"/>
          <w:szCs w:val="20"/>
          <w:color w:val="auto"/>
        </w:rPr>
      </w:pPr>
    </w:p>
    <w:p>
      <w:pPr>
        <w:sectPr>
          <w:pgSz w:w="11900" w:h="16838" w:orient="portrait"/>
          <w:cols w:equalWidth="0" w:num="2">
            <w:col w:w="6440" w:space="720"/>
            <w:col w:w="3940"/>
          </w:cols>
          <w:pgMar w:left="320" w:top="4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b w:val="1"/>
          <w:bCs w:val="1"/>
          <w:color w:val="auto"/>
        </w:rPr>
        <w:t xml:space="preserve">Dr. Gast </w:t>
      </w:r>
      <w:r>
        <w:rPr>
          <w:rFonts w:ascii="Arial" w:cs="Arial" w:eastAsia="Arial" w:hAnsi="Arial"/>
          <w:sz w:val="16"/>
          <w:szCs w:val="16"/>
          <w:color w:val="auto"/>
        </w:rPr>
        <w:t>has been President of Imperial College London, a public research university specializing in science, engineering, medicine, and business, since</w:t>
      </w:r>
      <w:r>
        <w:rPr>
          <w:rFonts w:ascii="Arial" w:cs="Arial" w:eastAsia="Arial" w:hAnsi="Arial"/>
          <w:sz w:val="16"/>
          <w:szCs w:val="16"/>
          <w:b w:val="1"/>
          <w:bCs w:val="1"/>
          <w:color w:val="auto"/>
        </w:rPr>
        <w:t xml:space="preserve"> </w:t>
      </w:r>
      <w:r>
        <w:rPr>
          <w:rFonts w:ascii="Arial" w:cs="Arial" w:eastAsia="Arial" w:hAnsi="Arial"/>
          <w:sz w:val="16"/>
          <w:szCs w:val="16"/>
          <w:color w:val="auto"/>
        </w:rPr>
        <w:t>2014. She was President of Lehigh University, a private research university, from 2006 until 2014 and Vice President for Research, Associate Provost, and Robert T. Haslam Chair in Chemical Engineering at Massachusetts Institute of Technology from 2001 until 2006. Dr. Gast was professor of chemical engineering at Stanford and the Stanford Synchrotron Radiation Laboratory from 1985 until 2001.</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Skills and qualifications</w:t>
      </w:r>
    </w:p>
    <w:p>
      <w:pPr>
        <w:spacing w:after="0" w:line="58"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b w:val="1"/>
          <w:bCs w:val="1"/>
          <w:color w:val="auto"/>
        </w:rPr>
        <w:t xml:space="preserve">Environmental Affairs: </w:t>
      </w:r>
      <w:r>
        <w:rPr>
          <w:rFonts w:ascii="Arial" w:cs="Arial" w:eastAsia="Arial" w:hAnsi="Arial"/>
          <w:sz w:val="16"/>
          <w:szCs w:val="16"/>
          <w:color w:val="auto"/>
        </w:rPr>
        <w:t>At Imperial College London, oversees environmental institutes and centers and leads the university crisis management group. At</w:t>
      </w:r>
      <w:r>
        <w:rPr>
          <w:rFonts w:ascii="Arial" w:cs="Arial" w:eastAsia="Arial" w:hAnsi="Arial"/>
          <w:sz w:val="16"/>
          <w:szCs w:val="16"/>
          <w:b w:val="1"/>
          <w:bCs w:val="1"/>
          <w:color w:val="auto"/>
        </w:rPr>
        <w:t xml:space="preserve"> </w:t>
      </w:r>
      <w:r>
        <w:rPr>
          <w:rFonts w:ascii="Arial" w:cs="Arial" w:eastAsia="Arial" w:hAnsi="Arial"/>
          <w:sz w:val="16"/>
          <w:szCs w:val="16"/>
          <w:color w:val="auto"/>
        </w:rPr>
        <w:t>Lehigh University, presided over environmental centers, advisory groups, and crisis management. Expertise in chemical and biological terrorism issues gained through service on several governmental committees.</w:t>
      </w:r>
    </w:p>
    <w:p>
      <w:pPr>
        <w:spacing w:after="0" w:line="63" w:lineRule="exact"/>
        <w:rPr>
          <w:sz w:val="20"/>
          <w:szCs w:val="20"/>
          <w:color w:val="auto"/>
        </w:rPr>
      </w:pPr>
    </w:p>
    <w:p>
      <w:pPr>
        <w:ind w:left="120" w:right="300"/>
        <w:spacing w:after="0" w:line="286" w:lineRule="auto"/>
        <w:rPr>
          <w:sz w:val="20"/>
          <w:szCs w:val="20"/>
          <w:color w:val="auto"/>
        </w:rPr>
      </w:pPr>
      <w:r>
        <w:rPr>
          <w:rFonts w:ascii="Arial" w:cs="Arial" w:eastAsia="Arial" w:hAnsi="Arial"/>
          <w:sz w:val="16"/>
          <w:szCs w:val="16"/>
          <w:b w:val="1"/>
          <w:bCs w:val="1"/>
          <w:color w:val="auto"/>
        </w:rPr>
        <w:t xml:space="preserve">Finance: </w:t>
      </w:r>
      <w:r>
        <w:rPr>
          <w:rFonts w:ascii="Arial" w:cs="Arial" w:eastAsia="Arial" w:hAnsi="Arial"/>
          <w:sz w:val="16"/>
          <w:szCs w:val="16"/>
          <w:color w:val="auto"/>
        </w:rPr>
        <w:t>Sixteen years of service as president of leading educational institutions, with ultimate responsibility for finance, fundraising, and endowment</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w:t>
      </w:r>
    </w:p>
    <w:p>
      <w:pPr>
        <w:spacing w:after="0" w:line="48" w:lineRule="exact"/>
        <w:rPr>
          <w:sz w:val="20"/>
          <w:szCs w:val="20"/>
          <w:color w:val="auto"/>
        </w:rPr>
      </w:pPr>
    </w:p>
    <w:p>
      <w:pPr>
        <w:ind w:left="120" w:right="220"/>
        <w:spacing w:after="0" w:line="266" w:lineRule="auto"/>
        <w:rPr>
          <w:sz w:val="20"/>
          <w:szCs w:val="20"/>
          <w:color w:val="auto"/>
        </w:rPr>
      </w:pPr>
      <w:r>
        <w:rPr>
          <w:rFonts w:ascii="Arial" w:cs="Arial" w:eastAsia="Arial" w:hAnsi="Arial"/>
          <w:sz w:val="16"/>
          <w:szCs w:val="16"/>
          <w:b w:val="1"/>
          <w:bCs w:val="1"/>
          <w:color w:val="auto"/>
        </w:rPr>
        <w:t xml:space="preserve">Global Business/International Affairs: </w:t>
      </w:r>
      <w:r>
        <w:rPr>
          <w:rFonts w:ascii="Arial" w:cs="Arial" w:eastAsia="Arial" w:hAnsi="Arial"/>
          <w:sz w:val="16"/>
          <w:szCs w:val="16"/>
          <w:color w:val="auto"/>
        </w:rPr>
        <w:t>Served as a U.S. Science Envoy for the U.S. Department of State to advise on ways to foster and deepen</w:t>
      </w:r>
      <w:r>
        <w:rPr>
          <w:rFonts w:ascii="Arial" w:cs="Arial" w:eastAsia="Arial" w:hAnsi="Arial"/>
          <w:sz w:val="16"/>
          <w:szCs w:val="16"/>
          <w:b w:val="1"/>
          <w:bCs w:val="1"/>
          <w:color w:val="auto"/>
        </w:rPr>
        <w:t xml:space="preserve"> </w:t>
      </w:r>
      <w:r>
        <w:rPr>
          <w:rFonts w:ascii="Arial" w:cs="Arial" w:eastAsia="Arial" w:hAnsi="Arial"/>
          <w:sz w:val="16"/>
          <w:szCs w:val="16"/>
          <w:color w:val="auto"/>
        </w:rPr>
        <w:t>relationships with the Caucasus and Central Asia. Serves on the Singapore Ministry of Education’s Academic Research Council and on the Global Federation of Competitiveness Councils. Served on the Board of Trustees for the King Abdullah University of Science and Technology in Saudi Arabia.</w:t>
      </w:r>
    </w:p>
    <w:p>
      <w:pPr>
        <w:spacing w:after="0" w:line="63"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b w:val="1"/>
          <w:bCs w:val="1"/>
          <w:color w:val="auto"/>
        </w:rPr>
        <w:t xml:space="preserve">Government/Regulatory/Public Policy: </w:t>
      </w:r>
      <w:r>
        <w:rPr>
          <w:rFonts w:ascii="Arial" w:cs="Arial" w:eastAsia="Arial" w:hAnsi="Arial"/>
          <w:sz w:val="16"/>
          <w:szCs w:val="16"/>
          <w:color w:val="auto"/>
        </w:rPr>
        <w:t>Served on the Homeland Security Science and Technology Advisory Committee. Chaired the scientific review</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empaneled by the National Research Council at the request of the FBI to conduct an independent review of the investigatory methods used by the FBI in the criminal case involving the mailing of anthrax spores. Served on the Board of UKRI, the UK Research and Innovation funding and policy body.</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Research/Academia: </w:t>
      </w:r>
      <w:r>
        <w:rPr>
          <w:rFonts w:ascii="Arial" w:cs="Arial" w:eastAsia="Arial" w:hAnsi="Arial"/>
          <w:sz w:val="16"/>
          <w:szCs w:val="16"/>
          <w:color w:val="auto"/>
        </w:rPr>
        <w:t>More than three decades of service in academia and research at leading educational institutions.</w:t>
      </w:r>
    </w:p>
    <w:p>
      <w:pPr>
        <w:spacing w:after="0" w:line="113" w:lineRule="exact"/>
        <w:rPr>
          <w:sz w:val="20"/>
          <w:szCs w:val="20"/>
          <w:color w:val="auto"/>
        </w:rPr>
      </w:pPr>
    </w:p>
    <w:p>
      <w:pPr>
        <w:ind w:left="120" w:right="200"/>
        <w:spacing w:after="0" w:line="259" w:lineRule="auto"/>
        <w:rPr>
          <w:sz w:val="20"/>
          <w:szCs w:val="20"/>
          <w:color w:val="auto"/>
        </w:rPr>
      </w:pPr>
      <w:r>
        <w:rPr>
          <w:rFonts w:ascii="Arial" w:cs="Arial" w:eastAsia="Arial" w:hAnsi="Arial"/>
          <w:sz w:val="16"/>
          <w:szCs w:val="16"/>
          <w:b w:val="1"/>
          <w:bCs w:val="1"/>
          <w:color w:val="auto"/>
        </w:rPr>
        <w:t xml:space="preserve">Science/Technology/Engineering: </w:t>
      </w:r>
      <w:r>
        <w:rPr>
          <w:rFonts w:ascii="Arial" w:cs="Arial" w:eastAsia="Arial" w:hAnsi="Arial"/>
          <w:sz w:val="16"/>
          <w:szCs w:val="16"/>
          <w:color w:val="auto"/>
        </w:rPr>
        <w:t>M.A. and Ph.D. in chemical engineering from Princeton University. Former Vice President for Research, Associate</w:t>
      </w:r>
      <w:r>
        <w:rPr>
          <w:rFonts w:ascii="Arial" w:cs="Arial" w:eastAsia="Arial" w:hAnsi="Arial"/>
          <w:sz w:val="16"/>
          <w:szCs w:val="16"/>
          <w:b w:val="1"/>
          <w:bCs w:val="1"/>
          <w:color w:val="auto"/>
        </w:rPr>
        <w:t xml:space="preserve"> </w:t>
      </w:r>
      <w:r>
        <w:rPr>
          <w:rFonts w:ascii="Arial" w:cs="Arial" w:eastAsia="Arial" w:hAnsi="Arial"/>
          <w:sz w:val="16"/>
          <w:szCs w:val="16"/>
          <w:color w:val="auto"/>
        </w:rPr>
        <w:t>Provost, and Robert T. Haslam Chair in Chemical Engineering at Massachusetts Institute of Technology and professor of chemical engineering at Stanford University and the Stanford Synchrotron Radiation Laboratory. Member of the National Academy of Engineering, the Royal Academy of Engineering, and the Academie des Technologies (France).</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00"/>
          </w:cols>
          <w:pgMar w:left="320" w:top="455" w:right="47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208280</wp:posOffset>
            </wp:positionV>
            <wp:extent cx="133731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37310" cy="145415"/>
                    </a:xfrm>
                    <a:prstGeom prst="rect">
                      <a:avLst/>
                    </a:prstGeom>
                    <a:noFill/>
                  </pic:spPr>
                </pic:pic>
              </a:graphicData>
            </a:graphic>
          </wp:anchor>
        </w:drawing>
      </w:r>
    </w:p>
    <w:p>
      <w:pPr>
        <w:spacing w:after="0" w:line="339"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FFFFFF"/>
        </w:rPr>
        <w:t>Election of directors</w:t>
      </w:r>
    </w:p>
    <w:p>
      <w:pPr>
        <w:spacing w:after="0" w:line="171" w:lineRule="exact"/>
        <w:rPr>
          <w:sz w:val="20"/>
          <w:szCs w:val="20"/>
          <w:color w:val="auto"/>
        </w:rPr>
      </w:pPr>
    </w:p>
    <w:tbl>
      <w:tblPr>
        <w:tblLayout w:type="fixed"/>
        <w:tblInd w:w="3100" w:type="dxa"/>
        <w:tblCellMar>
          <w:top w:w="0" w:type="dxa"/>
          <w:left w:w="0" w:type="dxa"/>
          <w:bottom w:w="0" w:type="dxa"/>
          <w:right w:w="0" w:type="dxa"/>
        </w:tblCellMar>
      </w:tblPr>
      <w:tr>
        <w:trPr>
          <w:trHeight w:val="253"/>
        </w:trPr>
        <w:tc>
          <w:tcPr>
            <w:tcW w:w="3360" w:type="dxa"/>
            <w:vAlign w:val="bottom"/>
            <w:gridSpan w:val="2"/>
            <w:shd w:val="clear" w:color="auto" w:fill="D8D8D8"/>
          </w:tcPr>
          <w:p>
            <w:pPr>
              <w:ind w:left="100"/>
              <w:spacing w:after="0"/>
              <w:rPr>
                <w:sz w:val="20"/>
                <w:szCs w:val="20"/>
                <w:color w:val="auto"/>
              </w:rPr>
            </w:pPr>
            <w:r>
              <w:rPr>
                <w:rFonts w:ascii="Arial" w:cs="Arial" w:eastAsia="Arial" w:hAnsi="Arial"/>
                <w:sz w:val="22"/>
                <w:szCs w:val="22"/>
                <w:b w:val="1"/>
                <w:bCs w:val="1"/>
                <w:color w:val="0B2D71"/>
              </w:rPr>
              <w:t>Enrique Hernandez, Jr.</w:t>
            </w:r>
          </w:p>
        </w:tc>
        <w:tc>
          <w:tcPr>
            <w:tcW w:w="4680" w:type="dxa"/>
            <w:vAlign w:val="bottom"/>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360" w:type="dxa"/>
            <w:vAlign w:val="bottom"/>
            <w:gridSpan w:val="2"/>
            <w:shd w:val="clear" w:color="auto" w:fill="D8D8D8"/>
          </w:tcPr>
          <w:p>
            <w:pPr>
              <w:ind w:left="100"/>
              <w:spacing w:after="0" w:line="135" w:lineRule="exact"/>
              <w:rPr>
                <w:sz w:val="20"/>
                <w:szCs w:val="20"/>
                <w:color w:val="auto"/>
              </w:rPr>
            </w:pPr>
            <w:r>
              <w:rPr>
                <w:rFonts w:ascii="Arial" w:cs="Arial" w:eastAsia="Arial" w:hAnsi="Arial"/>
                <w:sz w:val="13"/>
                <w:szCs w:val="13"/>
                <w:b w:val="1"/>
                <w:bCs w:val="1"/>
                <w:color w:val="auto"/>
              </w:rPr>
              <w:t>Executive Chairman,</w:t>
            </w:r>
          </w:p>
        </w:tc>
        <w:tc>
          <w:tcPr>
            <w:tcW w:w="4680" w:type="dxa"/>
            <w:vAlign w:val="bottom"/>
            <w:vMerge w:val="restart"/>
            <w:shd w:val="clear" w:color="auto" w:fill="D8D8D8"/>
          </w:tcPr>
          <w:p>
            <w:pPr>
              <w:ind w:left="900"/>
              <w:spacing w:after="0"/>
              <w:rPr>
                <w:sz w:val="20"/>
                <w:szCs w:val="20"/>
                <w:color w:val="auto"/>
              </w:rPr>
            </w:pPr>
            <w:r>
              <w:rPr>
                <w:rFonts w:ascii="Arial" w:cs="Arial" w:eastAsia="Arial" w:hAnsi="Arial"/>
                <w:sz w:val="13"/>
                <w:szCs w:val="13"/>
                <w:b w:val="1"/>
                <w:bCs w:val="1"/>
                <w:color w:val="auto"/>
              </w:rPr>
              <w:t>Prior Public Company Directorships</w:t>
            </w:r>
          </w:p>
        </w:tc>
        <w:tc>
          <w:tcPr>
            <w:tcW w:w="0" w:type="dxa"/>
            <w:vAlign w:val="bottom"/>
          </w:tcPr>
          <w:p>
            <w:pPr>
              <w:spacing w:after="0"/>
              <w:rPr>
                <w:sz w:val="1"/>
                <w:szCs w:val="1"/>
                <w:color w:val="auto"/>
              </w:rPr>
            </w:pPr>
          </w:p>
        </w:tc>
      </w:tr>
      <w:tr>
        <w:trPr>
          <w:trHeight w:val="54"/>
        </w:trPr>
        <w:tc>
          <w:tcPr>
            <w:tcW w:w="3360" w:type="dxa"/>
            <w:vAlign w:val="bottom"/>
            <w:gridSpan w:val="2"/>
            <w:vMerge w:val="restart"/>
            <w:shd w:val="clear" w:color="auto" w:fill="D8D8D8"/>
          </w:tcPr>
          <w:p>
            <w:pPr>
              <w:ind w:left="100"/>
              <w:spacing w:after="0"/>
              <w:rPr>
                <w:sz w:val="20"/>
                <w:szCs w:val="20"/>
                <w:color w:val="auto"/>
              </w:rPr>
            </w:pPr>
            <w:r>
              <w:rPr>
                <w:rFonts w:ascii="Arial" w:cs="Arial" w:eastAsia="Arial" w:hAnsi="Arial"/>
                <w:sz w:val="13"/>
                <w:szCs w:val="13"/>
                <w:b w:val="1"/>
                <w:bCs w:val="1"/>
                <w:color w:val="auto"/>
              </w:rPr>
              <w:t>Inter-Con Security Systems, Inc.</w:t>
            </w:r>
          </w:p>
        </w:tc>
        <w:tc>
          <w:tcPr>
            <w:tcW w:w="4680" w:type="dxa"/>
            <w:vAlign w:val="bottom"/>
            <w:vMerge w:val="continue"/>
            <w:shd w:val="clear" w:color="auto" w:fill="D8D8D8"/>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360" w:type="dxa"/>
            <w:vAlign w:val="bottom"/>
            <w:gridSpan w:val="2"/>
            <w:vMerge w:val="continue"/>
            <w:shd w:val="clear" w:color="auto" w:fill="D8D8D8"/>
          </w:tcPr>
          <w:p>
            <w:pPr>
              <w:spacing w:after="0"/>
              <w:rPr>
                <w:sz w:val="11"/>
                <w:szCs w:val="11"/>
                <w:color w:val="auto"/>
              </w:rPr>
            </w:pPr>
          </w:p>
        </w:tc>
        <w:tc>
          <w:tcPr>
            <w:tcW w:w="4680" w:type="dxa"/>
            <w:vAlign w:val="bottom"/>
            <w:shd w:val="clear" w:color="auto" w:fill="D8D8D8"/>
          </w:tcPr>
          <w:p>
            <w:pPr>
              <w:ind w:left="900"/>
              <w:spacing w:after="0" w:line="135" w:lineRule="exact"/>
              <w:rPr>
                <w:sz w:val="20"/>
                <w:szCs w:val="20"/>
                <w:color w:val="auto"/>
              </w:rPr>
            </w:pPr>
            <w:r>
              <w:rPr>
                <w:rFonts w:ascii="Arial" w:cs="Arial" w:eastAsia="Arial" w:hAnsi="Arial"/>
                <w:sz w:val="13"/>
                <w:szCs w:val="13"/>
                <w:color w:val="auto"/>
              </w:rPr>
              <w:t>(within last five years):</w:t>
            </w:r>
          </w:p>
        </w:tc>
        <w:tc>
          <w:tcPr>
            <w:tcW w:w="0" w:type="dxa"/>
            <w:vAlign w:val="bottom"/>
          </w:tcPr>
          <w:p>
            <w:pPr>
              <w:spacing w:after="0"/>
              <w:rPr>
                <w:sz w:val="1"/>
                <w:szCs w:val="1"/>
                <w:color w:val="auto"/>
              </w:rPr>
            </w:pPr>
          </w:p>
        </w:tc>
      </w:tr>
      <w:tr>
        <w:trPr>
          <w:trHeight w:val="162"/>
        </w:trPr>
        <w:tc>
          <w:tcPr>
            <w:tcW w:w="3360" w:type="dxa"/>
            <w:vAlign w:val="bottom"/>
            <w:gridSpan w:val="2"/>
            <w:shd w:val="clear" w:color="auto" w:fill="D8D8D8"/>
          </w:tcPr>
          <w:p>
            <w:pPr>
              <w:ind w:left="10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66</w:t>
            </w:r>
          </w:p>
        </w:tc>
        <w:tc>
          <w:tcPr>
            <w:tcW w:w="4680" w:type="dxa"/>
            <w:vAlign w:val="bottom"/>
            <w:shd w:val="clear" w:color="auto" w:fill="D8D8D8"/>
          </w:tcPr>
          <w:p>
            <w:pPr>
              <w:ind w:left="900"/>
              <w:spacing w:after="0"/>
              <w:rPr>
                <w:sz w:val="20"/>
                <w:szCs w:val="20"/>
                <w:color w:val="auto"/>
              </w:rPr>
            </w:pPr>
            <w:r>
              <w:rPr>
                <w:rFonts w:ascii="Arial" w:cs="Arial" w:eastAsia="Arial" w:hAnsi="Arial"/>
                <w:sz w:val="13"/>
                <w:szCs w:val="13"/>
                <w:color w:val="auto"/>
              </w:rPr>
              <w:t>•  Wells Fargo &amp; Company</w:t>
            </w:r>
          </w:p>
        </w:tc>
        <w:tc>
          <w:tcPr>
            <w:tcW w:w="0" w:type="dxa"/>
            <w:vAlign w:val="bottom"/>
          </w:tcPr>
          <w:p>
            <w:pPr>
              <w:spacing w:after="0"/>
              <w:rPr>
                <w:sz w:val="1"/>
                <w:szCs w:val="1"/>
                <w:color w:val="auto"/>
              </w:rPr>
            </w:pPr>
          </w:p>
        </w:tc>
      </w:tr>
      <w:tr>
        <w:trPr>
          <w:trHeight w:val="135"/>
        </w:trPr>
        <w:tc>
          <w:tcPr>
            <w:tcW w:w="3360" w:type="dxa"/>
            <w:vAlign w:val="bottom"/>
            <w:gridSpan w:val="2"/>
            <w:shd w:val="clear" w:color="auto" w:fill="D8D8D8"/>
          </w:tcPr>
          <w:p>
            <w:pPr>
              <w:ind w:left="100"/>
              <w:spacing w:after="0" w:line="135" w:lineRule="exact"/>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December 2008</w:t>
            </w:r>
          </w:p>
        </w:tc>
        <w:tc>
          <w:tcPr>
            <w:tcW w:w="4680" w:type="dxa"/>
            <w:vAlign w:val="bottom"/>
            <w:vMerge w:val="restart"/>
            <w:shd w:val="clear" w:color="auto" w:fill="D8D8D8"/>
          </w:tcPr>
          <w:p>
            <w:pPr>
              <w:ind w:left="900"/>
              <w:spacing w:after="0"/>
              <w:rPr>
                <w:sz w:val="20"/>
                <w:szCs w:val="20"/>
                <w:color w:val="auto"/>
              </w:rPr>
            </w:pPr>
            <w:r>
              <w:rPr>
                <w:rFonts w:ascii="Arial" w:cs="Arial" w:eastAsia="Arial" w:hAnsi="Arial"/>
                <w:sz w:val="13"/>
                <w:szCs w:val="13"/>
                <w:b w:val="1"/>
                <w:bCs w:val="1"/>
                <w:color w:val="auto"/>
              </w:rPr>
              <w:t>Other Directorships and Memberships:</w:t>
            </w:r>
          </w:p>
        </w:tc>
        <w:tc>
          <w:tcPr>
            <w:tcW w:w="0" w:type="dxa"/>
            <w:vAlign w:val="bottom"/>
          </w:tcPr>
          <w:p>
            <w:pPr>
              <w:spacing w:after="0"/>
              <w:rPr>
                <w:sz w:val="1"/>
                <w:szCs w:val="1"/>
                <w:color w:val="auto"/>
              </w:rPr>
            </w:pPr>
          </w:p>
        </w:tc>
      </w:tr>
      <w:tr>
        <w:trPr>
          <w:trHeight w:val="54"/>
        </w:trPr>
        <w:tc>
          <w:tcPr>
            <w:tcW w:w="3360" w:type="dxa"/>
            <w:vAlign w:val="bottom"/>
            <w:gridSpan w:val="2"/>
            <w:vMerge w:val="restart"/>
            <w:shd w:val="clear" w:color="auto" w:fill="D8D8D8"/>
          </w:tcPr>
          <w:p>
            <w:pPr>
              <w:ind w:left="100"/>
              <w:spacing w:after="0"/>
              <w:rPr>
                <w:sz w:val="20"/>
                <w:szCs w:val="20"/>
                <w:color w:val="auto"/>
              </w:rPr>
            </w:pPr>
            <w:r>
              <w:rPr>
                <w:rFonts w:ascii="Arial" w:cs="Arial" w:eastAsia="Arial" w:hAnsi="Arial"/>
                <w:sz w:val="13"/>
                <w:szCs w:val="13"/>
                <w:b w:val="1"/>
                <w:bCs w:val="1"/>
                <w:color w:val="auto"/>
              </w:rPr>
              <w:t xml:space="preserve">Independent: </w:t>
            </w:r>
            <w:r>
              <w:rPr>
                <w:rFonts w:ascii="Arial" w:cs="Arial" w:eastAsia="Arial" w:hAnsi="Arial"/>
                <w:sz w:val="13"/>
                <w:szCs w:val="13"/>
                <w:color w:val="auto"/>
              </w:rPr>
              <w:t>Yes</w:t>
            </w:r>
          </w:p>
        </w:tc>
        <w:tc>
          <w:tcPr>
            <w:tcW w:w="4680" w:type="dxa"/>
            <w:vAlign w:val="bottom"/>
            <w:vMerge w:val="continue"/>
            <w:shd w:val="clear" w:color="auto" w:fill="D8D8D8"/>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360" w:type="dxa"/>
            <w:vAlign w:val="bottom"/>
            <w:gridSpan w:val="2"/>
            <w:vMerge w:val="continue"/>
            <w:shd w:val="clear" w:color="auto" w:fill="D8D8D8"/>
          </w:tcPr>
          <w:p>
            <w:pPr>
              <w:spacing w:after="0"/>
              <w:rPr>
                <w:sz w:val="11"/>
                <w:szCs w:val="11"/>
                <w:color w:val="auto"/>
              </w:rPr>
            </w:pPr>
          </w:p>
        </w:tc>
        <w:tc>
          <w:tcPr>
            <w:tcW w:w="4680" w:type="dxa"/>
            <w:vAlign w:val="bottom"/>
            <w:shd w:val="clear" w:color="auto" w:fill="D8D8D8"/>
          </w:tcPr>
          <w:p>
            <w:pPr>
              <w:ind w:left="900"/>
              <w:spacing w:after="0" w:line="135" w:lineRule="exact"/>
              <w:rPr>
                <w:sz w:val="20"/>
                <w:szCs w:val="20"/>
                <w:color w:val="auto"/>
              </w:rPr>
            </w:pPr>
            <w:r>
              <w:rPr>
                <w:rFonts w:ascii="Arial" w:cs="Arial" w:eastAsia="Arial" w:hAnsi="Arial"/>
                <w:sz w:val="13"/>
                <w:szCs w:val="13"/>
                <w:color w:val="auto"/>
              </w:rPr>
              <w:t>•  Catalyst</w:t>
            </w:r>
          </w:p>
        </w:tc>
        <w:tc>
          <w:tcPr>
            <w:tcW w:w="0" w:type="dxa"/>
            <w:vAlign w:val="bottom"/>
          </w:tcPr>
          <w:p>
            <w:pPr>
              <w:spacing w:after="0"/>
              <w:rPr>
                <w:sz w:val="1"/>
                <w:szCs w:val="1"/>
                <w:color w:val="auto"/>
              </w:rPr>
            </w:pPr>
          </w:p>
        </w:tc>
      </w:tr>
      <w:tr>
        <w:trPr>
          <w:trHeight w:val="153"/>
        </w:trPr>
        <w:tc>
          <w:tcPr>
            <w:tcW w:w="3360" w:type="dxa"/>
            <w:vAlign w:val="bottom"/>
            <w:gridSpan w:val="2"/>
            <w:shd w:val="clear" w:color="auto" w:fill="D8D8D8"/>
          </w:tcPr>
          <w:p>
            <w:pPr>
              <w:ind w:left="100"/>
              <w:spacing w:after="0"/>
              <w:rPr>
                <w:sz w:val="20"/>
                <w:szCs w:val="20"/>
                <w:color w:val="auto"/>
              </w:rPr>
            </w:pPr>
            <w:r>
              <w:rPr>
                <w:rFonts w:ascii="Arial" w:cs="Arial" w:eastAsia="Arial" w:hAnsi="Arial"/>
                <w:sz w:val="13"/>
                <w:szCs w:val="13"/>
                <w:b w:val="1"/>
                <w:bCs w:val="1"/>
                <w:color w:val="auto"/>
              </w:rPr>
              <w:t>Chevron Committees:</w:t>
            </w:r>
          </w:p>
        </w:tc>
        <w:tc>
          <w:tcPr>
            <w:tcW w:w="4680" w:type="dxa"/>
            <w:vAlign w:val="bottom"/>
            <w:shd w:val="clear" w:color="auto" w:fill="D8D8D8"/>
          </w:tcPr>
          <w:p>
            <w:pPr>
              <w:ind w:left="900"/>
              <w:spacing w:after="0"/>
              <w:rPr>
                <w:sz w:val="20"/>
                <w:szCs w:val="20"/>
                <w:color w:val="auto"/>
              </w:rPr>
            </w:pPr>
            <w:r>
              <w:rPr>
                <w:rFonts w:ascii="Arial" w:cs="Arial" w:eastAsia="Arial" w:hAnsi="Arial"/>
                <w:sz w:val="13"/>
                <w:szCs w:val="13"/>
                <w:color w:val="auto"/>
              </w:rPr>
              <w:t>•  Harvard College Visiting Committee</w:t>
            </w:r>
          </w:p>
        </w:tc>
        <w:tc>
          <w:tcPr>
            <w:tcW w:w="0" w:type="dxa"/>
            <w:vAlign w:val="bottom"/>
          </w:tcPr>
          <w:p>
            <w:pPr>
              <w:spacing w:after="0"/>
              <w:rPr>
                <w:sz w:val="1"/>
                <w:szCs w:val="1"/>
                <w:color w:val="auto"/>
              </w:rPr>
            </w:pPr>
          </w:p>
        </w:tc>
      </w:tr>
      <w:tr>
        <w:trPr>
          <w:trHeight w:val="135"/>
        </w:trPr>
        <w:tc>
          <w:tcPr>
            <w:tcW w:w="200" w:type="dxa"/>
            <w:vAlign w:val="bottom"/>
            <w:shd w:val="clear" w:color="auto" w:fill="D8D8D8"/>
          </w:tcPr>
          <w:p>
            <w:pPr>
              <w:ind w:left="100"/>
              <w:spacing w:after="0" w:line="135" w:lineRule="exact"/>
              <w:rPr>
                <w:sz w:val="20"/>
                <w:szCs w:val="20"/>
                <w:color w:val="auto"/>
              </w:rPr>
            </w:pPr>
            <w:r>
              <w:rPr>
                <w:rFonts w:ascii="Arial" w:cs="Arial" w:eastAsia="Arial" w:hAnsi="Arial"/>
                <w:sz w:val="13"/>
                <w:szCs w:val="13"/>
                <w:color w:val="auto"/>
              </w:rPr>
              <w:t>•</w:t>
            </w:r>
          </w:p>
        </w:tc>
        <w:tc>
          <w:tcPr>
            <w:tcW w:w="3160" w:type="dxa"/>
            <w:vAlign w:val="bottom"/>
            <w:shd w:val="clear" w:color="auto" w:fill="D8D8D8"/>
          </w:tcPr>
          <w:p>
            <w:pPr>
              <w:ind w:left="60"/>
              <w:spacing w:after="0" w:line="135" w:lineRule="exact"/>
              <w:rPr>
                <w:sz w:val="20"/>
                <w:szCs w:val="20"/>
                <w:color w:val="auto"/>
              </w:rPr>
            </w:pPr>
            <w:r>
              <w:rPr>
                <w:rFonts w:ascii="Arial" w:cs="Arial" w:eastAsia="Arial" w:hAnsi="Arial"/>
                <w:sz w:val="13"/>
                <w:szCs w:val="13"/>
                <w:color w:val="auto"/>
              </w:rPr>
              <w:t>Management Compensation</w:t>
            </w:r>
          </w:p>
        </w:tc>
        <w:tc>
          <w:tcPr>
            <w:tcW w:w="4680" w:type="dxa"/>
            <w:vAlign w:val="bottom"/>
            <w:shd w:val="clear" w:color="auto" w:fill="D8D8D8"/>
          </w:tcPr>
          <w:p>
            <w:pPr>
              <w:ind w:left="900"/>
              <w:spacing w:after="0" w:line="135" w:lineRule="exact"/>
              <w:rPr>
                <w:sz w:val="20"/>
                <w:szCs w:val="20"/>
                <w:color w:val="auto"/>
              </w:rPr>
            </w:pPr>
            <w:r>
              <w:rPr>
                <w:rFonts w:ascii="Arial" w:cs="Arial" w:eastAsia="Arial" w:hAnsi="Arial"/>
                <w:sz w:val="13"/>
                <w:szCs w:val="13"/>
                <w:color w:val="auto"/>
              </w:rPr>
              <w:t>•  Harvard University Resources Committee</w:t>
            </w:r>
          </w:p>
        </w:tc>
        <w:tc>
          <w:tcPr>
            <w:tcW w:w="0" w:type="dxa"/>
            <w:vAlign w:val="bottom"/>
          </w:tcPr>
          <w:p>
            <w:pPr>
              <w:spacing w:after="0"/>
              <w:rPr>
                <w:sz w:val="1"/>
                <w:szCs w:val="1"/>
                <w:color w:val="auto"/>
              </w:rPr>
            </w:pPr>
          </w:p>
        </w:tc>
      </w:tr>
      <w:tr>
        <w:trPr>
          <w:trHeight w:val="135"/>
        </w:trPr>
        <w:tc>
          <w:tcPr>
            <w:tcW w:w="3360" w:type="dxa"/>
            <w:vAlign w:val="bottom"/>
            <w:gridSpan w:val="2"/>
            <w:shd w:val="clear" w:color="auto" w:fill="D8D8D8"/>
          </w:tcPr>
          <w:p>
            <w:pPr>
              <w:ind w:left="100"/>
              <w:spacing w:after="0" w:line="135" w:lineRule="exact"/>
              <w:rPr>
                <w:sz w:val="20"/>
                <w:szCs w:val="20"/>
                <w:color w:val="auto"/>
              </w:rPr>
            </w:pPr>
            <w:r>
              <w:rPr>
                <w:rFonts w:ascii="Arial" w:cs="Arial" w:eastAsia="Arial" w:hAnsi="Arial"/>
                <w:sz w:val="13"/>
                <w:szCs w:val="13"/>
                <w:color w:val="auto"/>
              </w:rPr>
              <w:t>•  Public Policy and Sustainability (Chair)</w:t>
            </w:r>
          </w:p>
        </w:tc>
        <w:tc>
          <w:tcPr>
            <w:tcW w:w="4680" w:type="dxa"/>
            <w:vAlign w:val="bottom"/>
            <w:shd w:val="clear" w:color="auto" w:fill="D8D8D8"/>
          </w:tcPr>
          <w:p>
            <w:pPr>
              <w:ind w:left="900"/>
              <w:spacing w:after="0" w:line="135" w:lineRule="exact"/>
              <w:rPr>
                <w:sz w:val="20"/>
                <w:szCs w:val="20"/>
                <w:color w:val="auto"/>
              </w:rPr>
            </w:pPr>
            <w:r>
              <w:rPr>
                <w:rFonts w:ascii="Arial" w:cs="Arial" w:eastAsia="Arial" w:hAnsi="Arial"/>
                <w:sz w:val="13"/>
                <w:szCs w:val="13"/>
                <w:color w:val="auto"/>
              </w:rPr>
              <w:t>•  John Randolph Haynes and Dora Haynes Foundation</w:t>
            </w:r>
          </w:p>
        </w:tc>
        <w:tc>
          <w:tcPr>
            <w:tcW w:w="0" w:type="dxa"/>
            <w:vAlign w:val="bottom"/>
          </w:tcPr>
          <w:p>
            <w:pPr>
              <w:spacing w:after="0"/>
              <w:rPr>
                <w:sz w:val="1"/>
                <w:szCs w:val="1"/>
                <w:color w:val="auto"/>
              </w:rPr>
            </w:pPr>
          </w:p>
        </w:tc>
      </w:tr>
      <w:tr>
        <w:trPr>
          <w:trHeight w:val="166"/>
        </w:trPr>
        <w:tc>
          <w:tcPr>
            <w:tcW w:w="3360" w:type="dxa"/>
            <w:vAlign w:val="bottom"/>
            <w:gridSpan w:val="2"/>
            <w:vMerge w:val="restart"/>
            <w:shd w:val="clear" w:color="auto" w:fill="D8D8D8"/>
          </w:tcPr>
          <w:p>
            <w:pPr>
              <w:ind w:left="100"/>
              <w:spacing w:after="0"/>
              <w:rPr>
                <w:sz w:val="20"/>
                <w:szCs w:val="20"/>
                <w:color w:val="auto"/>
              </w:rPr>
            </w:pPr>
            <w:r>
              <w:rPr>
                <w:rFonts w:ascii="Arial" w:cs="Arial" w:eastAsia="Arial" w:hAnsi="Arial"/>
                <w:sz w:val="13"/>
                <w:szCs w:val="13"/>
                <w:b w:val="1"/>
                <w:bCs w:val="1"/>
                <w:color w:val="auto"/>
              </w:rPr>
              <w:t>Current Public Company Directorships:</w:t>
            </w:r>
          </w:p>
        </w:tc>
        <w:tc>
          <w:tcPr>
            <w:tcW w:w="4680" w:type="dxa"/>
            <w:vAlign w:val="bottom"/>
            <w:shd w:val="clear" w:color="auto" w:fill="D8D8D8"/>
          </w:tcPr>
          <w:p>
            <w:pPr>
              <w:ind w:left="900"/>
              <w:spacing w:after="0"/>
              <w:rPr>
                <w:sz w:val="20"/>
                <w:szCs w:val="20"/>
                <w:color w:val="auto"/>
              </w:rPr>
            </w:pPr>
            <w:r>
              <w:rPr>
                <w:rFonts w:ascii="Arial" w:cs="Arial" w:eastAsia="Arial" w:hAnsi="Arial"/>
                <w:sz w:val="13"/>
                <w:szCs w:val="13"/>
                <w:color w:val="auto"/>
              </w:rPr>
              <w:t>•  Ronald McDonald House Charities</w:t>
            </w:r>
          </w:p>
        </w:tc>
        <w:tc>
          <w:tcPr>
            <w:tcW w:w="0" w:type="dxa"/>
            <w:vAlign w:val="bottom"/>
          </w:tcPr>
          <w:p>
            <w:pPr>
              <w:spacing w:after="0"/>
              <w:rPr>
                <w:sz w:val="1"/>
                <w:szCs w:val="1"/>
                <w:color w:val="auto"/>
              </w:rPr>
            </w:pPr>
          </w:p>
        </w:tc>
      </w:tr>
      <w:tr>
        <w:trPr>
          <w:trHeight w:val="59"/>
        </w:trPr>
        <w:tc>
          <w:tcPr>
            <w:tcW w:w="3360" w:type="dxa"/>
            <w:vAlign w:val="bottom"/>
            <w:gridSpan w:val="2"/>
            <w:vMerge w:val="continue"/>
            <w:shd w:val="clear" w:color="auto" w:fill="D8D8D8"/>
          </w:tcPr>
          <w:p>
            <w:pPr>
              <w:spacing w:after="0"/>
              <w:rPr>
                <w:sz w:val="5"/>
                <w:szCs w:val="5"/>
                <w:color w:val="auto"/>
              </w:rPr>
            </w:pPr>
          </w:p>
        </w:tc>
        <w:tc>
          <w:tcPr>
            <w:tcW w:w="4680" w:type="dxa"/>
            <w:vAlign w:val="bottom"/>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00" w:type="dxa"/>
            <w:vAlign w:val="bottom"/>
            <w:shd w:val="clear" w:color="auto" w:fill="D8D8D8"/>
          </w:tcPr>
          <w:p>
            <w:pPr>
              <w:ind w:left="100"/>
              <w:spacing w:after="0"/>
              <w:rPr>
                <w:sz w:val="20"/>
                <w:szCs w:val="20"/>
                <w:color w:val="auto"/>
              </w:rPr>
            </w:pPr>
            <w:r>
              <w:rPr>
                <w:rFonts w:ascii="Arial" w:cs="Arial" w:eastAsia="Arial" w:hAnsi="Arial"/>
                <w:sz w:val="13"/>
                <w:szCs w:val="13"/>
                <w:color w:val="auto"/>
              </w:rPr>
              <w:t>•</w:t>
            </w:r>
          </w:p>
        </w:tc>
        <w:tc>
          <w:tcPr>
            <w:tcW w:w="3160" w:type="dxa"/>
            <w:vAlign w:val="bottom"/>
            <w:shd w:val="clear" w:color="auto" w:fill="D8D8D8"/>
          </w:tcPr>
          <w:p>
            <w:pPr>
              <w:ind w:left="60"/>
              <w:spacing w:after="0"/>
              <w:rPr>
                <w:sz w:val="20"/>
                <w:szCs w:val="20"/>
                <w:color w:val="auto"/>
              </w:rPr>
            </w:pPr>
            <w:r>
              <w:rPr>
                <w:rFonts w:ascii="Arial" w:cs="Arial" w:eastAsia="Arial" w:hAnsi="Arial"/>
                <w:sz w:val="13"/>
                <w:szCs w:val="13"/>
                <w:color w:val="auto"/>
              </w:rPr>
              <w:t>McDonald’s Corporation</w:t>
            </w:r>
          </w:p>
        </w:tc>
        <w:tc>
          <w:tcPr>
            <w:tcW w:w="468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797"/>
        </w:trPr>
        <w:tc>
          <w:tcPr>
            <w:tcW w:w="200" w:type="dxa"/>
            <w:vAlign w:val="bottom"/>
            <w:shd w:val="clear" w:color="auto" w:fill="D8D8D8"/>
          </w:tcPr>
          <w:p>
            <w:pPr>
              <w:spacing w:after="0"/>
              <w:rPr>
                <w:sz w:val="24"/>
                <w:szCs w:val="24"/>
                <w:color w:val="auto"/>
              </w:rPr>
            </w:pPr>
          </w:p>
        </w:tc>
        <w:tc>
          <w:tcPr>
            <w:tcW w:w="3160" w:type="dxa"/>
            <w:vAlign w:val="bottom"/>
            <w:shd w:val="clear" w:color="auto" w:fill="D8D8D8"/>
          </w:tcPr>
          <w:p>
            <w:pPr>
              <w:spacing w:after="0"/>
              <w:rPr>
                <w:sz w:val="24"/>
                <w:szCs w:val="24"/>
                <w:color w:val="auto"/>
              </w:rPr>
            </w:pPr>
          </w:p>
        </w:tc>
        <w:tc>
          <w:tcPr>
            <w:tcW w:w="468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-1687830</wp:posOffset>
            </wp:positionV>
            <wp:extent cx="17145" cy="1688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 cy="168846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-1688465</wp:posOffset>
            </wp:positionV>
            <wp:extent cx="1903095" cy="1689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03095" cy="1689100"/>
                    </a:xfrm>
                    <a:prstGeom prst="rect">
                      <a:avLst/>
                    </a:prstGeom>
                    <a:noFill/>
                  </pic:spPr>
                </pic:pic>
              </a:graphicData>
            </a:graphic>
          </wp:anchor>
        </w:drawing>
      </w:r>
    </w:p>
    <w:p>
      <w:pPr>
        <w:spacing w:after="0" w:line="74"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b w:val="1"/>
          <w:bCs w:val="1"/>
          <w:color w:val="auto"/>
        </w:rPr>
        <w:t xml:space="preserve">Mr. Hernandez </w:t>
      </w:r>
      <w:r>
        <w:rPr>
          <w:rFonts w:ascii="Arial" w:cs="Arial" w:eastAsia="Arial" w:hAnsi="Arial"/>
          <w:sz w:val="16"/>
          <w:szCs w:val="16"/>
          <w:color w:val="auto"/>
        </w:rPr>
        <w:t>has been Executive Chairman of Inter-Con Security Systems, Inc. (“Inter-Con”), a global provider of security and facility support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to governments, utilities, and industrial customers, since 2021. He previously served as Inter-Con’s Chairman and CEO from 1986 until 2021 and President from 1986 until 2018. He was previously Executive Vice President and Assistant General Counsel from 1984 until 1986. Mr. Hernandez was an associate of the law firm of Brobeck, Phleger &amp; Harrison LLP from 1980 until 1984.</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Skills and qualifications</w:t>
      </w:r>
    </w:p>
    <w:p>
      <w:pPr>
        <w:spacing w:after="0" w:line="58"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b w:val="1"/>
          <w:bCs w:val="1"/>
          <w:color w:val="auto"/>
        </w:rPr>
        <w:t xml:space="preserve">Business Leadership/Operations: </w:t>
      </w:r>
      <w:r>
        <w:rPr>
          <w:rFonts w:ascii="Arial" w:cs="Arial" w:eastAsia="Arial" w:hAnsi="Arial"/>
          <w:sz w:val="16"/>
          <w:szCs w:val="16"/>
          <w:color w:val="auto"/>
        </w:rPr>
        <w:t>More than three decades as Chairman and CEO of Inter-Con. Co-founder of Interspan Communications, a television</w:t>
      </w:r>
      <w:r>
        <w:rPr>
          <w:rFonts w:ascii="Arial" w:cs="Arial" w:eastAsia="Arial" w:hAnsi="Arial"/>
          <w:sz w:val="16"/>
          <w:szCs w:val="16"/>
          <w:b w:val="1"/>
          <w:bCs w:val="1"/>
          <w:color w:val="auto"/>
        </w:rPr>
        <w:t xml:space="preserve"> </w:t>
      </w:r>
      <w:r>
        <w:rPr>
          <w:rFonts w:ascii="Arial" w:cs="Arial" w:eastAsia="Arial" w:hAnsi="Arial"/>
          <w:sz w:val="16"/>
          <w:szCs w:val="16"/>
          <w:color w:val="auto"/>
        </w:rPr>
        <w:t>broadcasting company. Chairman of the Board of McDonald’s Corporation.</w:t>
      </w:r>
    </w:p>
    <w:p>
      <w:pPr>
        <w:spacing w:after="0" w:line="48" w:lineRule="exact"/>
        <w:rPr>
          <w:sz w:val="20"/>
          <w:szCs w:val="20"/>
          <w:color w:val="auto"/>
        </w:rPr>
      </w:pPr>
    </w:p>
    <w:p>
      <w:pPr>
        <w:ind w:left="120" w:right="480"/>
        <w:spacing w:after="0" w:line="266" w:lineRule="auto"/>
        <w:rPr>
          <w:sz w:val="20"/>
          <w:szCs w:val="20"/>
          <w:color w:val="auto"/>
        </w:rPr>
      </w:pPr>
      <w:r>
        <w:rPr>
          <w:rFonts w:ascii="Arial" w:cs="Arial" w:eastAsia="Arial" w:hAnsi="Arial"/>
          <w:sz w:val="16"/>
          <w:szCs w:val="16"/>
          <w:b w:val="1"/>
          <w:bCs w:val="1"/>
          <w:color w:val="auto"/>
        </w:rPr>
        <w:t xml:space="preserve">Finance: </w:t>
      </w:r>
      <w:r>
        <w:rPr>
          <w:rFonts w:ascii="Arial" w:cs="Arial" w:eastAsia="Arial" w:hAnsi="Arial"/>
          <w:sz w:val="16"/>
          <w:szCs w:val="16"/>
          <w:color w:val="auto"/>
        </w:rPr>
        <w:t>More than three decades of financial responsibility and experience at Inter-Con. Chaired the Audit Committee at McDonald’s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Former Chair of the Finance Committee and the Risk Committee at Wells Fargo &amp; Company. Former Audit Committee member at Great Western Financial Corporation, Nordstrom, Inc., Washington Mutual, Inc., and Wells Fargo &amp; Company.</w:t>
      </w:r>
    </w:p>
    <w:p>
      <w:pPr>
        <w:spacing w:after="0" w:line="63" w:lineRule="exact"/>
        <w:rPr>
          <w:sz w:val="20"/>
          <w:szCs w:val="20"/>
          <w:color w:val="auto"/>
        </w:rPr>
      </w:pPr>
    </w:p>
    <w:p>
      <w:pPr>
        <w:ind w:left="120" w:right="300"/>
        <w:spacing w:after="0" w:line="286" w:lineRule="auto"/>
        <w:rPr>
          <w:sz w:val="20"/>
          <w:szCs w:val="20"/>
          <w:color w:val="auto"/>
        </w:rPr>
      </w:pPr>
      <w:r>
        <w:rPr>
          <w:rFonts w:ascii="Arial" w:cs="Arial" w:eastAsia="Arial" w:hAnsi="Arial"/>
          <w:sz w:val="16"/>
          <w:szCs w:val="16"/>
          <w:b w:val="1"/>
          <w:bCs w:val="1"/>
          <w:color w:val="auto"/>
        </w:rPr>
        <w:t xml:space="preserve">Global Business/International Affairs: </w:t>
      </w:r>
      <w:r>
        <w:rPr>
          <w:rFonts w:ascii="Arial" w:cs="Arial" w:eastAsia="Arial" w:hAnsi="Arial"/>
          <w:sz w:val="16"/>
          <w:szCs w:val="16"/>
          <w:color w:val="auto"/>
        </w:rPr>
        <w:t>Former CEO of a company that conducts business worldwide. Current and former director of companies with</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 operations.</w:t>
      </w:r>
    </w:p>
    <w:p>
      <w:pPr>
        <w:spacing w:after="0" w:line="48" w:lineRule="exact"/>
        <w:rPr>
          <w:sz w:val="20"/>
          <w:szCs w:val="20"/>
          <w:color w:val="auto"/>
        </w:rPr>
      </w:pPr>
    </w:p>
    <w:p>
      <w:pPr>
        <w:jc w:val="both"/>
        <w:ind w:left="120" w:right="240"/>
        <w:spacing w:after="0" w:line="266" w:lineRule="auto"/>
        <w:rPr>
          <w:sz w:val="20"/>
          <w:szCs w:val="20"/>
          <w:color w:val="auto"/>
        </w:rPr>
      </w:pPr>
      <w:r>
        <w:rPr>
          <w:rFonts w:ascii="Arial" w:cs="Arial" w:eastAsia="Arial" w:hAnsi="Arial"/>
          <w:sz w:val="16"/>
          <w:szCs w:val="16"/>
          <w:b w:val="1"/>
          <w:bCs w:val="1"/>
          <w:color w:val="auto"/>
        </w:rPr>
        <w:t xml:space="preserve">Government/Regulatory/Public Policy: </w:t>
      </w:r>
      <w:r>
        <w:rPr>
          <w:rFonts w:ascii="Arial" w:cs="Arial" w:eastAsia="Arial" w:hAnsi="Arial"/>
          <w:sz w:val="16"/>
          <w:szCs w:val="16"/>
          <w:color w:val="auto"/>
        </w:rPr>
        <w:t>Trustee of the John Randolph Haynes Foundation, which has funded hundreds of important urban studies in</w:t>
      </w:r>
      <w:r>
        <w:rPr>
          <w:rFonts w:ascii="Arial" w:cs="Arial" w:eastAsia="Arial" w:hAnsi="Arial"/>
          <w:sz w:val="16"/>
          <w:szCs w:val="16"/>
          <w:b w:val="1"/>
          <w:bCs w:val="1"/>
          <w:color w:val="auto"/>
        </w:rPr>
        <w:t xml:space="preserve"> </w:t>
      </w:r>
      <w:r>
        <w:rPr>
          <w:rFonts w:ascii="Arial" w:cs="Arial" w:eastAsia="Arial" w:hAnsi="Arial"/>
          <w:sz w:val="16"/>
          <w:szCs w:val="16"/>
          <w:color w:val="auto"/>
        </w:rPr>
        <w:t>education, transportation, local government elections, public safety, and other public issues. Former appointee and Commissioner and President of the Los Angeles Police Commission. Served on the U.S. National Infrastructure Advisory Committee.</w:t>
      </w:r>
    </w:p>
    <w:p>
      <w:pPr>
        <w:spacing w:after="0" w:line="63" w:lineRule="exact"/>
        <w:rPr>
          <w:sz w:val="20"/>
          <w:szCs w:val="20"/>
          <w:color w:val="auto"/>
        </w:rPr>
      </w:pPr>
    </w:p>
    <w:p>
      <w:pPr>
        <w:ind w:left="120" w:right="80"/>
        <w:spacing w:after="0" w:line="266" w:lineRule="auto"/>
        <w:rPr>
          <w:sz w:val="20"/>
          <w:szCs w:val="20"/>
          <w:color w:val="auto"/>
        </w:rPr>
      </w:pPr>
      <w:r>
        <w:rPr>
          <w:rFonts w:ascii="Arial" w:cs="Arial" w:eastAsia="Arial" w:hAnsi="Arial"/>
          <w:sz w:val="16"/>
          <w:szCs w:val="16"/>
          <w:b w:val="1"/>
          <w:bCs w:val="1"/>
          <w:color w:val="auto"/>
        </w:rPr>
        <w:t xml:space="preserve">Leading Business Transformation: </w:t>
      </w:r>
      <w:r>
        <w:rPr>
          <w:rFonts w:ascii="Arial" w:cs="Arial" w:eastAsia="Arial" w:hAnsi="Arial"/>
          <w:sz w:val="16"/>
          <w:szCs w:val="16"/>
          <w:color w:val="auto"/>
        </w:rPr>
        <w:t>Extensive leadership experience transitioning in both media and security industries, having been a founder of Inter-Span Communications, a pioneer in Spanish language broadcast television in the U.S., and at Inter-Con where he evolved traditional physical security practices into a multinational industry leader, creating and utilizing proprietary technology platforms and techniques.</w:t>
      </w:r>
    </w:p>
    <w:p>
      <w:pPr>
        <w:spacing w:after="0" w:line="63"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b w:val="1"/>
          <w:bCs w:val="1"/>
          <w:color w:val="auto"/>
        </w:rPr>
        <w:t xml:space="preserve">Legal: </w:t>
      </w:r>
      <w:r>
        <w:rPr>
          <w:rFonts w:ascii="Arial" w:cs="Arial" w:eastAsia="Arial" w:hAnsi="Arial"/>
          <w:sz w:val="16"/>
          <w:szCs w:val="16"/>
          <w:color w:val="auto"/>
        </w:rPr>
        <w:t>Served as Executive Vice President and Assistant General Counsel of Inter-Con. Former litigation associate of the law firm of Brobeck, Phleger &amp;</w:t>
      </w:r>
      <w:r>
        <w:rPr>
          <w:rFonts w:ascii="Arial" w:cs="Arial" w:eastAsia="Arial" w:hAnsi="Arial"/>
          <w:sz w:val="16"/>
          <w:szCs w:val="16"/>
          <w:b w:val="1"/>
          <w:bCs w:val="1"/>
          <w:color w:val="auto"/>
        </w:rPr>
        <w:t xml:space="preserve"> </w:t>
      </w:r>
      <w:r>
        <w:rPr>
          <w:rFonts w:ascii="Arial" w:cs="Arial" w:eastAsia="Arial" w:hAnsi="Arial"/>
          <w:sz w:val="16"/>
          <w:szCs w:val="16"/>
          <w:color w:val="auto"/>
        </w:rPr>
        <w:t>Harrison LLP. Law degree from Harvard Law School.</w:t>
      </w:r>
    </w:p>
    <w:p>
      <w:pPr>
        <w:spacing w:after="0" w:line="8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140"/>
          </w:cols>
          <w:pgMar w:left="32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26873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68730" cy="145415"/>
                    </a:xfrm>
                    <a:prstGeom prst="rect">
                      <a:avLst/>
                    </a:prstGeom>
                    <a:noFill/>
                  </pic:spPr>
                </pic:pic>
              </a:graphicData>
            </a:graphic>
          </wp:anchor>
        </w:drawing>
      </w:r>
    </w:p>
    <w:p>
      <w:pPr>
        <w:spacing w:after="0" w:line="33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FFFFFF"/>
        </w:rPr>
        <w:t>Election of directors</w:t>
      </w:r>
    </w:p>
    <w:p>
      <w:pPr>
        <w:spacing w:after="0" w:line="171" w:lineRule="exact"/>
        <w:rPr>
          <w:sz w:val="20"/>
          <w:szCs w:val="20"/>
          <w:color w:val="auto"/>
        </w:rPr>
      </w:pPr>
    </w:p>
    <w:tbl>
      <w:tblPr>
        <w:tblLayout w:type="fixed"/>
        <w:tblInd w:w="3100" w:type="dxa"/>
        <w:tblCellMar>
          <w:top w:w="0" w:type="dxa"/>
          <w:left w:w="0" w:type="dxa"/>
          <w:bottom w:w="0" w:type="dxa"/>
          <w:right w:w="0" w:type="dxa"/>
        </w:tblCellMar>
      </w:tblPr>
      <w:tr>
        <w:trPr>
          <w:trHeight w:val="253"/>
        </w:trPr>
        <w:tc>
          <w:tcPr>
            <w:tcW w:w="3260" w:type="dxa"/>
            <w:vAlign w:val="bottom"/>
            <w:gridSpan w:val="2"/>
            <w:shd w:val="clear" w:color="auto" w:fill="D8D8D8"/>
          </w:tcPr>
          <w:p>
            <w:pPr>
              <w:ind w:left="100"/>
              <w:spacing w:after="0"/>
              <w:rPr>
                <w:sz w:val="20"/>
                <w:szCs w:val="20"/>
                <w:color w:val="auto"/>
              </w:rPr>
            </w:pPr>
            <w:r>
              <w:rPr>
                <w:rFonts w:ascii="Arial" w:cs="Arial" w:eastAsia="Arial" w:hAnsi="Arial"/>
                <w:sz w:val="22"/>
                <w:szCs w:val="22"/>
                <w:b w:val="1"/>
                <w:bCs w:val="1"/>
                <w:color w:val="0B2D71"/>
              </w:rPr>
              <w:t>Marillyn A. Hewson</w:t>
            </w:r>
          </w:p>
        </w:tc>
        <w:tc>
          <w:tcPr>
            <w:tcW w:w="900" w:type="dxa"/>
            <w:vAlign w:val="bottom"/>
            <w:shd w:val="clear" w:color="auto" w:fill="D8D8D8"/>
          </w:tcPr>
          <w:p>
            <w:pPr>
              <w:spacing w:after="0"/>
              <w:rPr>
                <w:sz w:val="21"/>
                <w:szCs w:val="21"/>
                <w:color w:val="auto"/>
              </w:rPr>
            </w:pPr>
          </w:p>
        </w:tc>
        <w:tc>
          <w:tcPr>
            <w:tcW w:w="3880" w:type="dxa"/>
            <w:vAlign w:val="bottom"/>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260" w:type="dxa"/>
            <w:vAlign w:val="bottom"/>
            <w:gridSpan w:val="2"/>
            <w:shd w:val="clear" w:color="auto" w:fill="D8D8D8"/>
          </w:tcPr>
          <w:p>
            <w:pPr>
              <w:ind w:left="100"/>
              <w:spacing w:after="0" w:line="135" w:lineRule="exact"/>
              <w:rPr>
                <w:sz w:val="20"/>
                <w:szCs w:val="20"/>
                <w:color w:val="auto"/>
              </w:rPr>
            </w:pPr>
            <w:r>
              <w:rPr>
                <w:rFonts w:ascii="Arial" w:cs="Arial" w:eastAsia="Arial" w:hAnsi="Arial"/>
                <w:sz w:val="13"/>
                <w:szCs w:val="13"/>
                <w:b w:val="1"/>
                <w:bCs w:val="1"/>
                <w:color w:val="auto"/>
              </w:rPr>
              <w:t>Retired Chairman, President, and</w:t>
            </w:r>
          </w:p>
        </w:tc>
        <w:tc>
          <w:tcPr>
            <w:tcW w:w="4780" w:type="dxa"/>
            <w:vAlign w:val="bottom"/>
            <w:gridSpan w:val="2"/>
            <w:vMerge w:val="restart"/>
            <w:shd w:val="clear" w:color="auto" w:fill="D8D8D8"/>
          </w:tcPr>
          <w:p>
            <w:pPr>
              <w:ind w:left="800"/>
              <w:spacing w:after="0"/>
              <w:rPr>
                <w:sz w:val="20"/>
                <w:szCs w:val="20"/>
                <w:color w:val="auto"/>
              </w:rPr>
            </w:pPr>
            <w:r>
              <w:rPr>
                <w:rFonts w:ascii="Arial" w:cs="Arial" w:eastAsia="Arial" w:hAnsi="Arial"/>
                <w:sz w:val="13"/>
                <w:szCs w:val="13"/>
                <w:b w:val="1"/>
                <w:bCs w:val="1"/>
                <w:color w:val="auto"/>
              </w:rPr>
              <w:t>Prior Public Company Directorships</w:t>
            </w:r>
          </w:p>
        </w:tc>
        <w:tc>
          <w:tcPr>
            <w:tcW w:w="0" w:type="dxa"/>
            <w:vAlign w:val="bottom"/>
          </w:tcPr>
          <w:p>
            <w:pPr>
              <w:spacing w:after="0"/>
              <w:rPr>
                <w:sz w:val="1"/>
                <w:szCs w:val="1"/>
                <w:color w:val="auto"/>
              </w:rPr>
            </w:pPr>
          </w:p>
        </w:tc>
      </w:tr>
      <w:tr>
        <w:trPr>
          <w:trHeight w:val="54"/>
        </w:trPr>
        <w:tc>
          <w:tcPr>
            <w:tcW w:w="3260" w:type="dxa"/>
            <w:vAlign w:val="bottom"/>
            <w:gridSpan w:val="2"/>
            <w:vMerge w:val="restart"/>
            <w:shd w:val="clear" w:color="auto" w:fill="D8D8D8"/>
          </w:tcPr>
          <w:p>
            <w:pPr>
              <w:ind w:left="100"/>
              <w:spacing w:after="0" w:line="135" w:lineRule="exact"/>
              <w:rPr>
                <w:sz w:val="20"/>
                <w:szCs w:val="20"/>
                <w:color w:val="auto"/>
              </w:rPr>
            </w:pPr>
            <w:r>
              <w:rPr>
                <w:rFonts w:ascii="Arial" w:cs="Arial" w:eastAsia="Arial" w:hAnsi="Arial"/>
                <w:sz w:val="13"/>
                <w:szCs w:val="13"/>
                <w:b w:val="1"/>
                <w:bCs w:val="1"/>
                <w:color w:val="auto"/>
              </w:rPr>
              <w:t>Chief Executive Officer,</w:t>
            </w:r>
          </w:p>
        </w:tc>
        <w:tc>
          <w:tcPr>
            <w:tcW w:w="4780" w:type="dxa"/>
            <w:vAlign w:val="bottom"/>
            <w:gridSpan w:val="2"/>
            <w:vMerge w:val="continue"/>
            <w:shd w:val="clear" w:color="auto" w:fill="D8D8D8"/>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3260" w:type="dxa"/>
            <w:vAlign w:val="bottom"/>
            <w:gridSpan w:val="2"/>
            <w:vMerge w:val="continue"/>
            <w:shd w:val="clear" w:color="auto" w:fill="D8D8D8"/>
          </w:tcPr>
          <w:p>
            <w:pPr>
              <w:spacing w:after="0"/>
              <w:rPr>
                <w:sz w:val="7"/>
                <w:szCs w:val="7"/>
                <w:color w:val="auto"/>
              </w:rPr>
            </w:pPr>
          </w:p>
        </w:tc>
        <w:tc>
          <w:tcPr>
            <w:tcW w:w="4780" w:type="dxa"/>
            <w:vAlign w:val="bottom"/>
            <w:gridSpan w:val="2"/>
            <w:vMerge w:val="restart"/>
            <w:shd w:val="clear" w:color="auto" w:fill="D8D8D8"/>
          </w:tcPr>
          <w:p>
            <w:pPr>
              <w:ind w:left="800"/>
              <w:spacing w:after="0" w:line="135" w:lineRule="exact"/>
              <w:rPr>
                <w:sz w:val="20"/>
                <w:szCs w:val="20"/>
                <w:color w:val="auto"/>
              </w:rPr>
            </w:pPr>
            <w:r>
              <w:rPr>
                <w:rFonts w:ascii="Arial" w:cs="Arial" w:eastAsia="Arial" w:hAnsi="Arial"/>
                <w:sz w:val="13"/>
                <w:szCs w:val="13"/>
                <w:color w:val="auto"/>
              </w:rPr>
              <w:t>(within last five years):</w:t>
            </w:r>
          </w:p>
        </w:tc>
        <w:tc>
          <w:tcPr>
            <w:tcW w:w="0" w:type="dxa"/>
            <w:vAlign w:val="bottom"/>
          </w:tcPr>
          <w:p>
            <w:pPr>
              <w:spacing w:after="0"/>
              <w:rPr>
                <w:sz w:val="1"/>
                <w:szCs w:val="1"/>
                <w:color w:val="auto"/>
              </w:rPr>
            </w:pPr>
          </w:p>
        </w:tc>
      </w:tr>
      <w:tr>
        <w:trPr>
          <w:trHeight w:val="54"/>
        </w:trPr>
        <w:tc>
          <w:tcPr>
            <w:tcW w:w="3260" w:type="dxa"/>
            <w:vAlign w:val="bottom"/>
            <w:gridSpan w:val="2"/>
            <w:vMerge w:val="restart"/>
            <w:shd w:val="clear" w:color="auto" w:fill="D8D8D8"/>
          </w:tcPr>
          <w:p>
            <w:pPr>
              <w:ind w:left="100"/>
              <w:spacing w:after="0"/>
              <w:rPr>
                <w:sz w:val="20"/>
                <w:szCs w:val="20"/>
                <w:color w:val="auto"/>
              </w:rPr>
            </w:pPr>
            <w:r>
              <w:rPr>
                <w:rFonts w:ascii="Arial" w:cs="Arial" w:eastAsia="Arial" w:hAnsi="Arial"/>
                <w:sz w:val="13"/>
                <w:szCs w:val="13"/>
                <w:b w:val="1"/>
                <w:bCs w:val="1"/>
                <w:color w:val="auto"/>
              </w:rPr>
              <w:t>Lockheed Martin Corporation</w:t>
            </w:r>
          </w:p>
        </w:tc>
        <w:tc>
          <w:tcPr>
            <w:tcW w:w="4780" w:type="dxa"/>
            <w:vAlign w:val="bottom"/>
            <w:gridSpan w:val="2"/>
            <w:vMerge w:val="continue"/>
            <w:shd w:val="clear" w:color="auto" w:fill="D8D8D8"/>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260" w:type="dxa"/>
            <w:vAlign w:val="bottom"/>
            <w:gridSpan w:val="2"/>
            <w:vMerge w:val="continue"/>
            <w:shd w:val="clear" w:color="auto" w:fill="D8D8D8"/>
          </w:tcPr>
          <w:p>
            <w:pPr>
              <w:spacing w:after="0"/>
              <w:rPr>
                <w:sz w:val="11"/>
                <w:szCs w:val="11"/>
                <w:color w:val="auto"/>
              </w:rPr>
            </w:pPr>
          </w:p>
        </w:tc>
        <w:tc>
          <w:tcPr>
            <w:tcW w:w="900" w:type="dxa"/>
            <w:vAlign w:val="bottom"/>
            <w:shd w:val="clear" w:color="auto" w:fill="D8D8D8"/>
          </w:tcPr>
          <w:p>
            <w:pPr>
              <w:ind w:left="800"/>
              <w:spacing w:after="0" w:line="135" w:lineRule="exact"/>
              <w:rPr>
                <w:sz w:val="20"/>
                <w:szCs w:val="20"/>
                <w:color w:val="auto"/>
              </w:rPr>
            </w:pPr>
            <w:r>
              <w:rPr>
                <w:rFonts w:ascii="Arial" w:cs="Arial" w:eastAsia="Arial" w:hAnsi="Arial"/>
                <w:sz w:val="13"/>
                <w:szCs w:val="13"/>
                <w:color w:val="auto"/>
              </w:rPr>
              <w:t>•</w:t>
            </w:r>
          </w:p>
        </w:tc>
        <w:tc>
          <w:tcPr>
            <w:tcW w:w="3880" w:type="dxa"/>
            <w:vAlign w:val="bottom"/>
            <w:shd w:val="clear" w:color="auto" w:fill="D8D8D8"/>
          </w:tcPr>
          <w:p>
            <w:pPr>
              <w:ind w:left="80"/>
              <w:spacing w:after="0" w:line="135" w:lineRule="exact"/>
              <w:rPr>
                <w:sz w:val="20"/>
                <w:szCs w:val="20"/>
                <w:color w:val="auto"/>
              </w:rPr>
            </w:pPr>
            <w:r>
              <w:rPr>
                <w:rFonts w:ascii="Arial" w:cs="Arial" w:eastAsia="Arial" w:hAnsi="Arial"/>
                <w:sz w:val="13"/>
                <w:szCs w:val="13"/>
                <w:color w:val="auto"/>
              </w:rPr>
              <w:t>DuPont, DowDuPont Inc.</w:t>
            </w:r>
          </w:p>
        </w:tc>
        <w:tc>
          <w:tcPr>
            <w:tcW w:w="0" w:type="dxa"/>
            <w:vAlign w:val="bottom"/>
          </w:tcPr>
          <w:p>
            <w:pPr>
              <w:spacing w:after="0"/>
              <w:rPr>
                <w:sz w:val="1"/>
                <w:szCs w:val="1"/>
                <w:color w:val="auto"/>
              </w:rPr>
            </w:pPr>
          </w:p>
        </w:tc>
      </w:tr>
      <w:tr>
        <w:trPr>
          <w:trHeight w:val="162"/>
        </w:trPr>
        <w:tc>
          <w:tcPr>
            <w:tcW w:w="3260" w:type="dxa"/>
            <w:vAlign w:val="bottom"/>
            <w:gridSpan w:val="2"/>
            <w:shd w:val="clear" w:color="auto" w:fill="D8D8D8"/>
          </w:tcPr>
          <w:p>
            <w:pPr>
              <w:ind w:left="10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68</w:t>
            </w:r>
          </w:p>
        </w:tc>
        <w:tc>
          <w:tcPr>
            <w:tcW w:w="900" w:type="dxa"/>
            <w:vAlign w:val="bottom"/>
            <w:shd w:val="clear" w:color="auto" w:fill="D8D8D8"/>
          </w:tcPr>
          <w:p>
            <w:pPr>
              <w:ind w:left="800"/>
              <w:spacing w:after="0"/>
              <w:rPr>
                <w:sz w:val="20"/>
                <w:szCs w:val="20"/>
                <w:color w:val="auto"/>
              </w:rPr>
            </w:pPr>
            <w:r>
              <w:rPr>
                <w:rFonts w:ascii="Arial" w:cs="Arial" w:eastAsia="Arial" w:hAnsi="Arial"/>
                <w:sz w:val="13"/>
                <w:szCs w:val="13"/>
                <w:color w:val="auto"/>
              </w:rPr>
              <w:t>•</w:t>
            </w:r>
          </w:p>
        </w:tc>
        <w:tc>
          <w:tcPr>
            <w:tcW w:w="3880" w:type="dxa"/>
            <w:vAlign w:val="bottom"/>
            <w:shd w:val="clear" w:color="auto" w:fill="D8D8D8"/>
          </w:tcPr>
          <w:p>
            <w:pPr>
              <w:ind w:left="80"/>
              <w:spacing w:after="0"/>
              <w:rPr>
                <w:sz w:val="20"/>
                <w:szCs w:val="20"/>
                <w:color w:val="auto"/>
              </w:rPr>
            </w:pPr>
            <w:r>
              <w:rPr>
                <w:rFonts w:ascii="Arial" w:cs="Arial" w:eastAsia="Arial" w:hAnsi="Arial"/>
                <w:sz w:val="13"/>
                <w:szCs w:val="13"/>
                <w:color w:val="auto"/>
              </w:rPr>
              <w:t>Lockheed Martin Corporation</w:t>
            </w:r>
          </w:p>
        </w:tc>
        <w:tc>
          <w:tcPr>
            <w:tcW w:w="0" w:type="dxa"/>
            <w:vAlign w:val="bottom"/>
          </w:tcPr>
          <w:p>
            <w:pPr>
              <w:spacing w:after="0"/>
              <w:rPr>
                <w:sz w:val="1"/>
                <w:szCs w:val="1"/>
                <w:color w:val="auto"/>
              </w:rPr>
            </w:pPr>
          </w:p>
        </w:tc>
      </w:tr>
      <w:tr>
        <w:trPr>
          <w:trHeight w:val="135"/>
        </w:trPr>
        <w:tc>
          <w:tcPr>
            <w:tcW w:w="3260" w:type="dxa"/>
            <w:vAlign w:val="bottom"/>
            <w:gridSpan w:val="2"/>
            <w:shd w:val="clear" w:color="auto" w:fill="D8D8D8"/>
          </w:tcPr>
          <w:p>
            <w:pPr>
              <w:ind w:left="100"/>
              <w:spacing w:after="0" w:line="135" w:lineRule="exact"/>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January 2021</w:t>
            </w:r>
          </w:p>
        </w:tc>
        <w:tc>
          <w:tcPr>
            <w:tcW w:w="4780" w:type="dxa"/>
            <w:vAlign w:val="bottom"/>
            <w:gridSpan w:val="2"/>
            <w:vMerge w:val="restart"/>
            <w:shd w:val="clear" w:color="auto" w:fill="D8D8D8"/>
          </w:tcPr>
          <w:p>
            <w:pPr>
              <w:ind w:left="800"/>
              <w:spacing w:after="0"/>
              <w:rPr>
                <w:sz w:val="20"/>
                <w:szCs w:val="20"/>
                <w:color w:val="auto"/>
              </w:rPr>
            </w:pPr>
            <w:r>
              <w:rPr>
                <w:rFonts w:ascii="Arial" w:cs="Arial" w:eastAsia="Arial" w:hAnsi="Arial"/>
                <w:sz w:val="13"/>
                <w:szCs w:val="13"/>
                <w:b w:val="1"/>
                <w:bCs w:val="1"/>
                <w:color w:val="auto"/>
              </w:rPr>
              <w:t>Other Directorships and Memberships:</w:t>
            </w:r>
          </w:p>
        </w:tc>
        <w:tc>
          <w:tcPr>
            <w:tcW w:w="0" w:type="dxa"/>
            <w:vAlign w:val="bottom"/>
          </w:tcPr>
          <w:p>
            <w:pPr>
              <w:spacing w:after="0"/>
              <w:rPr>
                <w:sz w:val="1"/>
                <w:szCs w:val="1"/>
                <w:color w:val="auto"/>
              </w:rPr>
            </w:pPr>
          </w:p>
        </w:tc>
      </w:tr>
      <w:tr>
        <w:trPr>
          <w:trHeight w:val="54"/>
        </w:trPr>
        <w:tc>
          <w:tcPr>
            <w:tcW w:w="3260" w:type="dxa"/>
            <w:vAlign w:val="bottom"/>
            <w:gridSpan w:val="2"/>
            <w:vMerge w:val="restart"/>
            <w:shd w:val="clear" w:color="auto" w:fill="D8D8D8"/>
          </w:tcPr>
          <w:p>
            <w:pPr>
              <w:ind w:left="100"/>
              <w:spacing w:after="0"/>
              <w:rPr>
                <w:sz w:val="20"/>
                <w:szCs w:val="20"/>
                <w:color w:val="auto"/>
              </w:rPr>
            </w:pPr>
            <w:r>
              <w:rPr>
                <w:rFonts w:ascii="Arial" w:cs="Arial" w:eastAsia="Arial" w:hAnsi="Arial"/>
                <w:sz w:val="13"/>
                <w:szCs w:val="13"/>
                <w:b w:val="1"/>
                <w:bCs w:val="1"/>
                <w:color w:val="auto"/>
              </w:rPr>
              <w:t xml:space="preserve">Independent: </w:t>
            </w:r>
            <w:r>
              <w:rPr>
                <w:rFonts w:ascii="Arial" w:cs="Arial" w:eastAsia="Arial" w:hAnsi="Arial"/>
                <w:sz w:val="13"/>
                <w:szCs w:val="13"/>
                <w:color w:val="auto"/>
              </w:rPr>
              <w:t>Yes</w:t>
            </w:r>
          </w:p>
        </w:tc>
        <w:tc>
          <w:tcPr>
            <w:tcW w:w="4780" w:type="dxa"/>
            <w:vAlign w:val="bottom"/>
            <w:gridSpan w:val="2"/>
            <w:vMerge w:val="continue"/>
            <w:shd w:val="clear" w:color="auto" w:fill="D8D8D8"/>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260" w:type="dxa"/>
            <w:vAlign w:val="bottom"/>
            <w:gridSpan w:val="2"/>
            <w:vMerge w:val="continue"/>
            <w:shd w:val="clear" w:color="auto" w:fill="D8D8D8"/>
          </w:tcPr>
          <w:p>
            <w:pPr>
              <w:spacing w:after="0"/>
              <w:rPr>
                <w:sz w:val="11"/>
                <w:szCs w:val="11"/>
                <w:color w:val="auto"/>
              </w:rPr>
            </w:pPr>
          </w:p>
        </w:tc>
        <w:tc>
          <w:tcPr>
            <w:tcW w:w="900" w:type="dxa"/>
            <w:vAlign w:val="bottom"/>
            <w:shd w:val="clear" w:color="auto" w:fill="D8D8D8"/>
          </w:tcPr>
          <w:p>
            <w:pPr>
              <w:ind w:left="800"/>
              <w:spacing w:after="0" w:line="135" w:lineRule="exact"/>
              <w:rPr>
                <w:sz w:val="20"/>
                <w:szCs w:val="20"/>
                <w:color w:val="auto"/>
              </w:rPr>
            </w:pPr>
            <w:r>
              <w:rPr>
                <w:rFonts w:ascii="Arial" w:cs="Arial" w:eastAsia="Arial" w:hAnsi="Arial"/>
                <w:sz w:val="13"/>
                <w:szCs w:val="13"/>
                <w:color w:val="auto"/>
              </w:rPr>
              <w:t>•</w:t>
            </w:r>
          </w:p>
        </w:tc>
        <w:tc>
          <w:tcPr>
            <w:tcW w:w="3880" w:type="dxa"/>
            <w:vAlign w:val="bottom"/>
            <w:shd w:val="clear" w:color="auto" w:fill="D8D8D8"/>
          </w:tcPr>
          <w:p>
            <w:pPr>
              <w:ind w:left="80"/>
              <w:spacing w:after="0" w:line="135" w:lineRule="exact"/>
              <w:rPr>
                <w:sz w:val="20"/>
                <w:szCs w:val="20"/>
                <w:color w:val="auto"/>
              </w:rPr>
            </w:pPr>
            <w:r>
              <w:rPr>
                <w:rFonts w:ascii="Arial" w:cs="Arial" w:eastAsia="Arial" w:hAnsi="Arial"/>
                <w:sz w:val="13"/>
                <w:szCs w:val="13"/>
                <w:color w:val="auto"/>
              </w:rPr>
              <w:t>Trilateral Commission</w:t>
            </w:r>
          </w:p>
        </w:tc>
        <w:tc>
          <w:tcPr>
            <w:tcW w:w="0" w:type="dxa"/>
            <w:vAlign w:val="bottom"/>
          </w:tcPr>
          <w:p>
            <w:pPr>
              <w:spacing w:after="0"/>
              <w:rPr>
                <w:sz w:val="1"/>
                <w:szCs w:val="1"/>
                <w:color w:val="auto"/>
              </w:rPr>
            </w:pPr>
          </w:p>
        </w:tc>
      </w:tr>
      <w:tr>
        <w:trPr>
          <w:trHeight w:val="153"/>
        </w:trPr>
        <w:tc>
          <w:tcPr>
            <w:tcW w:w="3260" w:type="dxa"/>
            <w:vAlign w:val="bottom"/>
            <w:gridSpan w:val="2"/>
            <w:shd w:val="clear" w:color="auto" w:fill="D8D8D8"/>
          </w:tcPr>
          <w:p>
            <w:pPr>
              <w:ind w:left="100"/>
              <w:spacing w:after="0"/>
              <w:rPr>
                <w:sz w:val="20"/>
                <w:szCs w:val="20"/>
                <w:color w:val="auto"/>
              </w:rPr>
            </w:pPr>
            <w:r>
              <w:rPr>
                <w:rFonts w:ascii="Arial" w:cs="Arial" w:eastAsia="Arial" w:hAnsi="Arial"/>
                <w:sz w:val="13"/>
                <w:szCs w:val="13"/>
                <w:b w:val="1"/>
                <w:bCs w:val="1"/>
                <w:color w:val="auto"/>
              </w:rPr>
              <w:t>Chevron Committees:</w:t>
            </w:r>
          </w:p>
        </w:tc>
        <w:tc>
          <w:tcPr>
            <w:tcW w:w="4780" w:type="dxa"/>
            <w:vAlign w:val="bottom"/>
            <w:gridSpan w:val="2"/>
            <w:shd w:val="clear" w:color="auto" w:fill="D8D8D8"/>
          </w:tcPr>
          <w:p>
            <w:pPr>
              <w:ind w:left="800"/>
              <w:spacing w:after="0"/>
              <w:rPr>
                <w:sz w:val="20"/>
                <w:szCs w:val="20"/>
                <w:color w:val="auto"/>
              </w:rPr>
            </w:pPr>
            <w:r>
              <w:rPr>
                <w:rFonts w:ascii="Arial" w:cs="Arial" w:eastAsia="Arial" w:hAnsi="Arial"/>
                <w:sz w:val="13"/>
                <w:szCs w:val="13"/>
                <w:color w:val="auto"/>
              </w:rPr>
              <w:t>•  Culverhouse College of Commerce &amp; Business Administration,</w:t>
            </w:r>
          </w:p>
        </w:tc>
        <w:tc>
          <w:tcPr>
            <w:tcW w:w="0" w:type="dxa"/>
            <w:vAlign w:val="bottom"/>
          </w:tcPr>
          <w:p>
            <w:pPr>
              <w:spacing w:after="0"/>
              <w:rPr>
                <w:sz w:val="1"/>
                <w:szCs w:val="1"/>
                <w:color w:val="auto"/>
              </w:rPr>
            </w:pPr>
          </w:p>
        </w:tc>
      </w:tr>
      <w:tr>
        <w:trPr>
          <w:trHeight w:val="135"/>
        </w:trPr>
        <w:tc>
          <w:tcPr>
            <w:tcW w:w="200" w:type="dxa"/>
            <w:vAlign w:val="bottom"/>
            <w:shd w:val="clear" w:color="auto" w:fill="D8D8D8"/>
          </w:tcPr>
          <w:p>
            <w:pPr>
              <w:ind w:left="100"/>
              <w:spacing w:after="0" w:line="135" w:lineRule="exact"/>
              <w:rPr>
                <w:sz w:val="20"/>
                <w:szCs w:val="20"/>
                <w:color w:val="auto"/>
              </w:rPr>
            </w:pPr>
            <w:r>
              <w:rPr>
                <w:rFonts w:ascii="Arial" w:cs="Arial" w:eastAsia="Arial" w:hAnsi="Arial"/>
                <w:sz w:val="13"/>
                <w:szCs w:val="13"/>
                <w:color w:val="auto"/>
              </w:rPr>
              <w:t>•</w:t>
            </w:r>
          </w:p>
        </w:tc>
        <w:tc>
          <w:tcPr>
            <w:tcW w:w="3060" w:type="dxa"/>
            <w:vAlign w:val="bottom"/>
            <w:shd w:val="clear" w:color="auto" w:fill="D8D8D8"/>
          </w:tcPr>
          <w:p>
            <w:pPr>
              <w:ind w:left="60"/>
              <w:spacing w:after="0" w:line="135" w:lineRule="exact"/>
              <w:rPr>
                <w:sz w:val="20"/>
                <w:szCs w:val="20"/>
                <w:color w:val="auto"/>
              </w:rPr>
            </w:pPr>
            <w:r>
              <w:rPr>
                <w:rFonts w:ascii="Arial" w:cs="Arial" w:eastAsia="Arial" w:hAnsi="Arial"/>
                <w:sz w:val="13"/>
                <w:szCs w:val="13"/>
                <w:color w:val="auto"/>
              </w:rPr>
              <w:t xml:space="preserve">Audit – </w:t>
            </w:r>
            <w:r>
              <w:rPr>
                <w:rFonts w:ascii="Arial" w:cs="Arial" w:eastAsia="Arial" w:hAnsi="Arial"/>
                <w:sz w:val="13"/>
                <w:szCs w:val="13"/>
                <w:i w:val="1"/>
                <w:iCs w:val="1"/>
                <w:color w:val="auto"/>
              </w:rPr>
              <w:t>audit committee financial expert</w:t>
            </w:r>
          </w:p>
        </w:tc>
        <w:tc>
          <w:tcPr>
            <w:tcW w:w="900" w:type="dxa"/>
            <w:vAlign w:val="bottom"/>
            <w:shd w:val="clear" w:color="auto" w:fill="D8D8D8"/>
          </w:tcPr>
          <w:p>
            <w:pPr>
              <w:spacing w:after="0"/>
              <w:rPr>
                <w:sz w:val="11"/>
                <w:szCs w:val="11"/>
                <w:color w:val="auto"/>
              </w:rPr>
            </w:pPr>
          </w:p>
        </w:tc>
        <w:tc>
          <w:tcPr>
            <w:tcW w:w="3880" w:type="dxa"/>
            <w:vAlign w:val="bottom"/>
            <w:shd w:val="clear" w:color="auto" w:fill="D8D8D8"/>
          </w:tcPr>
          <w:p>
            <w:pPr>
              <w:ind w:left="100"/>
              <w:spacing w:after="0" w:line="135" w:lineRule="exact"/>
              <w:rPr>
                <w:sz w:val="20"/>
                <w:szCs w:val="20"/>
                <w:color w:val="auto"/>
              </w:rPr>
            </w:pPr>
            <w:r>
              <w:rPr>
                <w:rFonts w:ascii="Arial" w:cs="Arial" w:eastAsia="Arial" w:hAnsi="Arial"/>
                <w:sz w:val="13"/>
                <w:szCs w:val="13"/>
                <w:color w:val="auto"/>
              </w:rPr>
              <w:t>University of Alabama Board of Visitors</w:t>
            </w:r>
          </w:p>
        </w:tc>
        <w:tc>
          <w:tcPr>
            <w:tcW w:w="0" w:type="dxa"/>
            <w:vAlign w:val="bottom"/>
          </w:tcPr>
          <w:p>
            <w:pPr>
              <w:spacing w:after="0"/>
              <w:rPr>
                <w:sz w:val="1"/>
                <w:szCs w:val="1"/>
                <w:color w:val="auto"/>
              </w:rPr>
            </w:pPr>
          </w:p>
        </w:tc>
      </w:tr>
      <w:tr>
        <w:trPr>
          <w:trHeight w:val="117"/>
        </w:trPr>
        <w:tc>
          <w:tcPr>
            <w:tcW w:w="3260" w:type="dxa"/>
            <w:vAlign w:val="bottom"/>
            <w:gridSpan w:val="2"/>
            <w:vMerge w:val="restart"/>
            <w:shd w:val="clear" w:color="auto" w:fill="D8D8D8"/>
          </w:tcPr>
          <w:p>
            <w:pPr>
              <w:ind w:left="100"/>
              <w:spacing w:after="0"/>
              <w:rPr>
                <w:sz w:val="20"/>
                <w:szCs w:val="20"/>
                <w:color w:val="auto"/>
              </w:rPr>
            </w:pPr>
            <w:r>
              <w:rPr>
                <w:rFonts w:ascii="Arial" w:cs="Arial" w:eastAsia="Arial" w:hAnsi="Arial"/>
                <w:sz w:val="13"/>
                <w:szCs w:val="13"/>
                <w:b w:val="1"/>
                <w:bCs w:val="1"/>
                <w:color w:val="auto"/>
              </w:rPr>
              <w:t>Current Public Company Directorships:</w:t>
            </w:r>
          </w:p>
        </w:tc>
        <w:tc>
          <w:tcPr>
            <w:tcW w:w="4780" w:type="dxa"/>
            <w:vAlign w:val="bottom"/>
            <w:gridSpan w:val="2"/>
            <w:shd w:val="clear" w:color="auto" w:fill="D8D8D8"/>
          </w:tcPr>
          <w:p>
            <w:pPr>
              <w:ind w:left="800"/>
              <w:spacing w:after="0" w:line="117" w:lineRule="exact"/>
              <w:rPr>
                <w:sz w:val="20"/>
                <w:szCs w:val="20"/>
                <w:color w:val="auto"/>
              </w:rPr>
            </w:pPr>
            <w:r>
              <w:rPr>
                <w:rFonts w:ascii="Arial" w:cs="Arial" w:eastAsia="Arial" w:hAnsi="Arial"/>
                <w:sz w:val="13"/>
                <w:szCs w:val="13"/>
                <w:color w:val="auto"/>
              </w:rPr>
              <w:t>•  Nexii Building Solutions, Inc. (Privately held)</w:t>
            </w:r>
          </w:p>
        </w:tc>
        <w:tc>
          <w:tcPr>
            <w:tcW w:w="0" w:type="dxa"/>
            <w:vAlign w:val="bottom"/>
          </w:tcPr>
          <w:p>
            <w:pPr>
              <w:spacing w:after="0"/>
              <w:rPr>
                <w:sz w:val="1"/>
                <w:szCs w:val="1"/>
                <w:color w:val="auto"/>
              </w:rPr>
            </w:pPr>
          </w:p>
        </w:tc>
      </w:tr>
      <w:tr>
        <w:trPr>
          <w:trHeight w:val="126"/>
        </w:trPr>
        <w:tc>
          <w:tcPr>
            <w:tcW w:w="3260" w:type="dxa"/>
            <w:vAlign w:val="bottom"/>
            <w:gridSpan w:val="2"/>
            <w:vMerge w:val="continue"/>
            <w:shd w:val="clear" w:color="auto" w:fill="D8D8D8"/>
          </w:tcPr>
          <w:p>
            <w:pPr>
              <w:spacing w:after="0"/>
              <w:rPr>
                <w:sz w:val="10"/>
                <w:szCs w:val="10"/>
                <w:color w:val="auto"/>
              </w:rPr>
            </w:pPr>
          </w:p>
        </w:tc>
        <w:tc>
          <w:tcPr>
            <w:tcW w:w="4780" w:type="dxa"/>
            <w:vAlign w:val="bottom"/>
            <w:gridSpan w:val="2"/>
            <w:shd w:val="clear" w:color="auto" w:fill="D8D8D8"/>
          </w:tcPr>
          <w:p>
            <w:pPr>
              <w:ind w:left="800"/>
              <w:spacing w:after="0" w:line="126" w:lineRule="exact"/>
              <w:rPr>
                <w:sz w:val="20"/>
                <w:szCs w:val="20"/>
                <w:color w:val="auto"/>
              </w:rPr>
            </w:pPr>
            <w:r>
              <w:rPr>
                <w:rFonts w:ascii="Arial" w:cs="Arial" w:eastAsia="Arial" w:hAnsi="Arial"/>
                <w:sz w:val="13"/>
                <w:szCs w:val="13"/>
                <w:color w:val="auto"/>
              </w:rPr>
              <w:t>•  University of Alabama’s President’s Cabinet</w:t>
            </w:r>
          </w:p>
        </w:tc>
        <w:tc>
          <w:tcPr>
            <w:tcW w:w="0" w:type="dxa"/>
            <w:vAlign w:val="bottom"/>
          </w:tcPr>
          <w:p>
            <w:pPr>
              <w:spacing w:after="0"/>
              <w:rPr>
                <w:sz w:val="1"/>
                <w:szCs w:val="1"/>
                <w:color w:val="auto"/>
              </w:rPr>
            </w:pPr>
          </w:p>
        </w:tc>
      </w:tr>
      <w:tr>
        <w:trPr>
          <w:trHeight w:val="144"/>
        </w:trPr>
        <w:tc>
          <w:tcPr>
            <w:tcW w:w="200" w:type="dxa"/>
            <w:vAlign w:val="bottom"/>
            <w:shd w:val="clear" w:color="auto" w:fill="D8D8D8"/>
          </w:tcPr>
          <w:p>
            <w:pPr>
              <w:ind w:left="100"/>
              <w:spacing w:after="0" w:line="144" w:lineRule="exact"/>
              <w:rPr>
                <w:sz w:val="20"/>
                <w:szCs w:val="20"/>
                <w:color w:val="auto"/>
              </w:rPr>
            </w:pPr>
            <w:r>
              <w:rPr>
                <w:rFonts w:ascii="Arial" w:cs="Arial" w:eastAsia="Arial" w:hAnsi="Arial"/>
                <w:sz w:val="13"/>
                <w:szCs w:val="13"/>
                <w:color w:val="auto"/>
              </w:rPr>
              <w:t>•</w:t>
            </w:r>
          </w:p>
        </w:tc>
        <w:tc>
          <w:tcPr>
            <w:tcW w:w="3060" w:type="dxa"/>
            <w:vAlign w:val="bottom"/>
            <w:shd w:val="clear" w:color="auto" w:fill="D8D8D8"/>
          </w:tcPr>
          <w:p>
            <w:pPr>
              <w:ind w:left="60"/>
              <w:spacing w:after="0" w:line="144" w:lineRule="exact"/>
              <w:rPr>
                <w:sz w:val="20"/>
                <w:szCs w:val="20"/>
                <w:color w:val="auto"/>
              </w:rPr>
            </w:pPr>
            <w:r>
              <w:rPr>
                <w:rFonts w:ascii="Arial" w:cs="Arial" w:eastAsia="Arial" w:hAnsi="Arial"/>
                <w:sz w:val="13"/>
                <w:szCs w:val="13"/>
                <w:color w:val="auto"/>
              </w:rPr>
              <w:t>Johnson &amp; Johnson</w:t>
            </w:r>
          </w:p>
        </w:tc>
        <w:tc>
          <w:tcPr>
            <w:tcW w:w="900" w:type="dxa"/>
            <w:vAlign w:val="bottom"/>
            <w:shd w:val="clear" w:color="auto" w:fill="D8D8D8"/>
          </w:tcPr>
          <w:p>
            <w:pPr>
              <w:ind w:left="800"/>
              <w:spacing w:after="0" w:line="144" w:lineRule="exact"/>
              <w:rPr>
                <w:sz w:val="20"/>
                <w:szCs w:val="20"/>
                <w:color w:val="auto"/>
              </w:rPr>
            </w:pPr>
            <w:r>
              <w:rPr>
                <w:rFonts w:ascii="Arial" w:cs="Arial" w:eastAsia="Arial" w:hAnsi="Arial"/>
                <w:sz w:val="13"/>
                <w:szCs w:val="13"/>
                <w:color w:val="auto"/>
              </w:rPr>
              <w:t>•</w:t>
            </w:r>
          </w:p>
        </w:tc>
        <w:tc>
          <w:tcPr>
            <w:tcW w:w="3880" w:type="dxa"/>
            <w:vAlign w:val="bottom"/>
            <w:shd w:val="clear" w:color="auto" w:fill="D8D8D8"/>
          </w:tcPr>
          <w:p>
            <w:pPr>
              <w:ind w:left="80"/>
              <w:spacing w:after="0" w:line="144" w:lineRule="exact"/>
              <w:rPr>
                <w:sz w:val="20"/>
                <w:szCs w:val="20"/>
                <w:color w:val="auto"/>
              </w:rPr>
            </w:pPr>
            <w:r>
              <w:rPr>
                <w:rFonts w:ascii="Arial" w:cs="Arial" w:eastAsia="Arial" w:hAnsi="Arial"/>
                <w:sz w:val="13"/>
                <w:szCs w:val="13"/>
                <w:color w:val="auto"/>
              </w:rPr>
              <w:t>Business Council</w:t>
            </w:r>
          </w:p>
        </w:tc>
        <w:tc>
          <w:tcPr>
            <w:tcW w:w="0" w:type="dxa"/>
            <w:vAlign w:val="bottom"/>
          </w:tcPr>
          <w:p>
            <w:pPr>
              <w:spacing w:after="0"/>
              <w:rPr>
                <w:sz w:val="1"/>
                <w:szCs w:val="1"/>
                <w:color w:val="auto"/>
              </w:rPr>
            </w:pPr>
          </w:p>
        </w:tc>
      </w:tr>
      <w:tr>
        <w:trPr>
          <w:trHeight w:val="166"/>
        </w:trPr>
        <w:tc>
          <w:tcPr>
            <w:tcW w:w="200" w:type="dxa"/>
            <w:vAlign w:val="bottom"/>
            <w:shd w:val="clear" w:color="auto" w:fill="D8D8D8"/>
          </w:tcPr>
          <w:p>
            <w:pPr>
              <w:spacing w:after="0"/>
              <w:rPr>
                <w:sz w:val="14"/>
                <w:szCs w:val="14"/>
                <w:color w:val="auto"/>
              </w:rPr>
            </w:pPr>
          </w:p>
        </w:tc>
        <w:tc>
          <w:tcPr>
            <w:tcW w:w="3060" w:type="dxa"/>
            <w:vAlign w:val="bottom"/>
            <w:shd w:val="clear" w:color="auto" w:fill="D8D8D8"/>
          </w:tcPr>
          <w:p>
            <w:pPr>
              <w:spacing w:after="0"/>
              <w:rPr>
                <w:sz w:val="14"/>
                <w:szCs w:val="14"/>
                <w:color w:val="auto"/>
              </w:rPr>
            </w:pPr>
          </w:p>
        </w:tc>
        <w:tc>
          <w:tcPr>
            <w:tcW w:w="4780" w:type="dxa"/>
            <w:vAlign w:val="bottom"/>
            <w:gridSpan w:val="2"/>
            <w:shd w:val="clear" w:color="auto" w:fill="D8D8D8"/>
          </w:tcPr>
          <w:p>
            <w:pPr>
              <w:ind w:left="800"/>
              <w:spacing w:after="0"/>
              <w:rPr>
                <w:sz w:val="20"/>
                <w:szCs w:val="20"/>
                <w:color w:val="auto"/>
              </w:rPr>
            </w:pPr>
            <w:r>
              <w:rPr>
                <w:rFonts w:ascii="Arial" w:cs="Arial" w:eastAsia="Arial" w:hAnsi="Arial"/>
                <w:sz w:val="13"/>
                <w:szCs w:val="13"/>
                <w:color w:val="auto"/>
              </w:rPr>
              <w:t>•  Council of Chief Executives</w:t>
            </w:r>
          </w:p>
        </w:tc>
        <w:tc>
          <w:tcPr>
            <w:tcW w:w="0" w:type="dxa"/>
            <w:vAlign w:val="bottom"/>
          </w:tcPr>
          <w:p>
            <w:pPr>
              <w:spacing w:after="0"/>
              <w:rPr>
                <w:sz w:val="1"/>
                <w:szCs w:val="1"/>
                <w:color w:val="auto"/>
              </w:rPr>
            </w:pPr>
          </w:p>
        </w:tc>
      </w:tr>
      <w:tr>
        <w:trPr>
          <w:trHeight w:val="648"/>
        </w:trPr>
        <w:tc>
          <w:tcPr>
            <w:tcW w:w="200" w:type="dxa"/>
            <w:vAlign w:val="bottom"/>
            <w:shd w:val="clear" w:color="auto" w:fill="D8D8D8"/>
          </w:tcPr>
          <w:p>
            <w:pPr>
              <w:spacing w:after="0"/>
              <w:rPr>
                <w:sz w:val="24"/>
                <w:szCs w:val="24"/>
                <w:color w:val="auto"/>
              </w:rPr>
            </w:pPr>
          </w:p>
        </w:tc>
        <w:tc>
          <w:tcPr>
            <w:tcW w:w="3060" w:type="dxa"/>
            <w:vAlign w:val="bottom"/>
            <w:shd w:val="clear" w:color="auto" w:fill="D8D8D8"/>
          </w:tcPr>
          <w:p>
            <w:pPr>
              <w:spacing w:after="0"/>
              <w:rPr>
                <w:sz w:val="24"/>
                <w:szCs w:val="24"/>
                <w:color w:val="auto"/>
              </w:rPr>
            </w:pPr>
          </w:p>
        </w:tc>
        <w:tc>
          <w:tcPr>
            <w:tcW w:w="900" w:type="dxa"/>
            <w:vAlign w:val="bottom"/>
            <w:shd w:val="clear" w:color="auto" w:fill="D8D8D8"/>
          </w:tcPr>
          <w:p>
            <w:pPr>
              <w:spacing w:after="0"/>
              <w:rPr>
                <w:sz w:val="24"/>
                <w:szCs w:val="24"/>
                <w:color w:val="auto"/>
              </w:rPr>
            </w:pPr>
          </w:p>
        </w:tc>
        <w:tc>
          <w:tcPr>
            <w:tcW w:w="388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-1696720</wp:posOffset>
            </wp:positionV>
            <wp:extent cx="17145" cy="16973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 cy="16973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-1696720</wp:posOffset>
            </wp:positionV>
            <wp:extent cx="1903095" cy="1697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03095" cy="1697355"/>
                    </a:xfrm>
                    <a:prstGeom prst="rect">
                      <a:avLst/>
                    </a:prstGeom>
                    <a:noFill/>
                  </pic:spPr>
                </pic:pic>
              </a:graphicData>
            </a:graphic>
          </wp:anchor>
        </w:drawing>
      </w:r>
    </w:p>
    <w:p>
      <w:pPr>
        <w:spacing w:after="0" w:line="74"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b w:val="1"/>
          <w:bCs w:val="1"/>
          <w:color w:val="auto"/>
        </w:rPr>
        <w:t xml:space="preserve">Ms. Hewson </w:t>
      </w:r>
      <w:r>
        <w:rPr>
          <w:rFonts w:ascii="Arial" w:cs="Arial" w:eastAsia="Arial" w:hAnsi="Arial"/>
          <w:sz w:val="16"/>
          <w:szCs w:val="16"/>
          <w:color w:val="auto"/>
        </w:rPr>
        <w:t>served as Chairman of Lockheed Martin Corporation (“Lockheed Martin”), a security and aerospace company principally engaged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research, design, development, manufacture, integration and sustainment of advanced technology systems, products, and services, from January 2014 to March 2021. Serving as Executive Chairman from June 2020 to March 2021 and President and Chief Executive Officer from January 2013 to June 2020. Ms. Hewson joined Lockheed Martin in 1983 as an industrial engineer and has held leadership positions across Lockheed Martin, including President and Chief Operating Officer and Executive Vice President of Lockheed Martin’s Electronic Systems business area.</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Skills and qualifications</w:t>
      </w:r>
    </w:p>
    <w:p>
      <w:pPr>
        <w:spacing w:after="0" w:line="58"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b w:val="1"/>
          <w:bCs w:val="1"/>
          <w:color w:val="auto"/>
        </w:rPr>
        <w:t xml:space="preserve">Business Leadership/Operations: </w:t>
      </w:r>
      <w:r>
        <w:rPr>
          <w:rFonts w:ascii="Arial" w:cs="Arial" w:eastAsia="Arial" w:hAnsi="Arial"/>
          <w:sz w:val="16"/>
          <w:szCs w:val="16"/>
          <w:color w:val="auto"/>
        </w:rPr>
        <w:t>Served six years as Chairman, President, and CEO of Fortune 100 company. Thirty-nine-year career with Lockheed</w:t>
      </w:r>
      <w:r>
        <w:rPr>
          <w:rFonts w:ascii="Arial" w:cs="Arial" w:eastAsia="Arial" w:hAnsi="Arial"/>
          <w:sz w:val="16"/>
          <w:szCs w:val="16"/>
          <w:b w:val="1"/>
          <w:bCs w:val="1"/>
          <w:color w:val="auto"/>
        </w:rPr>
        <w:t xml:space="preserve"> </w:t>
      </w:r>
      <w:r>
        <w:rPr>
          <w:rFonts w:ascii="Arial" w:cs="Arial" w:eastAsia="Arial" w:hAnsi="Arial"/>
          <w:sz w:val="16"/>
          <w:szCs w:val="16"/>
          <w:color w:val="auto"/>
        </w:rPr>
        <w:t>Martin included numerous senior management and executive positions, including over seven years as President and CEO.</w:t>
      </w:r>
    </w:p>
    <w:p>
      <w:pPr>
        <w:spacing w:after="0" w:line="48" w:lineRule="exact"/>
        <w:rPr>
          <w:sz w:val="20"/>
          <w:szCs w:val="20"/>
          <w:color w:val="auto"/>
        </w:rPr>
      </w:pPr>
    </w:p>
    <w:p>
      <w:pPr>
        <w:jc w:val="both"/>
        <w:ind w:left="120" w:right="160"/>
        <w:spacing w:after="0" w:line="266" w:lineRule="auto"/>
        <w:rPr>
          <w:sz w:val="20"/>
          <w:szCs w:val="20"/>
          <w:color w:val="auto"/>
        </w:rPr>
      </w:pPr>
      <w:r>
        <w:rPr>
          <w:rFonts w:ascii="Arial" w:cs="Arial" w:eastAsia="Arial" w:hAnsi="Arial"/>
          <w:sz w:val="16"/>
          <w:szCs w:val="16"/>
          <w:b w:val="1"/>
          <w:bCs w:val="1"/>
          <w:color w:val="auto"/>
        </w:rPr>
        <w:t xml:space="preserve">Environmental Affairs: </w:t>
      </w:r>
      <w:r>
        <w:rPr>
          <w:rFonts w:ascii="Arial" w:cs="Arial" w:eastAsia="Arial" w:hAnsi="Arial"/>
          <w:sz w:val="16"/>
          <w:szCs w:val="16"/>
          <w:color w:val="auto"/>
        </w:rPr>
        <w:t>As Chairman, CEO, and President of Lockheed Martin, oversaw initiatives for energy and environmental stewardship,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Go Green, carbon and energy reduction, and water use reduction, and partnered with the United States Department of Energy’s Better Plants Program, and the Environmental Protection Agency’s ENERGY STAR Program and Green Power Partnerships.</w:t>
      </w:r>
    </w:p>
    <w:p>
      <w:pPr>
        <w:spacing w:after="0" w:line="63" w:lineRule="exact"/>
        <w:rPr>
          <w:sz w:val="20"/>
          <w:szCs w:val="20"/>
          <w:color w:val="auto"/>
        </w:rPr>
      </w:pPr>
    </w:p>
    <w:p>
      <w:pPr>
        <w:ind w:left="120" w:right="700"/>
        <w:spacing w:after="0" w:line="286" w:lineRule="auto"/>
        <w:rPr>
          <w:sz w:val="20"/>
          <w:szCs w:val="20"/>
          <w:color w:val="auto"/>
        </w:rPr>
      </w:pPr>
      <w:r>
        <w:rPr>
          <w:rFonts w:ascii="Arial" w:cs="Arial" w:eastAsia="Arial" w:hAnsi="Arial"/>
          <w:sz w:val="16"/>
          <w:szCs w:val="16"/>
          <w:b w:val="1"/>
          <w:bCs w:val="1"/>
          <w:color w:val="auto"/>
        </w:rPr>
        <w:t xml:space="preserve">Finance: </w:t>
      </w:r>
      <w:r>
        <w:rPr>
          <w:rFonts w:ascii="Arial" w:cs="Arial" w:eastAsia="Arial" w:hAnsi="Arial"/>
          <w:sz w:val="16"/>
          <w:szCs w:val="16"/>
          <w:color w:val="auto"/>
        </w:rPr>
        <w:t>Former Chairman, President, and CEO of Fortune 100 company. More than three decades of financial responsibility and experience at</w:t>
      </w:r>
      <w:r>
        <w:rPr>
          <w:rFonts w:ascii="Arial" w:cs="Arial" w:eastAsia="Arial" w:hAnsi="Arial"/>
          <w:sz w:val="16"/>
          <w:szCs w:val="16"/>
          <w:b w:val="1"/>
          <w:bCs w:val="1"/>
          <w:color w:val="auto"/>
        </w:rPr>
        <w:t xml:space="preserve"> </w:t>
      </w:r>
      <w:r>
        <w:rPr>
          <w:rFonts w:ascii="Arial" w:cs="Arial" w:eastAsia="Arial" w:hAnsi="Arial"/>
          <w:sz w:val="16"/>
          <w:szCs w:val="16"/>
          <w:color w:val="auto"/>
        </w:rPr>
        <w:t>Lockheed Martin.</w:t>
      </w:r>
    </w:p>
    <w:p>
      <w:pPr>
        <w:spacing w:after="0" w:line="48"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b w:val="1"/>
          <w:bCs w:val="1"/>
          <w:color w:val="auto"/>
        </w:rPr>
        <w:t xml:space="preserve">Global Business/International Affairs: </w:t>
      </w:r>
      <w:r>
        <w:rPr>
          <w:rFonts w:ascii="Arial" w:cs="Arial" w:eastAsia="Arial" w:hAnsi="Arial"/>
          <w:sz w:val="16"/>
          <w:szCs w:val="16"/>
          <w:color w:val="auto"/>
        </w:rPr>
        <w:t>Former Chairman, President and CEO of Fortune 100 company with extensive international operations. Served</w:t>
      </w:r>
      <w:r>
        <w:rPr>
          <w:rFonts w:ascii="Arial" w:cs="Arial" w:eastAsia="Arial" w:hAnsi="Arial"/>
          <w:sz w:val="16"/>
          <w:szCs w:val="16"/>
          <w:b w:val="1"/>
          <w:bCs w:val="1"/>
          <w:color w:val="auto"/>
        </w:rPr>
        <w:t xml:space="preserve"> </w:t>
      </w:r>
      <w:r>
        <w:rPr>
          <w:rFonts w:ascii="Arial" w:cs="Arial" w:eastAsia="Arial" w:hAnsi="Arial"/>
          <w:sz w:val="16"/>
          <w:szCs w:val="16"/>
          <w:color w:val="auto"/>
        </w:rPr>
        <w:t>on the Board of Trustees for the King Abdullah University Science and Technology in Saudi Arabia and Khalifa University in the United Arab Emirates. Served on the Atlantic Council International Advisory Board from 2014- June 2021. Served on the US-India CEO Forum in 2020, and as co-vice chair of the US UAE Business Council until 2020. Current and former director of companies with international operations.</w:t>
      </w:r>
    </w:p>
    <w:p>
      <w:pPr>
        <w:spacing w:after="0" w:line="70"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b w:val="1"/>
          <w:bCs w:val="1"/>
          <w:color w:val="auto"/>
        </w:rPr>
        <w:t xml:space="preserve">Government/Regulatory/Public Policy: </w:t>
      </w:r>
      <w:r>
        <w:rPr>
          <w:rFonts w:ascii="Arial" w:cs="Arial" w:eastAsia="Arial" w:hAnsi="Arial"/>
          <w:sz w:val="16"/>
          <w:szCs w:val="16"/>
          <w:color w:val="auto"/>
        </w:rPr>
        <w:t>At Lockheed Martin, a government contractor, oversaw development and production of military and rotary-wing</w:t>
      </w:r>
      <w:r>
        <w:rPr>
          <w:rFonts w:ascii="Arial" w:cs="Arial" w:eastAsia="Arial" w:hAnsi="Arial"/>
          <w:sz w:val="16"/>
          <w:szCs w:val="16"/>
          <w:b w:val="1"/>
          <w:bCs w:val="1"/>
          <w:color w:val="auto"/>
        </w:rPr>
        <w:t xml:space="preserve"> </w:t>
      </w:r>
      <w:r>
        <w:rPr>
          <w:rFonts w:ascii="Arial" w:cs="Arial" w:eastAsia="Arial" w:hAnsi="Arial"/>
          <w:sz w:val="16"/>
          <w:szCs w:val="16"/>
          <w:color w:val="auto"/>
        </w:rPr>
        <w:t>aircraft for all five branches of the U.S. armed forces along with military services and commercial operations. Serves on the American Workforce Policy Advisory Board. Appointed by the President of the United States to the President’s Export Council.</w:t>
      </w:r>
    </w:p>
    <w:p>
      <w:pPr>
        <w:spacing w:after="0" w:line="63"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b w:val="1"/>
          <w:bCs w:val="1"/>
          <w:color w:val="auto"/>
        </w:rPr>
        <w:t xml:space="preserve">Leading Business Transformation: </w:t>
      </w:r>
      <w:r>
        <w:rPr>
          <w:rFonts w:ascii="Arial" w:cs="Arial" w:eastAsia="Arial" w:hAnsi="Arial"/>
          <w:sz w:val="16"/>
          <w:szCs w:val="16"/>
          <w:color w:val="auto"/>
        </w:rPr>
        <w:t>As Chairman and CEO of Lockheed Martin, led large complex global organization that is in continuing</w:t>
      </w:r>
      <w:r>
        <w:rPr>
          <w:rFonts w:ascii="Arial" w:cs="Arial" w:eastAsia="Arial" w:hAnsi="Arial"/>
          <w:sz w:val="16"/>
          <w:szCs w:val="16"/>
          <w:b w:val="1"/>
          <w:bCs w:val="1"/>
          <w:color w:val="auto"/>
        </w:rPr>
        <w:t xml:space="preserve"> </w:t>
      </w:r>
      <w:r>
        <w:rPr>
          <w:rFonts w:ascii="Arial" w:cs="Arial" w:eastAsia="Arial" w:hAnsi="Arial"/>
          <w:sz w:val="16"/>
          <w:szCs w:val="16"/>
          <w:color w:val="auto"/>
        </w:rPr>
        <w:t>transformation and adaptation, with customers facing technology and geopolitical disruption every day. Led large-scale portfolio rebalancing to shift away from commodity IT support and enter rotary wing business with acquisition of Sikorsky. Led digital transformation in product and internal operations. Honored with Edison Achievement Award for leadership in technology innovation (2013) and Eisenhower Award for Innovation by Business Council for International Understanding (2015).</w:t>
      </w:r>
    </w:p>
    <w:p>
      <w:pPr>
        <w:spacing w:after="0" w:line="72"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b w:val="1"/>
          <w:bCs w:val="1"/>
          <w:color w:val="auto"/>
        </w:rPr>
        <w:t xml:space="preserve">Science/Technology/Engineering: </w:t>
      </w:r>
      <w:r>
        <w:rPr>
          <w:rFonts w:ascii="Arial" w:cs="Arial" w:eastAsia="Arial" w:hAnsi="Arial"/>
          <w:sz w:val="16"/>
          <w:szCs w:val="16"/>
          <w:color w:val="auto"/>
        </w:rPr>
        <w:t>Served in a variety of senior management and executive positions at Lockheed Martin, a leading aerospace and</w:t>
      </w:r>
      <w:r>
        <w:rPr>
          <w:rFonts w:ascii="Arial" w:cs="Arial" w:eastAsia="Arial" w:hAnsi="Arial"/>
          <w:sz w:val="16"/>
          <w:szCs w:val="16"/>
          <w:b w:val="1"/>
          <w:bCs w:val="1"/>
          <w:color w:val="auto"/>
        </w:rPr>
        <w:t xml:space="preserve"> </w:t>
      </w:r>
      <w:r>
        <w:rPr>
          <w:rFonts w:ascii="Arial" w:cs="Arial" w:eastAsia="Arial" w:hAnsi="Arial"/>
          <w:sz w:val="16"/>
          <w:szCs w:val="16"/>
          <w:color w:val="auto"/>
        </w:rPr>
        <w:t>advanced technology company, which positions required expertise in engineering and technology. Former director of DowDuPont, a global chemical company, and Chair of Sandia National Laboratories, one of three National Nuclear Security Administration research and development laboratories in the United States. Former Chair of the Aerospace Industries Association, Fellow of the Royal Aeronautical Society, and Fellow of the American Institute of Aeronautics and Astronautics.</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140"/>
          </w:cols>
          <w:pgMar w:left="320" w:top="455" w:right="4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208280</wp:posOffset>
            </wp:positionV>
            <wp:extent cx="133731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37310" cy="145415"/>
                    </a:xfrm>
                    <a:prstGeom prst="rect">
                      <a:avLst/>
                    </a:prstGeom>
                    <a:noFill/>
                  </pic:spPr>
                </pic:pic>
              </a:graphicData>
            </a:graphic>
          </wp:anchor>
        </w:drawing>
      </w:r>
    </w:p>
    <w:p>
      <w:pPr>
        <w:spacing w:after="0" w:line="339"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FFFFFF"/>
        </w:rPr>
        <w:t>Election of directors</w:t>
      </w:r>
    </w:p>
    <w:p>
      <w:pPr>
        <w:spacing w:after="0" w:line="157" w:lineRule="exact"/>
        <w:rPr>
          <w:sz w:val="20"/>
          <w:szCs w:val="20"/>
          <w:color w:val="auto"/>
        </w:rPr>
      </w:pPr>
    </w:p>
    <w:tbl>
      <w:tblPr>
        <w:tblLayout w:type="fixed"/>
        <w:tblInd w:w="3200" w:type="dxa"/>
        <w:tblCellMar>
          <w:top w:w="0" w:type="dxa"/>
          <w:left w:w="0" w:type="dxa"/>
          <w:bottom w:w="0" w:type="dxa"/>
          <w:right w:w="0" w:type="dxa"/>
        </w:tblCellMar>
      </w:tblPr>
      <w:tr>
        <w:trPr>
          <w:trHeight w:val="267"/>
        </w:trPr>
        <w:tc>
          <w:tcPr>
            <w:tcW w:w="3180" w:type="dxa"/>
            <w:vAlign w:val="bottom"/>
          </w:tcPr>
          <w:p>
            <w:pPr>
              <w:spacing w:after="0"/>
              <w:rPr>
                <w:sz w:val="20"/>
                <w:szCs w:val="20"/>
                <w:color w:val="auto"/>
              </w:rPr>
            </w:pPr>
            <w:r>
              <w:rPr>
                <w:rFonts w:ascii="Arial" w:cs="Arial" w:eastAsia="Arial" w:hAnsi="Arial"/>
                <w:sz w:val="22"/>
                <w:szCs w:val="22"/>
                <w:b w:val="1"/>
                <w:bCs w:val="1"/>
                <w:color w:val="0B2D71"/>
              </w:rPr>
              <w:t>Jon M. Huntsman Jr.</w:t>
            </w:r>
          </w:p>
        </w:tc>
        <w:tc>
          <w:tcPr>
            <w:tcW w:w="920" w:type="dxa"/>
            <w:vAlign w:val="bottom"/>
          </w:tcPr>
          <w:p>
            <w:pPr>
              <w:spacing w:after="0"/>
              <w:rPr>
                <w:sz w:val="23"/>
                <w:szCs w:val="23"/>
                <w:color w:val="auto"/>
              </w:rPr>
            </w:pPr>
          </w:p>
        </w:tc>
        <w:tc>
          <w:tcPr>
            <w:tcW w:w="2060" w:type="dxa"/>
            <w:vAlign w:val="bottom"/>
          </w:tcPr>
          <w:p>
            <w:pPr>
              <w:spacing w:after="0"/>
              <w:rPr>
                <w:sz w:val="23"/>
                <w:szCs w:val="23"/>
                <w:color w:val="auto"/>
              </w:rPr>
            </w:pPr>
          </w:p>
        </w:tc>
      </w:tr>
      <w:tr>
        <w:trPr>
          <w:trHeight w:val="189"/>
        </w:trPr>
        <w:tc>
          <w:tcPr>
            <w:tcW w:w="3180" w:type="dxa"/>
            <w:vAlign w:val="bottom"/>
          </w:tcPr>
          <w:p>
            <w:pPr>
              <w:spacing w:after="0"/>
              <w:rPr>
                <w:sz w:val="20"/>
                <w:szCs w:val="20"/>
                <w:color w:val="auto"/>
              </w:rPr>
            </w:pPr>
            <w:r>
              <w:rPr>
                <w:rFonts w:ascii="Arial" w:cs="Arial" w:eastAsia="Arial" w:hAnsi="Arial"/>
                <w:sz w:val="13"/>
                <w:szCs w:val="13"/>
                <w:b w:val="1"/>
                <w:bCs w:val="1"/>
                <w:color w:val="auto"/>
              </w:rPr>
              <w:t>Vice Chair Policy, Ford Motor Company</w:t>
            </w:r>
          </w:p>
        </w:tc>
        <w:tc>
          <w:tcPr>
            <w:tcW w:w="2980" w:type="dxa"/>
            <w:vAlign w:val="bottom"/>
            <w:gridSpan w:val="2"/>
          </w:tcPr>
          <w:p>
            <w:pPr>
              <w:ind w:left="820"/>
              <w:spacing w:after="0"/>
              <w:rPr>
                <w:sz w:val="20"/>
                <w:szCs w:val="20"/>
                <w:color w:val="auto"/>
              </w:rPr>
            </w:pPr>
            <w:r>
              <w:rPr>
                <w:rFonts w:ascii="Arial" w:cs="Arial" w:eastAsia="Arial" w:hAnsi="Arial"/>
                <w:sz w:val="13"/>
                <w:szCs w:val="13"/>
                <w:b w:val="1"/>
                <w:bCs w:val="1"/>
                <w:color w:val="auto"/>
                <w:w w:val="95"/>
              </w:rPr>
              <w:t>Prior Public Company Directorships</w:t>
            </w:r>
          </w:p>
        </w:tc>
      </w:tr>
      <w:tr>
        <w:trPr>
          <w:trHeight w:val="147"/>
        </w:trPr>
        <w:tc>
          <w:tcPr>
            <w:tcW w:w="3180" w:type="dxa"/>
            <w:vAlign w:val="bottom"/>
          </w:tcPr>
          <w:p>
            <w:pPr>
              <w:spacing w:after="0" w:line="147" w:lineRule="exact"/>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62</w:t>
            </w:r>
          </w:p>
        </w:tc>
        <w:tc>
          <w:tcPr>
            <w:tcW w:w="2980" w:type="dxa"/>
            <w:vAlign w:val="bottom"/>
            <w:gridSpan w:val="2"/>
          </w:tcPr>
          <w:p>
            <w:pPr>
              <w:ind w:left="820"/>
              <w:spacing w:after="0" w:line="147" w:lineRule="exact"/>
              <w:rPr>
                <w:sz w:val="20"/>
                <w:szCs w:val="20"/>
                <w:color w:val="auto"/>
              </w:rPr>
            </w:pPr>
            <w:r>
              <w:rPr>
                <w:rFonts w:ascii="Arial" w:cs="Arial" w:eastAsia="Arial" w:hAnsi="Arial"/>
                <w:sz w:val="13"/>
                <w:szCs w:val="13"/>
                <w:color w:val="auto"/>
              </w:rPr>
              <w:t>(within last five years):</w:t>
            </w:r>
          </w:p>
        </w:tc>
      </w:tr>
      <w:tr>
        <w:trPr>
          <w:trHeight w:val="141"/>
        </w:trPr>
        <w:tc>
          <w:tcPr>
            <w:tcW w:w="3180" w:type="dxa"/>
            <w:vAlign w:val="bottom"/>
          </w:tcPr>
          <w:p>
            <w:pPr>
              <w:spacing w:after="0" w:line="141" w:lineRule="exact"/>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September 2020</w:t>
            </w:r>
          </w:p>
        </w:tc>
        <w:tc>
          <w:tcPr>
            <w:tcW w:w="920" w:type="dxa"/>
            <w:vAlign w:val="bottom"/>
          </w:tcPr>
          <w:p>
            <w:pPr>
              <w:ind w:left="820"/>
              <w:spacing w:after="0" w:line="141" w:lineRule="exact"/>
              <w:rPr>
                <w:sz w:val="20"/>
                <w:szCs w:val="20"/>
                <w:color w:val="auto"/>
              </w:rPr>
            </w:pPr>
            <w:r>
              <w:rPr>
                <w:rFonts w:ascii="Arial" w:cs="Arial" w:eastAsia="Arial" w:hAnsi="Arial"/>
                <w:sz w:val="13"/>
                <w:szCs w:val="13"/>
                <w:color w:val="auto"/>
              </w:rPr>
              <w:t>•</w:t>
            </w:r>
          </w:p>
        </w:tc>
        <w:tc>
          <w:tcPr>
            <w:tcW w:w="2060" w:type="dxa"/>
            <w:vAlign w:val="bottom"/>
          </w:tcPr>
          <w:p>
            <w:pPr>
              <w:ind w:left="60"/>
              <w:spacing w:after="0" w:line="141" w:lineRule="exact"/>
              <w:rPr>
                <w:sz w:val="20"/>
                <w:szCs w:val="20"/>
                <w:color w:val="auto"/>
              </w:rPr>
            </w:pPr>
            <w:r>
              <w:rPr>
                <w:rFonts w:ascii="Arial" w:cs="Arial" w:eastAsia="Arial" w:hAnsi="Arial"/>
                <w:sz w:val="13"/>
                <w:szCs w:val="13"/>
                <w:color w:val="auto"/>
              </w:rPr>
              <w:t>Caterpillar Inc.</w:t>
            </w:r>
          </w:p>
        </w:tc>
      </w:tr>
      <w:tr>
        <w:trPr>
          <w:trHeight w:val="181"/>
        </w:trPr>
        <w:tc>
          <w:tcPr>
            <w:tcW w:w="3180" w:type="dxa"/>
            <w:vAlign w:val="bottom"/>
          </w:tcPr>
          <w:p>
            <w:pPr>
              <w:spacing w:after="0"/>
              <w:rPr>
                <w:sz w:val="20"/>
                <w:szCs w:val="20"/>
                <w:color w:val="auto"/>
              </w:rPr>
            </w:pPr>
            <w:r>
              <w:rPr>
                <w:rFonts w:ascii="Arial" w:cs="Arial" w:eastAsia="Arial" w:hAnsi="Arial"/>
                <w:sz w:val="13"/>
                <w:szCs w:val="13"/>
                <w:b w:val="1"/>
                <w:bCs w:val="1"/>
                <w:color w:val="auto"/>
              </w:rPr>
              <w:t xml:space="preserve">Independent: </w:t>
            </w:r>
            <w:r>
              <w:rPr>
                <w:rFonts w:ascii="Arial" w:cs="Arial" w:eastAsia="Arial" w:hAnsi="Arial"/>
                <w:sz w:val="13"/>
                <w:szCs w:val="13"/>
                <w:color w:val="auto"/>
              </w:rPr>
              <w:t>Yes</w:t>
            </w:r>
          </w:p>
        </w:tc>
        <w:tc>
          <w:tcPr>
            <w:tcW w:w="920" w:type="dxa"/>
            <w:vAlign w:val="bottom"/>
          </w:tcPr>
          <w:p>
            <w:pPr>
              <w:ind w:left="820"/>
              <w:spacing w:after="0"/>
              <w:rPr>
                <w:sz w:val="20"/>
                <w:szCs w:val="20"/>
                <w:color w:val="auto"/>
              </w:rPr>
            </w:pPr>
            <w:r>
              <w:rPr>
                <w:rFonts w:ascii="Arial" w:cs="Arial" w:eastAsia="Arial" w:hAnsi="Arial"/>
                <w:sz w:val="13"/>
                <w:szCs w:val="13"/>
                <w:color w:val="auto"/>
              </w:rPr>
              <w:t>•</w:t>
            </w:r>
          </w:p>
        </w:tc>
        <w:tc>
          <w:tcPr>
            <w:tcW w:w="2060" w:type="dxa"/>
            <w:vAlign w:val="bottom"/>
          </w:tcPr>
          <w:p>
            <w:pPr>
              <w:ind w:left="60"/>
              <w:spacing w:after="0"/>
              <w:rPr>
                <w:sz w:val="20"/>
                <w:szCs w:val="20"/>
                <w:color w:val="auto"/>
              </w:rPr>
            </w:pPr>
            <w:r>
              <w:rPr>
                <w:rFonts w:ascii="Arial" w:cs="Arial" w:eastAsia="Arial" w:hAnsi="Arial"/>
                <w:sz w:val="13"/>
                <w:szCs w:val="13"/>
                <w:color w:val="auto"/>
              </w:rPr>
              <w:t>Hilton Worldwide Holdings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-568325</wp:posOffset>
            </wp:positionV>
            <wp:extent cx="6995160" cy="16973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697355"/>
                    </a:xfrm>
                    <a:prstGeom prst="rect">
                      <a:avLst/>
                    </a:prstGeom>
                    <a:noFill/>
                  </pic:spPr>
                </pic:pic>
              </a:graphicData>
            </a:graphic>
          </wp:anchor>
        </w:drawing>
      </w:r>
    </w:p>
    <w:p>
      <w:pPr>
        <w:spacing w:after="0" w:line="22" w:lineRule="exact"/>
        <w:rPr>
          <w:sz w:val="20"/>
          <w:szCs w:val="20"/>
          <w:color w:val="auto"/>
        </w:rPr>
      </w:pPr>
    </w:p>
    <w:p>
      <w:pPr>
        <w:ind w:left="3200"/>
        <w:spacing w:after="0"/>
        <w:rPr>
          <w:sz w:val="20"/>
          <w:szCs w:val="20"/>
          <w:color w:val="auto"/>
        </w:rPr>
      </w:pPr>
      <w:r>
        <w:rPr>
          <w:rFonts w:ascii="Arial" w:cs="Arial" w:eastAsia="Arial" w:hAnsi="Arial"/>
          <w:sz w:val="13"/>
          <w:szCs w:val="13"/>
          <w:b w:val="1"/>
          <w:bCs w:val="1"/>
          <w:color w:val="auto"/>
        </w:rPr>
        <w:t>Chevron Committees:</w:t>
      </w:r>
    </w:p>
    <w:p>
      <w:pPr>
        <w:ind w:left="3380" w:hanging="173"/>
        <w:spacing w:after="0" w:line="216" w:lineRule="auto"/>
        <w:tabs>
          <w:tab w:leader="none" w:pos="33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Management Compensation</w:t>
      </w:r>
    </w:p>
    <w:p>
      <w:pPr>
        <w:ind w:left="3380" w:hanging="173"/>
        <w:spacing w:after="0"/>
        <w:tabs>
          <w:tab w:leader="none" w:pos="33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Public Policy and Sustainability</w:t>
      </w:r>
    </w:p>
    <w:p>
      <w:pPr>
        <w:spacing w:after="0" w:line="52" w:lineRule="exact"/>
        <w:rPr>
          <w:sz w:val="20"/>
          <w:szCs w:val="20"/>
          <w:color w:val="auto"/>
        </w:rPr>
      </w:pPr>
    </w:p>
    <w:p>
      <w:pPr>
        <w:ind w:left="3200"/>
        <w:spacing w:after="0"/>
        <w:rPr>
          <w:sz w:val="20"/>
          <w:szCs w:val="20"/>
          <w:color w:val="auto"/>
        </w:rPr>
      </w:pPr>
      <w:r>
        <w:rPr>
          <w:rFonts w:ascii="Arial" w:cs="Arial" w:eastAsia="Arial" w:hAnsi="Arial"/>
          <w:sz w:val="13"/>
          <w:szCs w:val="13"/>
          <w:b w:val="1"/>
          <w:bCs w:val="1"/>
          <w:color w:val="auto"/>
        </w:rPr>
        <w:t>Current Public Company Directorships:</w:t>
      </w:r>
    </w:p>
    <w:p>
      <w:pPr>
        <w:ind w:left="3380" w:hanging="173"/>
        <w:spacing w:after="0"/>
        <w:tabs>
          <w:tab w:leader="none" w:pos="33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Ford Motor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b w:val="1"/>
          <w:bCs w:val="1"/>
          <w:color w:val="auto"/>
        </w:rPr>
        <w:t xml:space="preserve">Governor Huntsman </w:t>
      </w:r>
      <w:r>
        <w:rPr>
          <w:rFonts w:ascii="Arial" w:cs="Arial" w:eastAsia="Arial" w:hAnsi="Arial"/>
          <w:sz w:val="16"/>
          <w:szCs w:val="16"/>
          <w:color w:val="auto"/>
        </w:rPr>
        <w:t>is an American businessman, diplomat, politician, and Vice Chair of Policy, at Ford Motor Company since 2021. He served as U.S.</w:t>
      </w:r>
      <w:r>
        <w:rPr>
          <w:rFonts w:ascii="Arial" w:cs="Arial" w:eastAsia="Arial" w:hAnsi="Arial"/>
          <w:sz w:val="16"/>
          <w:szCs w:val="16"/>
          <w:b w:val="1"/>
          <w:bCs w:val="1"/>
          <w:color w:val="auto"/>
        </w:rPr>
        <w:t xml:space="preserve"> </w:t>
      </w:r>
      <w:r>
        <w:rPr>
          <w:rFonts w:ascii="Arial" w:cs="Arial" w:eastAsia="Arial" w:hAnsi="Arial"/>
          <w:sz w:val="16"/>
          <w:szCs w:val="16"/>
          <w:color w:val="auto"/>
        </w:rPr>
        <w:t>Ambassador to Russia from 2017 to 2019 and as Chairman of the Atlantic Council, a nonprofit that promotes leadership and engagement in international affairs, from 2014 until 2017. He has served in the administrations of five Presidents and was a candidate for the Republican nomination for president of the United States in 2011. He was Chairman of the Huntsman Cancer Foundation, a nonprofit organization that financially supports research, education and patient care initiatives at Huntsman Cancer Institute at the University of Utah from 2012 until 2017. Governor Huntsman served as U.S. Ambassador to China from 2009 until 2011 and two consecutive terms as Governor of Utah from 2005 until 2009. Prior to his service as Governor, he served as U.S. Ambassador to Singapore, Deputy U.S. Trade Representative, and Deputy Assistant Secretary of Commerce for Asia.</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Skills and qualifications</w:t>
      </w:r>
    </w:p>
    <w:p>
      <w:pPr>
        <w:spacing w:after="0" w:line="58" w:lineRule="exact"/>
        <w:rPr>
          <w:sz w:val="20"/>
          <w:szCs w:val="20"/>
          <w:color w:val="auto"/>
        </w:rPr>
      </w:pPr>
    </w:p>
    <w:p>
      <w:pPr>
        <w:ind w:left="120" w:right="460"/>
        <w:spacing w:after="0" w:line="286" w:lineRule="auto"/>
        <w:rPr>
          <w:sz w:val="20"/>
          <w:szCs w:val="20"/>
          <w:color w:val="auto"/>
        </w:rPr>
      </w:pPr>
      <w:r>
        <w:rPr>
          <w:rFonts w:ascii="Arial" w:cs="Arial" w:eastAsia="Arial" w:hAnsi="Arial"/>
          <w:sz w:val="16"/>
          <w:szCs w:val="16"/>
          <w:b w:val="1"/>
          <w:bCs w:val="1"/>
          <w:color w:val="auto"/>
        </w:rPr>
        <w:t xml:space="preserve">Business Leadership/Operations: </w:t>
      </w:r>
      <w:r>
        <w:rPr>
          <w:rFonts w:ascii="Arial" w:cs="Arial" w:eastAsia="Arial" w:hAnsi="Arial"/>
          <w:sz w:val="16"/>
          <w:szCs w:val="16"/>
          <w:color w:val="auto"/>
        </w:rPr>
        <w:t>Served eight years as Vice Chairman of Huntsman Corporation and Chairman and CEO of Huntsman Holdings</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w:t>
      </w:r>
    </w:p>
    <w:p>
      <w:pPr>
        <w:spacing w:after="0" w:line="48" w:lineRule="exact"/>
        <w:rPr>
          <w:sz w:val="20"/>
          <w:szCs w:val="20"/>
          <w:color w:val="auto"/>
        </w:rPr>
      </w:pPr>
    </w:p>
    <w:p>
      <w:pPr>
        <w:ind w:left="120" w:right="220"/>
        <w:spacing w:after="0" w:line="259" w:lineRule="auto"/>
        <w:rPr>
          <w:sz w:val="20"/>
          <w:szCs w:val="20"/>
          <w:color w:val="auto"/>
        </w:rPr>
      </w:pPr>
      <w:r>
        <w:rPr>
          <w:rFonts w:ascii="Arial" w:cs="Arial" w:eastAsia="Arial" w:hAnsi="Arial"/>
          <w:sz w:val="16"/>
          <w:szCs w:val="16"/>
          <w:b w:val="1"/>
          <w:bCs w:val="1"/>
          <w:color w:val="auto"/>
        </w:rPr>
        <w:t xml:space="preserve">Environmental Affairs: </w:t>
      </w:r>
      <w:r>
        <w:rPr>
          <w:rFonts w:ascii="Arial" w:cs="Arial" w:eastAsia="Arial" w:hAnsi="Arial"/>
          <w:sz w:val="16"/>
          <w:szCs w:val="16"/>
          <w:color w:val="auto"/>
        </w:rPr>
        <w:t>As Governor of Utah, oversaw environmental policy, including signing the Western Climate Initiative, by which Utah joined with</w:t>
      </w:r>
      <w:r>
        <w:rPr>
          <w:rFonts w:ascii="Arial" w:cs="Arial" w:eastAsia="Arial" w:hAnsi="Arial"/>
          <w:sz w:val="16"/>
          <w:szCs w:val="16"/>
          <w:b w:val="1"/>
          <w:bCs w:val="1"/>
          <w:color w:val="auto"/>
        </w:rPr>
        <w:t xml:space="preserve"> </w:t>
      </w:r>
      <w:r>
        <w:rPr>
          <w:rFonts w:ascii="Arial" w:cs="Arial" w:eastAsia="Arial" w:hAnsi="Arial"/>
          <w:sz w:val="16"/>
          <w:szCs w:val="16"/>
          <w:color w:val="auto"/>
        </w:rPr>
        <w:t>other U.S. state governments to pursue targets for reduced greenhouse gas emissions. Significant experience overseeing environmental practices and related matters as Vice Chairman of Huntsman Corporation and Chairman and CEO of Huntsman Holdings Corporation. Sustainability and Innovation Committee member at Ford Motor Company.</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Finance: </w:t>
      </w:r>
      <w:r>
        <w:rPr>
          <w:rFonts w:ascii="Arial" w:cs="Arial" w:eastAsia="Arial" w:hAnsi="Arial"/>
          <w:sz w:val="16"/>
          <w:szCs w:val="16"/>
          <w:color w:val="auto"/>
        </w:rPr>
        <w:t>Former executive officer of Huntsman Corporation and Huntsman Holdings Corporation.</w:t>
      </w:r>
    </w:p>
    <w:p>
      <w:pPr>
        <w:spacing w:after="0" w:line="113"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b w:val="1"/>
          <w:bCs w:val="1"/>
          <w:color w:val="auto"/>
        </w:rPr>
        <w:t xml:space="preserve">Global Business/International Affairs: </w:t>
      </w:r>
      <w:r>
        <w:rPr>
          <w:rFonts w:ascii="Arial" w:cs="Arial" w:eastAsia="Arial" w:hAnsi="Arial"/>
          <w:sz w:val="16"/>
          <w:szCs w:val="16"/>
          <w:color w:val="auto"/>
        </w:rPr>
        <w:t>Member of the Defense Policy Board at the U.S. Department of Defense. Former U.S. Ambassador to Russia.</w:t>
      </w:r>
      <w:r>
        <w:rPr>
          <w:rFonts w:ascii="Arial" w:cs="Arial" w:eastAsia="Arial" w:hAnsi="Arial"/>
          <w:sz w:val="16"/>
          <w:szCs w:val="16"/>
          <w:b w:val="1"/>
          <w:bCs w:val="1"/>
          <w:color w:val="auto"/>
        </w:rPr>
        <w:t xml:space="preserve"> </w:t>
      </w:r>
      <w:r>
        <w:rPr>
          <w:rFonts w:ascii="Arial" w:cs="Arial" w:eastAsia="Arial" w:hAnsi="Arial"/>
          <w:sz w:val="16"/>
          <w:szCs w:val="16"/>
          <w:color w:val="auto"/>
        </w:rPr>
        <w:t>Former Chairman of the Atlantic Council. Former Trustee of the National Committee on US-China Relations and of the Carnegie Endowment for International Peace. Former U.S. Ambassador to China. Former U.S. Ambassador to Singapore, Deputy U.S. Trade Representative, and Deputy Assistant Secretary of Commerce for Asia. Founding director of the Pacific Council on International Policy. Current and former director of companies with international operations.</w:t>
      </w:r>
    </w:p>
    <w:p>
      <w:pPr>
        <w:spacing w:after="0" w:line="72"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b w:val="1"/>
          <w:bCs w:val="1"/>
          <w:color w:val="auto"/>
        </w:rPr>
        <w:t xml:space="preserve">Government/Regulatory/Public Policy: </w:t>
      </w:r>
      <w:r>
        <w:rPr>
          <w:rFonts w:ascii="Arial" w:cs="Arial" w:eastAsia="Arial" w:hAnsi="Arial"/>
          <w:sz w:val="16"/>
          <w:szCs w:val="16"/>
          <w:color w:val="auto"/>
        </w:rPr>
        <w:t>Member of the Defense Policy Board at the U.S. Department of Defense. Former two-term Governor of Utah.</w:t>
      </w:r>
      <w:r>
        <w:rPr>
          <w:rFonts w:ascii="Arial" w:cs="Arial" w:eastAsia="Arial" w:hAnsi="Arial"/>
          <w:sz w:val="16"/>
          <w:szCs w:val="16"/>
          <w:b w:val="1"/>
          <w:bCs w:val="1"/>
          <w:color w:val="auto"/>
        </w:rPr>
        <w:t xml:space="preserve"> </w:t>
      </w:r>
      <w:r>
        <w:rPr>
          <w:rFonts w:ascii="Arial" w:cs="Arial" w:eastAsia="Arial" w:hAnsi="Arial"/>
          <w:sz w:val="16"/>
          <w:szCs w:val="16"/>
          <w:color w:val="auto"/>
        </w:rPr>
        <w:t>Former Deputy U.S. Trade Representative and Deputy Assistant Secretary of Commerce for Asia. Former Co-Chair of No-Labels, a nonprofit organization that works across political party lines to reduce gridlock and create policy solutions. Advisor to Ford Motor Company’s President and CEO, and Vice Chair on policy choices.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140"/>
          </w:cols>
          <w:pgMar w:left="320" w:top="455" w:right="4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26873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68730" cy="146050"/>
                    </a:xfrm>
                    <a:prstGeom prst="rect">
                      <a:avLst/>
                    </a:prstGeom>
                    <a:noFill/>
                  </pic:spPr>
                </pic:pic>
              </a:graphicData>
            </a:graphic>
          </wp:anchor>
        </w:drawing>
      </w:r>
    </w:p>
    <w:p>
      <w:pPr>
        <w:spacing w:after="0" w:line="33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FFFFFF"/>
        </w:rPr>
        <w:t>Election of directors</w:t>
      </w:r>
    </w:p>
    <w:p>
      <w:pPr>
        <w:spacing w:after="0" w:line="157"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0B2D71"/>
        </w:rPr>
        <w:t>Charles W. Moorman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1885950" cy="1706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85950" cy="1706245"/>
                    </a:xfrm>
                    <a:prstGeom prst="rect">
                      <a:avLst/>
                    </a:prstGeom>
                    <a:noFill/>
                  </pic:spPr>
                </pic:pic>
              </a:graphicData>
            </a:graphic>
          </wp:anchor>
        </w:drawing>
      </w:r>
    </w:p>
    <w:p>
      <w:pPr>
        <w:spacing w:after="0" w:line="6" w:lineRule="exact"/>
        <w:rPr>
          <w:sz w:val="20"/>
          <w:szCs w:val="20"/>
          <w:color w:val="auto"/>
        </w:rPr>
      </w:pPr>
    </w:p>
    <w:p>
      <w:pPr>
        <w:ind w:left="3200"/>
        <w:spacing w:after="0" w:line="236" w:lineRule="auto"/>
        <w:rPr>
          <w:sz w:val="20"/>
          <w:szCs w:val="20"/>
          <w:color w:val="auto"/>
        </w:rPr>
      </w:pPr>
      <w:r>
        <w:rPr>
          <w:rFonts w:ascii="Arial" w:cs="Arial" w:eastAsia="Arial" w:hAnsi="Arial"/>
          <w:sz w:val="13"/>
          <w:szCs w:val="13"/>
          <w:b w:val="1"/>
          <w:bCs w:val="1"/>
          <w:color w:val="auto"/>
        </w:rPr>
        <w:t>Senior advisor to Amtrak and Retired Chairman and Chief Executive Officer, Norfolk Southern Corporation</w:t>
      </w:r>
    </w:p>
    <w:p>
      <w:pPr>
        <w:spacing w:after="0" w:line="43" w:lineRule="exact"/>
        <w:rPr>
          <w:sz w:val="20"/>
          <w:szCs w:val="20"/>
          <w:color w:val="auto"/>
        </w:rPr>
      </w:pPr>
    </w:p>
    <w:p>
      <w:pPr>
        <w:ind w:left="320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70</w:t>
      </w:r>
    </w:p>
    <w:p>
      <w:pPr>
        <w:ind w:left="3200"/>
        <w:spacing w:after="0" w:line="216" w:lineRule="auto"/>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May 2012</w:t>
      </w:r>
    </w:p>
    <w:p>
      <w:pPr>
        <w:ind w:left="3200"/>
        <w:spacing w:after="0"/>
        <w:rPr>
          <w:sz w:val="20"/>
          <w:szCs w:val="20"/>
          <w:color w:val="auto"/>
        </w:rPr>
      </w:pPr>
      <w:r>
        <w:rPr>
          <w:rFonts w:ascii="Arial" w:cs="Arial" w:eastAsia="Arial" w:hAnsi="Arial"/>
          <w:sz w:val="13"/>
          <w:szCs w:val="13"/>
          <w:b w:val="1"/>
          <w:bCs w:val="1"/>
          <w:color w:val="auto"/>
        </w:rPr>
        <w:t xml:space="preserve">Independent: </w:t>
      </w:r>
      <w:r>
        <w:rPr>
          <w:rFonts w:ascii="Arial" w:cs="Arial" w:eastAsia="Arial" w:hAnsi="Arial"/>
          <w:sz w:val="13"/>
          <w:szCs w:val="13"/>
          <w:color w:val="auto"/>
        </w:rPr>
        <w:t>Yes</w:t>
      </w:r>
    </w:p>
    <w:p>
      <w:pPr>
        <w:spacing w:after="0" w:line="52" w:lineRule="exact"/>
        <w:rPr>
          <w:sz w:val="20"/>
          <w:szCs w:val="20"/>
          <w:color w:val="auto"/>
        </w:rPr>
      </w:pPr>
    </w:p>
    <w:p>
      <w:pPr>
        <w:ind w:left="3200"/>
        <w:spacing w:after="0"/>
        <w:rPr>
          <w:sz w:val="20"/>
          <w:szCs w:val="20"/>
          <w:color w:val="auto"/>
        </w:rPr>
      </w:pPr>
      <w:r>
        <w:rPr>
          <w:rFonts w:ascii="Arial" w:cs="Arial" w:eastAsia="Arial" w:hAnsi="Arial"/>
          <w:sz w:val="13"/>
          <w:szCs w:val="13"/>
          <w:b w:val="1"/>
          <w:bCs w:val="1"/>
          <w:color w:val="auto"/>
        </w:rPr>
        <w:t>Chevron Committees:</w:t>
      </w:r>
    </w:p>
    <w:p>
      <w:pPr>
        <w:ind w:left="3360" w:hanging="166"/>
        <w:spacing w:after="0" w:line="216" w:lineRule="auto"/>
        <w:tabs>
          <w:tab w:leader="none" w:pos="33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Board Nominating and Governance</w:t>
      </w:r>
    </w:p>
    <w:p>
      <w:pPr>
        <w:ind w:left="3360" w:hanging="166"/>
        <w:spacing w:after="0"/>
        <w:tabs>
          <w:tab w:leader="none" w:pos="33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Management Compensation (Chair)</w:t>
      </w:r>
    </w:p>
    <w:p>
      <w:pPr>
        <w:spacing w:after="0" w:line="52" w:lineRule="exact"/>
        <w:rPr>
          <w:sz w:val="20"/>
          <w:szCs w:val="20"/>
          <w:color w:val="auto"/>
        </w:rPr>
      </w:pPr>
    </w:p>
    <w:p>
      <w:pPr>
        <w:ind w:left="3200"/>
        <w:spacing w:after="0"/>
        <w:rPr>
          <w:sz w:val="20"/>
          <w:szCs w:val="20"/>
          <w:color w:val="auto"/>
        </w:rPr>
      </w:pPr>
      <w:r>
        <w:rPr>
          <w:rFonts w:ascii="Arial" w:cs="Arial" w:eastAsia="Arial" w:hAnsi="Arial"/>
          <w:sz w:val="13"/>
          <w:szCs w:val="13"/>
          <w:b w:val="1"/>
          <w:bCs w:val="1"/>
          <w:color w:val="auto"/>
        </w:rPr>
        <w:t>Current Public Company Directorships:</w:t>
      </w:r>
    </w:p>
    <w:p>
      <w:pPr>
        <w:ind w:left="3360" w:hanging="166"/>
        <w:spacing w:after="0"/>
        <w:tabs>
          <w:tab w:leader="none" w:pos="33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Oracle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Prior Public Company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-2682240</wp:posOffset>
            </wp:positionH>
            <wp:positionV relativeFrom="paragraph">
              <wp:posOffset>-278765</wp:posOffset>
            </wp:positionV>
            <wp:extent cx="5109210" cy="1705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09210" cy="1705610"/>
                    </a:xfrm>
                    <a:prstGeom prst="rect">
                      <a:avLst/>
                    </a:prstGeom>
                    <a:noFill/>
                  </pic:spPr>
                </pic:pic>
              </a:graphicData>
            </a:graphic>
          </wp:anchor>
        </w:drawing>
      </w:r>
    </w:p>
    <w:p>
      <w:pPr>
        <w:ind w:left="9"/>
        <w:spacing w:after="0" w:line="216" w:lineRule="auto"/>
        <w:rPr>
          <w:sz w:val="20"/>
          <w:szCs w:val="20"/>
          <w:color w:val="auto"/>
        </w:rPr>
      </w:pPr>
      <w:r>
        <w:rPr>
          <w:rFonts w:ascii="Arial" w:cs="Arial" w:eastAsia="Arial" w:hAnsi="Arial"/>
          <w:sz w:val="13"/>
          <w:szCs w:val="13"/>
          <w:color w:val="auto"/>
        </w:rPr>
        <w:t>(within last five years):</w:t>
      </w:r>
    </w:p>
    <w:p>
      <w:pPr>
        <w:ind w:left="169" w:hanging="169"/>
        <w:spacing w:after="0"/>
        <w:tabs>
          <w:tab w:leader="none" w:pos="169" w:val="left"/>
        </w:tabs>
        <w:numPr>
          <w:ilvl w:val="0"/>
          <w:numId w:val="27"/>
        </w:numPr>
        <w:rPr>
          <w:rFonts w:ascii="Arial" w:cs="Arial" w:eastAsia="Arial" w:hAnsi="Arial"/>
          <w:sz w:val="13"/>
          <w:szCs w:val="13"/>
          <w:color w:val="auto"/>
        </w:rPr>
      </w:pPr>
      <w:r>
        <w:rPr>
          <w:rFonts w:ascii="Arial" w:cs="Arial" w:eastAsia="Arial" w:hAnsi="Arial"/>
          <w:sz w:val="13"/>
          <w:szCs w:val="13"/>
          <w:color w:val="auto"/>
        </w:rPr>
        <w:t>Duke Energy Corporation</w:t>
      </w:r>
    </w:p>
    <w:p>
      <w:pPr>
        <w:spacing w:after="0" w:line="55" w:lineRule="exact"/>
        <w:rPr>
          <w:sz w:val="20"/>
          <w:szCs w:val="20"/>
          <w:color w:val="auto"/>
        </w:rPr>
      </w:pPr>
    </w:p>
    <w:p>
      <w:pPr>
        <w:ind w:left="9"/>
        <w:spacing w:after="0"/>
        <w:rPr>
          <w:sz w:val="20"/>
          <w:szCs w:val="20"/>
          <w:color w:val="auto"/>
        </w:rPr>
      </w:pPr>
      <w:r>
        <w:rPr>
          <w:rFonts w:ascii="Arial" w:cs="Arial" w:eastAsia="Arial" w:hAnsi="Arial"/>
          <w:sz w:val="12"/>
          <w:szCs w:val="12"/>
          <w:b w:val="1"/>
          <w:bCs w:val="1"/>
          <w:color w:val="auto"/>
        </w:rPr>
        <w:t>Other Directorships and Memberships:</w:t>
      </w:r>
    </w:p>
    <w:p>
      <w:pPr>
        <w:ind w:left="169" w:hanging="169"/>
        <w:spacing w:after="0" w:line="231" w:lineRule="auto"/>
        <w:tabs>
          <w:tab w:leader="none" w:pos="169" w:val="left"/>
        </w:tabs>
        <w:numPr>
          <w:ilvl w:val="0"/>
          <w:numId w:val="28"/>
        </w:numPr>
        <w:rPr>
          <w:rFonts w:ascii="Arial" w:cs="Arial" w:eastAsia="Arial" w:hAnsi="Arial"/>
          <w:sz w:val="13"/>
          <w:szCs w:val="13"/>
          <w:color w:val="auto"/>
        </w:rPr>
      </w:pPr>
      <w:r>
        <w:rPr>
          <w:rFonts w:ascii="Arial" w:cs="Arial" w:eastAsia="Arial" w:hAnsi="Arial"/>
          <w:sz w:val="13"/>
          <w:szCs w:val="13"/>
          <w:color w:val="auto"/>
        </w:rPr>
        <w:t>Focused Ultrasound Foundation</w:t>
      </w:r>
    </w:p>
    <w:p>
      <w:pPr>
        <w:ind w:left="169" w:hanging="169"/>
        <w:spacing w:after="0" w:line="216" w:lineRule="auto"/>
        <w:tabs>
          <w:tab w:leader="none" w:pos="169" w:val="left"/>
        </w:tabs>
        <w:numPr>
          <w:ilvl w:val="0"/>
          <w:numId w:val="28"/>
        </w:numPr>
        <w:rPr>
          <w:rFonts w:ascii="Arial" w:cs="Arial" w:eastAsia="Arial" w:hAnsi="Arial"/>
          <w:sz w:val="13"/>
          <w:szCs w:val="13"/>
          <w:color w:val="auto"/>
        </w:rPr>
      </w:pPr>
      <w:r>
        <w:rPr>
          <w:rFonts w:ascii="Arial" w:cs="Arial" w:eastAsia="Arial" w:hAnsi="Arial"/>
          <w:sz w:val="13"/>
          <w:szCs w:val="13"/>
          <w:color w:val="auto"/>
        </w:rPr>
        <w:t>Georgia Tech Foundation Inc.</w:t>
      </w:r>
    </w:p>
    <w:p>
      <w:pPr>
        <w:ind w:left="169" w:hanging="169"/>
        <w:spacing w:after="0" w:line="216" w:lineRule="auto"/>
        <w:tabs>
          <w:tab w:leader="none" w:pos="169" w:val="left"/>
        </w:tabs>
        <w:numPr>
          <w:ilvl w:val="0"/>
          <w:numId w:val="28"/>
        </w:numPr>
        <w:rPr>
          <w:rFonts w:ascii="Arial" w:cs="Arial" w:eastAsia="Arial" w:hAnsi="Arial"/>
          <w:sz w:val="13"/>
          <w:szCs w:val="13"/>
          <w:color w:val="auto"/>
        </w:rPr>
      </w:pPr>
      <w:r>
        <w:rPr>
          <w:rFonts w:ascii="Arial" w:cs="Arial" w:eastAsia="Arial" w:hAnsi="Arial"/>
          <w:sz w:val="13"/>
          <w:szCs w:val="13"/>
          <w:color w:val="auto"/>
        </w:rPr>
        <w:t>National Academy of Engineering</w:t>
      </w:r>
    </w:p>
    <w:p>
      <w:pPr>
        <w:ind w:left="169" w:hanging="169"/>
        <w:spacing w:after="0" w:line="216" w:lineRule="auto"/>
        <w:tabs>
          <w:tab w:leader="none" w:pos="169" w:val="left"/>
        </w:tabs>
        <w:numPr>
          <w:ilvl w:val="0"/>
          <w:numId w:val="28"/>
        </w:numPr>
        <w:rPr>
          <w:rFonts w:ascii="Arial" w:cs="Arial" w:eastAsia="Arial" w:hAnsi="Arial"/>
          <w:sz w:val="13"/>
          <w:szCs w:val="13"/>
          <w:color w:val="auto"/>
        </w:rPr>
      </w:pPr>
      <w:r>
        <w:rPr>
          <w:rFonts w:ascii="Arial" w:cs="Arial" w:eastAsia="Arial" w:hAnsi="Arial"/>
          <w:sz w:val="13"/>
          <w:szCs w:val="13"/>
          <w:color w:val="auto"/>
        </w:rPr>
        <w:t>Nature Conservancy of Virginia</w:t>
      </w:r>
    </w:p>
    <w:p>
      <w:pPr>
        <w:ind w:left="169" w:hanging="169"/>
        <w:spacing w:after="0"/>
        <w:tabs>
          <w:tab w:leader="none" w:pos="169" w:val="left"/>
        </w:tabs>
        <w:numPr>
          <w:ilvl w:val="0"/>
          <w:numId w:val="28"/>
        </w:numPr>
        <w:rPr>
          <w:rFonts w:ascii="Arial" w:cs="Arial" w:eastAsia="Arial" w:hAnsi="Arial"/>
          <w:sz w:val="13"/>
          <w:szCs w:val="13"/>
          <w:color w:val="auto"/>
        </w:rPr>
      </w:pPr>
      <w:r>
        <w:rPr>
          <w:rFonts w:ascii="Arial" w:cs="Arial" w:eastAsia="Arial" w:hAnsi="Arial"/>
          <w:sz w:val="13"/>
          <w:szCs w:val="13"/>
          <w:color w:val="auto"/>
        </w:rPr>
        <w:t>Smithsonian National Board</w:t>
      </w:r>
    </w:p>
    <w:p>
      <w:pPr>
        <w:spacing w:after="0" w:line="443" w:lineRule="exact"/>
        <w:rPr>
          <w:sz w:val="20"/>
          <w:szCs w:val="20"/>
          <w:color w:val="auto"/>
        </w:rPr>
      </w:pPr>
    </w:p>
    <w:p>
      <w:pPr>
        <w:sectPr>
          <w:pgSz w:w="11900" w:h="16838" w:orient="portrait"/>
          <w:cols w:equalWidth="0" w:num="2">
            <w:col w:w="6640" w:space="671"/>
            <w:col w:w="3789"/>
          </w:cols>
          <w:pgMar w:left="320" w:top="4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right="20"/>
        <w:spacing w:after="0" w:line="255" w:lineRule="auto"/>
        <w:rPr>
          <w:sz w:val="20"/>
          <w:szCs w:val="20"/>
          <w:color w:val="auto"/>
        </w:rPr>
      </w:pPr>
      <w:r>
        <w:rPr>
          <w:rFonts w:ascii="Arial" w:cs="Arial" w:eastAsia="Arial" w:hAnsi="Arial"/>
          <w:sz w:val="16"/>
          <w:szCs w:val="16"/>
          <w:b w:val="1"/>
          <w:bCs w:val="1"/>
          <w:color w:val="auto"/>
        </w:rPr>
        <w:t xml:space="preserve">Mr. Moorman </w:t>
      </w:r>
      <w:r>
        <w:rPr>
          <w:rFonts w:ascii="Arial" w:cs="Arial" w:eastAsia="Arial" w:hAnsi="Arial"/>
          <w:sz w:val="16"/>
          <w:szCs w:val="16"/>
          <w:color w:val="auto"/>
        </w:rPr>
        <w:t>has been senior advisor to Amtrak, a passenger rail provider, since 2018. He previously served as Amtrak’s co–Chief Executive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from July 2017 until his retirement in December 2017, and as President and Chief Executive Officer from September 2016 until July 2017. He was Chairman from 2006, and Chief Executive Officer from 2004, of Norfolk Southern Corporation (“Norfolk Southern”), a freight and transportation company, until his retirement in 2015. He served as President of Norfolk Southern from 2004 until 2013. Prior to that, Mr. Moorman was Senior Vice President of Corporate Planning and Services from 2003 until 2004 and Senior Vice President of Corporate Services in 2003. Mr. Moorman joined Norfolk Southern in 1975.</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Skills and qualifications</w:t>
      </w:r>
    </w:p>
    <w:p>
      <w:pPr>
        <w:spacing w:after="0" w:line="58" w:lineRule="exact"/>
        <w:rPr>
          <w:sz w:val="20"/>
          <w:szCs w:val="20"/>
          <w:color w:val="auto"/>
        </w:rPr>
      </w:pPr>
    </w:p>
    <w:p>
      <w:pPr>
        <w:ind w:left="120" w:right="720"/>
        <w:spacing w:after="0" w:line="286" w:lineRule="auto"/>
        <w:rPr>
          <w:sz w:val="20"/>
          <w:szCs w:val="20"/>
          <w:color w:val="auto"/>
        </w:rPr>
      </w:pPr>
      <w:r>
        <w:rPr>
          <w:rFonts w:ascii="Arial" w:cs="Arial" w:eastAsia="Arial" w:hAnsi="Arial"/>
          <w:sz w:val="16"/>
          <w:szCs w:val="16"/>
          <w:b w:val="1"/>
          <w:bCs w:val="1"/>
          <w:color w:val="auto"/>
        </w:rPr>
        <w:t xml:space="preserve">Business Leadership/Operations: </w:t>
      </w:r>
      <w:r>
        <w:rPr>
          <w:rFonts w:ascii="Arial" w:cs="Arial" w:eastAsia="Arial" w:hAnsi="Arial"/>
          <w:sz w:val="16"/>
          <w:szCs w:val="16"/>
          <w:color w:val="auto"/>
        </w:rPr>
        <w:t>Served more than a decade as CEO of Norfolk Southern. Forty-year career with Norfolk Southern included</w:t>
      </w:r>
      <w:r>
        <w:rPr>
          <w:rFonts w:ascii="Arial" w:cs="Arial" w:eastAsia="Arial" w:hAnsi="Arial"/>
          <w:sz w:val="16"/>
          <w:szCs w:val="16"/>
          <w:b w:val="1"/>
          <w:bCs w:val="1"/>
          <w:color w:val="auto"/>
        </w:rPr>
        <w:t xml:space="preserve"> </w:t>
      </w:r>
      <w:r>
        <w:rPr>
          <w:rFonts w:ascii="Arial" w:cs="Arial" w:eastAsia="Arial" w:hAnsi="Arial"/>
          <w:sz w:val="16"/>
          <w:szCs w:val="16"/>
          <w:color w:val="auto"/>
        </w:rPr>
        <w:t>numerous senior management and executive positions, with emphasis on operations. Senior advisor and former CEO of Amtrak.</w:t>
      </w:r>
    </w:p>
    <w:p>
      <w:pPr>
        <w:spacing w:after="0" w:line="48"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b w:val="1"/>
          <w:bCs w:val="1"/>
          <w:color w:val="auto"/>
        </w:rPr>
        <w:t xml:space="preserve">Environmental Affairs: </w:t>
      </w:r>
      <w:r>
        <w:rPr>
          <w:rFonts w:ascii="Arial" w:cs="Arial" w:eastAsia="Arial" w:hAnsi="Arial"/>
          <w:sz w:val="16"/>
          <w:szCs w:val="16"/>
          <w:color w:val="auto"/>
        </w:rPr>
        <w:t>At Norfolk Southern, gained experience with environmental issues related to transportation of coal, automotive, and industrial</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Former Virginia chapter chair and current Virginia chapter director of The Nature Conservancy, a global conservation organization. Served as a trustee of the Chesapeake Bay Foundation, whose mission is to protect the environmental integrity of the bay.</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Finance: </w:t>
      </w:r>
      <w:r>
        <w:rPr>
          <w:rFonts w:ascii="Arial" w:cs="Arial" w:eastAsia="Arial" w:hAnsi="Arial"/>
          <w:sz w:val="16"/>
          <w:szCs w:val="16"/>
          <w:color w:val="auto"/>
        </w:rPr>
        <w:t>Former Chairman and CEO of Fortune 500 company. More than three decades of financial responsibility and experience at Norfolk Southern.</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Government/Regulatory/Public Policy: </w:t>
      </w:r>
      <w:r>
        <w:rPr>
          <w:rFonts w:ascii="Arial" w:cs="Arial" w:eastAsia="Arial" w:hAnsi="Arial"/>
          <w:sz w:val="16"/>
          <w:szCs w:val="16"/>
          <w:color w:val="auto"/>
        </w:rPr>
        <w:t>More than four decades of experience in the highly regulated freight and transportation industry.</w:t>
      </w:r>
    </w:p>
    <w:p>
      <w:pPr>
        <w:spacing w:after="0" w:line="113"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b w:val="1"/>
          <w:bCs w:val="1"/>
          <w:color w:val="auto"/>
        </w:rPr>
        <w:t xml:space="preserve">Leading Business Transformation: </w:t>
      </w:r>
      <w:r>
        <w:rPr>
          <w:rFonts w:ascii="Arial" w:cs="Arial" w:eastAsia="Arial" w:hAnsi="Arial"/>
          <w:sz w:val="16"/>
          <w:szCs w:val="16"/>
          <w:color w:val="auto"/>
        </w:rPr>
        <w:t>As Chairman and CEO of Norfolk Southern, led strategic transformation to adapt to critical developments in</w:t>
      </w:r>
      <w:r>
        <w:rPr>
          <w:rFonts w:ascii="Arial" w:cs="Arial" w:eastAsia="Arial" w:hAnsi="Arial"/>
          <w:sz w:val="16"/>
          <w:szCs w:val="16"/>
          <w:b w:val="1"/>
          <w:bCs w:val="1"/>
          <w:color w:val="auto"/>
        </w:rPr>
        <w:t xml:space="preserve"> </w:t>
      </w:r>
      <w:r>
        <w:rPr>
          <w:rFonts w:ascii="Arial" w:cs="Arial" w:eastAsia="Arial" w:hAnsi="Arial"/>
          <w:sz w:val="16"/>
          <w:szCs w:val="16"/>
          <w:color w:val="auto"/>
        </w:rPr>
        <w:t>intermodal transportation, namely advent of new providers of package delivery services, and shift to East Coast as hub for seaborn deliveries (as result of widening the Panama Canal). As Chief Executive of Amtrak, charged with transforming leadership and service model to support long-term sustainability and success of company.</w:t>
      </w:r>
    </w:p>
    <w:p>
      <w:pPr>
        <w:spacing w:after="0" w:line="70" w:lineRule="exact"/>
        <w:rPr>
          <w:sz w:val="20"/>
          <w:szCs w:val="20"/>
          <w:color w:val="auto"/>
        </w:rPr>
      </w:pPr>
    </w:p>
    <w:p>
      <w:pPr>
        <w:ind w:left="120" w:right="220"/>
        <w:spacing w:after="0" w:line="266" w:lineRule="auto"/>
        <w:rPr>
          <w:sz w:val="20"/>
          <w:szCs w:val="20"/>
          <w:color w:val="auto"/>
        </w:rPr>
      </w:pPr>
      <w:r>
        <w:rPr>
          <w:rFonts w:ascii="Arial" w:cs="Arial" w:eastAsia="Arial" w:hAnsi="Arial"/>
          <w:sz w:val="16"/>
          <w:szCs w:val="16"/>
          <w:b w:val="1"/>
          <w:bCs w:val="1"/>
          <w:color w:val="auto"/>
        </w:rPr>
        <w:t xml:space="preserve">Science/Technology/Engineering: </w:t>
      </w:r>
      <w:r>
        <w:rPr>
          <w:rFonts w:ascii="Arial" w:cs="Arial" w:eastAsia="Arial" w:hAnsi="Arial"/>
          <w:sz w:val="16"/>
          <w:szCs w:val="16"/>
          <w:color w:val="auto"/>
        </w:rPr>
        <w:t>Forty-year career with Norfolk Southern included numerous senior management and executive positions requiring</w:t>
      </w:r>
      <w:r>
        <w:rPr>
          <w:rFonts w:ascii="Arial" w:cs="Arial" w:eastAsia="Arial" w:hAnsi="Arial"/>
          <w:sz w:val="16"/>
          <w:szCs w:val="16"/>
          <w:b w:val="1"/>
          <w:bCs w:val="1"/>
          <w:color w:val="auto"/>
        </w:rPr>
        <w:t xml:space="preserve"> </w:t>
      </w:r>
      <w:r>
        <w:rPr>
          <w:rFonts w:ascii="Arial" w:cs="Arial" w:eastAsia="Arial" w:hAnsi="Arial"/>
          <w:sz w:val="16"/>
          <w:szCs w:val="16"/>
          <w:color w:val="auto"/>
        </w:rPr>
        <w:t>expertise in engineering and technology. Norfolk Southern builds and maintains track and bridges, operates trains and equipment, and designs and manages complex information technology systems. Member of the National Academy of Engineering.</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100"/>
          </w:cols>
          <w:pgMar w:left="320" w:top="455" w:right="47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208280</wp:posOffset>
            </wp:positionV>
            <wp:extent cx="133731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37310" cy="146050"/>
                    </a:xfrm>
                    <a:prstGeom prst="rect">
                      <a:avLst/>
                    </a:prstGeom>
                    <a:noFill/>
                  </pic:spPr>
                </pic:pic>
              </a:graphicData>
            </a:graphic>
          </wp:anchor>
        </w:drawing>
      </w:r>
    </w:p>
    <w:p>
      <w:pPr>
        <w:spacing w:after="0" w:line="339"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FFFFFF"/>
        </w:rPr>
        <w:t>Election of directors</w:t>
      </w:r>
    </w:p>
    <w:p>
      <w:pPr>
        <w:spacing w:after="0" w:line="171" w:lineRule="exact"/>
        <w:rPr>
          <w:sz w:val="20"/>
          <w:szCs w:val="20"/>
          <w:color w:val="auto"/>
        </w:rPr>
      </w:pPr>
    </w:p>
    <w:tbl>
      <w:tblPr>
        <w:tblLayout w:type="fixed"/>
        <w:tblInd w:w="3100" w:type="dxa"/>
        <w:tblCellMar>
          <w:top w:w="0" w:type="dxa"/>
          <w:left w:w="0" w:type="dxa"/>
          <w:bottom w:w="0" w:type="dxa"/>
          <w:right w:w="0" w:type="dxa"/>
        </w:tblCellMar>
      </w:tblPr>
      <w:tr>
        <w:trPr>
          <w:trHeight w:val="253"/>
        </w:trPr>
        <w:tc>
          <w:tcPr>
            <w:tcW w:w="3260" w:type="dxa"/>
            <w:vAlign w:val="bottom"/>
            <w:shd w:val="clear" w:color="auto" w:fill="D8D8D8"/>
          </w:tcPr>
          <w:p>
            <w:pPr>
              <w:ind w:left="100"/>
              <w:spacing w:after="0"/>
              <w:rPr>
                <w:sz w:val="20"/>
                <w:szCs w:val="20"/>
                <w:color w:val="auto"/>
              </w:rPr>
            </w:pPr>
            <w:r>
              <w:rPr>
                <w:rFonts w:ascii="Arial" w:cs="Arial" w:eastAsia="Arial" w:hAnsi="Arial"/>
                <w:sz w:val="22"/>
                <w:szCs w:val="22"/>
                <w:b w:val="1"/>
                <w:bCs w:val="1"/>
                <w:color w:val="0B2D71"/>
              </w:rPr>
              <w:t>Dambisa F. Moyo</w:t>
            </w:r>
          </w:p>
        </w:tc>
        <w:tc>
          <w:tcPr>
            <w:tcW w:w="4780" w:type="dxa"/>
            <w:vAlign w:val="bottom"/>
            <w:gridSpan w:val="2"/>
            <w:vMerge w:val="restart"/>
            <w:shd w:val="clear" w:color="auto" w:fill="D8D8D8"/>
          </w:tcPr>
          <w:p>
            <w:pPr>
              <w:ind w:left="780"/>
              <w:spacing w:after="0"/>
              <w:rPr>
                <w:sz w:val="20"/>
                <w:szCs w:val="20"/>
                <w:color w:val="auto"/>
              </w:rPr>
            </w:pPr>
            <w:r>
              <w:rPr>
                <w:rFonts w:ascii="Arial" w:cs="Arial" w:eastAsia="Arial" w:hAnsi="Arial"/>
                <w:sz w:val="13"/>
                <w:szCs w:val="13"/>
                <w:b w:val="1"/>
                <w:bCs w:val="1"/>
                <w:color w:val="auto"/>
              </w:rPr>
              <w:t>Prior Public Company Directorships</w:t>
            </w:r>
          </w:p>
        </w:tc>
        <w:tc>
          <w:tcPr>
            <w:tcW w:w="0" w:type="dxa"/>
            <w:vAlign w:val="bottom"/>
          </w:tcPr>
          <w:p>
            <w:pPr>
              <w:spacing w:after="0"/>
              <w:rPr>
                <w:sz w:val="1"/>
                <w:szCs w:val="1"/>
                <w:color w:val="auto"/>
              </w:rPr>
            </w:pPr>
          </w:p>
        </w:tc>
      </w:tr>
      <w:tr>
        <w:trPr>
          <w:trHeight w:val="126"/>
        </w:trPr>
        <w:tc>
          <w:tcPr>
            <w:tcW w:w="3260" w:type="dxa"/>
            <w:vAlign w:val="bottom"/>
            <w:shd w:val="clear" w:color="auto" w:fill="D8D8D8"/>
          </w:tcPr>
          <w:p>
            <w:pPr>
              <w:ind w:left="100"/>
              <w:spacing w:after="0" w:line="126" w:lineRule="exact"/>
              <w:rPr>
                <w:sz w:val="20"/>
                <w:szCs w:val="20"/>
                <w:color w:val="auto"/>
              </w:rPr>
            </w:pPr>
            <w:r>
              <w:rPr>
                <w:rFonts w:ascii="Arial" w:cs="Arial" w:eastAsia="Arial" w:hAnsi="Arial"/>
                <w:sz w:val="13"/>
                <w:szCs w:val="13"/>
                <w:b w:val="1"/>
                <w:bCs w:val="1"/>
                <w:color w:val="auto"/>
              </w:rPr>
              <w:t>Co-principal, Versaca Investments</w:t>
            </w:r>
          </w:p>
        </w:tc>
        <w:tc>
          <w:tcPr>
            <w:tcW w:w="4780" w:type="dxa"/>
            <w:vAlign w:val="bottom"/>
            <w:gridSpan w:val="2"/>
            <w:vMerge w:val="continue"/>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60" w:type="dxa"/>
            <w:vAlign w:val="bottom"/>
            <w:vMerge w:val="restart"/>
            <w:shd w:val="clear" w:color="auto" w:fill="D8D8D8"/>
          </w:tcPr>
          <w:p>
            <w:pPr>
              <w:ind w:left="10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53</w:t>
            </w:r>
          </w:p>
        </w:tc>
        <w:tc>
          <w:tcPr>
            <w:tcW w:w="4780" w:type="dxa"/>
            <w:vAlign w:val="bottom"/>
            <w:gridSpan w:val="2"/>
            <w:shd w:val="clear" w:color="auto" w:fill="D8D8D8"/>
          </w:tcPr>
          <w:p>
            <w:pPr>
              <w:ind w:left="780"/>
              <w:spacing w:after="0" w:line="144" w:lineRule="exact"/>
              <w:rPr>
                <w:sz w:val="20"/>
                <w:szCs w:val="20"/>
                <w:color w:val="auto"/>
              </w:rPr>
            </w:pPr>
            <w:r>
              <w:rPr>
                <w:rFonts w:ascii="Arial" w:cs="Arial" w:eastAsia="Arial" w:hAnsi="Arial"/>
                <w:sz w:val="13"/>
                <w:szCs w:val="13"/>
                <w:color w:val="auto"/>
              </w:rPr>
              <w:t>(within last five years):</w:t>
            </w:r>
          </w:p>
        </w:tc>
        <w:tc>
          <w:tcPr>
            <w:tcW w:w="0" w:type="dxa"/>
            <w:vAlign w:val="bottom"/>
          </w:tcPr>
          <w:p>
            <w:pPr>
              <w:spacing w:after="0"/>
              <w:rPr>
                <w:sz w:val="1"/>
                <w:szCs w:val="1"/>
                <w:color w:val="auto"/>
              </w:rPr>
            </w:pPr>
          </w:p>
        </w:tc>
      </w:tr>
      <w:tr>
        <w:trPr>
          <w:trHeight w:val="81"/>
        </w:trPr>
        <w:tc>
          <w:tcPr>
            <w:tcW w:w="3260" w:type="dxa"/>
            <w:vAlign w:val="bottom"/>
            <w:vMerge w:val="continue"/>
            <w:shd w:val="clear" w:color="auto" w:fill="D8D8D8"/>
          </w:tcPr>
          <w:p>
            <w:pPr>
              <w:spacing w:after="0"/>
              <w:rPr>
                <w:sz w:val="7"/>
                <w:szCs w:val="7"/>
                <w:color w:val="auto"/>
              </w:rPr>
            </w:pPr>
          </w:p>
        </w:tc>
        <w:tc>
          <w:tcPr>
            <w:tcW w:w="900" w:type="dxa"/>
            <w:vAlign w:val="bottom"/>
            <w:vMerge w:val="restart"/>
            <w:shd w:val="clear" w:color="auto" w:fill="D8D8D8"/>
          </w:tcPr>
          <w:p>
            <w:pPr>
              <w:ind w:left="780"/>
              <w:spacing w:after="0" w:line="135" w:lineRule="exact"/>
              <w:rPr>
                <w:sz w:val="20"/>
                <w:szCs w:val="20"/>
                <w:color w:val="auto"/>
              </w:rPr>
            </w:pPr>
            <w:r>
              <w:rPr>
                <w:rFonts w:ascii="Arial" w:cs="Arial" w:eastAsia="Arial" w:hAnsi="Arial"/>
                <w:sz w:val="13"/>
                <w:szCs w:val="13"/>
                <w:color w:val="auto"/>
              </w:rPr>
              <w:t>•</w:t>
            </w:r>
          </w:p>
        </w:tc>
        <w:tc>
          <w:tcPr>
            <w:tcW w:w="3880" w:type="dxa"/>
            <w:vAlign w:val="bottom"/>
            <w:vMerge w:val="restart"/>
            <w:shd w:val="clear" w:color="auto" w:fill="D8D8D8"/>
          </w:tcPr>
          <w:p>
            <w:pPr>
              <w:ind w:left="60"/>
              <w:spacing w:after="0" w:line="135" w:lineRule="exact"/>
              <w:rPr>
                <w:sz w:val="20"/>
                <w:szCs w:val="20"/>
                <w:color w:val="auto"/>
              </w:rPr>
            </w:pPr>
            <w:r>
              <w:rPr>
                <w:rFonts w:ascii="Arial" w:cs="Arial" w:eastAsia="Arial" w:hAnsi="Arial"/>
                <w:sz w:val="13"/>
                <w:szCs w:val="13"/>
                <w:color w:val="auto"/>
              </w:rPr>
              <w:t>Barclays plc</w:t>
            </w:r>
          </w:p>
        </w:tc>
        <w:tc>
          <w:tcPr>
            <w:tcW w:w="0" w:type="dxa"/>
            <w:vAlign w:val="bottom"/>
          </w:tcPr>
          <w:p>
            <w:pPr>
              <w:spacing w:after="0"/>
              <w:rPr>
                <w:sz w:val="1"/>
                <w:szCs w:val="1"/>
                <w:color w:val="auto"/>
              </w:rPr>
            </w:pPr>
          </w:p>
        </w:tc>
      </w:tr>
      <w:tr>
        <w:trPr>
          <w:trHeight w:val="54"/>
        </w:trPr>
        <w:tc>
          <w:tcPr>
            <w:tcW w:w="3260" w:type="dxa"/>
            <w:vAlign w:val="bottom"/>
            <w:vMerge w:val="restart"/>
            <w:shd w:val="clear" w:color="auto" w:fill="D8D8D8"/>
          </w:tcPr>
          <w:p>
            <w:pPr>
              <w:ind w:left="100"/>
              <w:spacing w:after="0" w:line="135" w:lineRule="exact"/>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October 2016</w:t>
            </w:r>
          </w:p>
        </w:tc>
        <w:tc>
          <w:tcPr>
            <w:tcW w:w="900" w:type="dxa"/>
            <w:vAlign w:val="bottom"/>
            <w:vMerge w:val="continue"/>
            <w:shd w:val="clear" w:color="auto" w:fill="D8D8D8"/>
          </w:tcPr>
          <w:p>
            <w:pPr>
              <w:spacing w:after="0"/>
              <w:rPr>
                <w:sz w:val="4"/>
                <w:szCs w:val="4"/>
                <w:color w:val="auto"/>
              </w:rPr>
            </w:pPr>
          </w:p>
        </w:tc>
        <w:tc>
          <w:tcPr>
            <w:tcW w:w="3880" w:type="dxa"/>
            <w:vAlign w:val="bottom"/>
            <w:vMerge w:val="continue"/>
            <w:shd w:val="clear" w:color="auto" w:fill="D8D8D8"/>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3260" w:type="dxa"/>
            <w:vAlign w:val="bottom"/>
            <w:vMerge w:val="continue"/>
            <w:shd w:val="clear" w:color="auto" w:fill="D8D8D8"/>
          </w:tcPr>
          <w:p>
            <w:pPr>
              <w:spacing w:after="0"/>
              <w:rPr>
                <w:sz w:val="7"/>
                <w:szCs w:val="7"/>
                <w:color w:val="auto"/>
              </w:rPr>
            </w:pPr>
          </w:p>
        </w:tc>
        <w:tc>
          <w:tcPr>
            <w:tcW w:w="900" w:type="dxa"/>
            <w:vAlign w:val="bottom"/>
            <w:vMerge w:val="restart"/>
            <w:shd w:val="clear" w:color="auto" w:fill="D8D8D8"/>
          </w:tcPr>
          <w:p>
            <w:pPr>
              <w:ind w:left="780"/>
              <w:spacing w:after="0" w:line="135" w:lineRule="exact"/>
              <w:rPr>
                <w:sz w:val="20"/>
                <w:szCs w:val="20"/>
                <w:color w:val="auto"/>
              </w:rPr>
            </w:pPr>
            <w:r>
              <w:rPr>
                <w:rFonts w:ascii="Arial" w:cs="Arial" w:eastAsia="Arial" w:hAnsi="Arial"/>
                <w:sz w:val="13"/>
                <w:szCs w:val="13"/>
                <w:color w:val="auto"/>
              </w:rPr>
              <w:t>•</w:t>
            </w:r>
          </w:p>
        </w:tc>
        <w:tc>
          <w:tcPr>
            <w:tcW w:w="3880" w:type="dxa"/>
            <w:vAlign w:val="bottom"/>
            <w:vMerge w:val="restart"/>
            <w:shd w:val="clear" w:color="auto" w:fill="D8D8D8"/>
          </w:tcPr>
          <w:p>
            <w:pPr>
              <w:ind w:left="60"/>
              <w:spacing w:after="0" w:line="135" w:lineRule="exact"/>
              <w:rPr>
                <w:sz w:val="20"/>
                <w:szCs w:val="20"/>
                <w:color w:val="auto"/>
              </w:rPr>
            </w:pPr>
            <w:r>
              <w:rPr>
                <w:rFonts w:ascii="Arial" w:cs="Arial" w:eastAsia="Arial" w:hAnsi="Arial"/>
                <w:sz w:val="13"/>
                <w:szCs w:val="13"/>
                <w:color w:val="auto"/>
              </w:rPr>
              <w:t>Barrick Gold Corporation</w:t>
            </w:r>
          </w:p>
        </w:tc>
        <w:tc>
          <w:tcPr>
            <w:tcW w:w="0" w:type="dxa"/>
            <w:vAlign w:val="bottom"/>
          </w:tcPr>
          <w:p>
            <w:pPr>
              <w:spacing w:after="0"/>
              <w:rPr>
                <w:sz w:val="1"/>
                <w:szCs w:val="1"/>
                <w:color w:val="auto"/>
              </w:rPr>
            </w:pPr>
          </w:p>
        </w:tc>
      </w:tr>
      <w:tr>
        <w:trPr>
          <w:trHeight w:val="54"/>
        </w:trPr>
        <w:tc>
          <w:tcPr>
            <w:tcW w:w="3260" w:type="dxa"/>
            <w:vAlign w:val="bottom"/>
            <w:vMerge w:val="restart"/>
            <w:shd w:val="clear" w:color="auto" w:fill="D8D8D8"/>
          </w:tcPr>
          <w:p>
            <w:pPr>
              <w:ind w:left="100"/>
              <w:spacing w:after="0"/>
              <w:rPr>
                <w:sz w:val="20"/>
                <w:szCs w:val="20"/>
                <w:color w:val="auto"/>
              </w:rPr>
            </w:pPr>
            <w:r>
              <w:rPr>
                <w:rFonts w:ascii="Arial" w:cs="Arial" w:eastAsia="Arial" w:hAnsi="Arial"/>
                <w:sz w:val="13"/>
                <w:szCs w:val="13"/>
                <w:b w:val="1"/>
                <w:bCs w:val="1"/>
                <w:color w:val="auto"/>
              </w:rPr>
              <w:t xml:space="preserve">Independent: </w:t>
            </w:r>
            <w:r>
              <w:rPr>
                <w:rFonts w:ascii="Arial" w:cs="Arial" w:eastAsia="Arial" w:hAnsi="Arial"/>
                <w:sz w:val="13"/>
                <w:szCs w:val="13"/>
                <w:color w:val="auto"/>
              </w:rPr>
              <w:t>Yes</w:t>
            </w:r>
          </w:p>
        </w:tc>
        <w:tc>
          <w:tcPr>
            <w:tcW w:w="900" w:type="dxa"/>
            <w:vAlign w:val="bottom"/>
            <w:vMerge w:val="continue"/>
            <w:shd w:val="clear" w:color="auto" w:fill="D8D8D8"/>
          </w:tcPr>
          <w:p>
            <w:pPr>
              <w:spacing w:after="0"/>
              <w:rPr>
                <w:sz w:val="4"/>
                <w:szCs w:val="4"/>
                <w:color w:val="auto"/>
              </w:rPr>
            </w:pPr>
          </w:p>
        </w:tc>
        <w:tc>
          <w:tcPr>
            <w:tcW w:w="3880" w:type="dxa"/>
            <w:vAlign w:val="bottom"/>
            <w:vMerge w:val="continue"/>
            <w:shd w:val="clear" w:color="auto" w:fill="D8D8D8"/>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3260" w:type="dxa"/>
            <w:vAlign w:val="bottom"/>
            <w:vMerge w:val="continue"/>
            <w:shd w:val="clear" w:color="auto" w:fill="D8D8D8"/>
          </w:tcPr>
          <w:p>
            <w:pPr>
              <w:spacing w:after="0"/>
              <w:rPr>
                <w:sz w:val="10"/>
                <w:szCs w:val="10"/>
                <w:color w:val="auto"/>
              </w:rPr>
            </w:pPr>
          </w:p>
        </w:tc>
        <w:tc>
          <w:tcPr>
            <w:tcW w:w="900" w:type="dxa"/>
            <w:vAlign w:val="bottom"/>
            <w:vMerge w:val="restart"/>
            <w:shd w:val="clear" w:color="auto" w:fill="D8D8D8"/>
          </w:tcPr>
          <w:p>
            <w:pPr>
              <w:ind w:left="780"/>
              <w:spacing w:after="0"/>
              <w:rPr>
                <w:sz w:val="20"/>
                <w:szCs w:val="20"/>
                <w:color w:val="auto"/>
              </w:rPr>
            </w:pPr>
            <w:r>
              <w:rPr>
                <w:rFonts w:ascii="Arial" w:cs="Arial" w:eastAsia="Arial" w:hAnsi="Arial"/>
                <w:sz w:val="13"/>
                <w:szCs w:val="13"/>
                <w:color w:val="auto"/>
              </w:rPr>
              <w:t>•</w:t>
            </w:r>
          </w:p>
        </w:tc>
        <w:tc>
          <w:tcPr>
            <w:tcW w:w="3880" w:type="dxa"/>
            <w:vAlign w:val="bottom"/>
            <w:vMerge w:val="restart"/>
            <w:shd w:val="clear" w:color="auto" w:fill="D8D8D8"/>
          </w:tcPr>
          <w:p>
            <w:pPr>
              <w:ind w:left="60"/>
              <w:spacing w:after="0"/>
              <w:rPr>
                <w:sz w:val="20"/>
                <w:szCs w:val="20"/>
                <w:color w:val="auto"/>
              </w:rPr>
            </w:pPr>
            <w:r>
              <w:rPr>
                <w:rFonts w:ascii="Arial" w:cs="Arial" w:eastAsia="Arial" w:hAnsi="Arial"/>
                <w:sz w:val="13"/>
                <w:szCs w:val="13"/>
                <w:color w:val="auto"/>
              </w:rPr>
              <w:t>Seagate Technology</w:t>
            </w:r>
          </w:p>
        </w:tc>
        <w:tc>
          <w:tcPr>
            <w:tcW w:w="0" w:type="dxa"/>
            <w:vAlign w:val="bottom"/>
          </w:tcPr>
          <w:p>
            <w:pPr>
              <w:spacing w:after="0"/>
              <w:rPr>
                <w:sz w:val="1"/>
                <w:szCs w:val="1"/>
                <w:color w:val="auto"/>
              </w:rPr>
            </w:pPr>
          </w:p>
        </w:tc>
      </w:tr>
      <w:tr>
        <w:trPr>
          <w:trHeight w:val="48"/>
        </w:trPr>
        <w:tc>
          <w:tcPr>
            <w:tcW w:w="3260" w:type="dxa"/>
            <w:vAlign w:val="bottom"/>
            <w:vMerge w:val="restart"/>
            <w:shd w:val="clear" w:color="auto" w:fill="D8D8D8"/>
          </w:tcPr>
          <w:p>
            <w:pPr>
              <w:ind w:left="100"/>
              <w:spacing w:after="0"/>
              <w:rPr>
                <w:sz w:val="20"/>
                <w:szCs w:val="20"/>
                <w:color w:val="auto"/>
              </w:rPr>
            </w:pPr>
            <w:r>
              <w:rPr>
                <w:rFonts w:ascii="Arial" w:cs="Arial" w:eastAsia="Arial" w:hAnsi="Arial"/>
                <w:sz w:val="13"/>
                <w:szCs w:val="13"/>
                <w:b w:val="1"/>
                <w:bCs w:val="1"/>
                <w:color w:val="auto"/>
              </w:rPr>
              <w:t>Chevron Committees:</w:t>
            </w:r>
          </w:p>
        </w:tc>
        <w:tc>
          <w:tcPr>
            <w:tcW w:w="900" w:type="dxa"/>
            <w:vAlign w:val="bottom"/>
            <w:vMerge w:val="continue"/>
            <w:shd w:val="clear" w:color="auto" w:fill="D8D8D8"/>
          </w:tcPr>
          <w:p>
            <w:pPr>
              <w:spacing w:after="0"/>
              <w:rPr>
                <w:sz w:val="4"/>
                <w:szCs w:val="4"/>
                <w:color w:val="auto"/>
              </w:rPr>
            </w:pPr>
          </w:p>
        </w:tc>
        <w:tc>
          <w:tcPr>
            <w:tcW w:w="3880" w:type="dxa"/>
            <w:vAlign w:val="bottom"/>
            <w:vMerge w:val="continue"/>
            <w:shd w:val="clear" w:color="auto" w:fill="D8D8D8"/>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3260" w:type="dxa"/>
            <w:vAlign w:val="bottom"/>
            <w:vMerge w:val="continue"/>
            <w:shd w:val="clear" w:color="auto" w:fill="D8D8D8"/>
          </w:tcPr>
          <w:p>
            <w:pPr>
              <w:spacing w:after="0"/>
              <w:rPr>
                <w:sz w:val="12"/>
                <w:szCs w:val="12"/>
                <w:color w:val="auto"/>
              </w:rPr>
            </w:pPr>
          </w:p>
        </w:tc>
        <w:tc>
          <w:tcPr>
            <w:tcW w:w="4780" w:type="dxa"/>
            <w:vAlign w:val="bottom"/>
            <w:gridSpan w:val="2"/>
            <w:vMerge w:val="restart"/>
            <w:shd w:val="clear" w:color="auto" w:fill="D8D8D8"/>
          </w:tcPr>
          <w:p>
            <w:pPr>
              <w:ind w:left="780"/>
              <w:spacing w:after="0"/>
              <w:rPr>
                <w:sz w:val="20"/>
                <w:szCs w:val="20"/>
                <w:color w:val="auto"/>
              </w:rPr>
            </w:pPr>
            <w:r>
              <w:rPr>
                <w:rFonts w:ascii="Arial" w:cs="Arial" w:eastAsia="Arial" w:hAnsi="Arial"/>
                <w:sz w:val="13"/>
                <w:szCs w:val="13"/>
                <w:b w:val="1"/>
                <w:bCs w:val="1"/>
                <w:color w:val="auto"/>
              </w:rPr>
              <w:t>Other Directorships and Memberships:</w:t>
            </w:r>
          </w:p>
        </w:tc>
        <w:tc>
          <w:tcPr>
            <w:tcW w:w="0" w:type="dxa"/>
            <w:vAlign w:val="bottom"/>
          </w:tcPr>
          <w:p>
            <w:pPr>
              <w:spacing w:after="0"/>
              <w:rPr>
                <w:sz w:val="1"/>
                <w:szCs w:val="1"/>
                <w:color w:val="auto"/>
              </w:rPr>
            </w:pPr>
          </w:p>
        </w:tc>
      </w:tr>
      <w:tr>
        <w:trPr>
          <w:trHeight w:val="54"/>
        </w:trPr>
        <w:tc>
          <w:tcPr>
            <w:tcW w:w="3260" w:type="dxa"/>
            <w:vAlign w:val="bottom"/>
            <w:vMerge w:val="restart"/>
            <w:shd w:val="clear" w:color="auto" w:fill="D8D8D8"/>
          </w:tcPr>
          <w:p>
            <w:pPr>
              <w:ind w:left="100"/>
              <w:spacing w:after="0"/>
              <w:rPr>
                <w:sz w:val="20"/>
                <w:szCs w:val="20"/>
                <w:color w:val="auto"/>
              </w:rPr>
            </w:pPr>
            <w:r>
              <w:rPr>
                <w:rFonts w:ascii="Arial" w:cs="Arial" w:eastAsia="Arial" w:hAnsi="Arial"/>
                <w:sz w:val="13"/>
                <w:szCs w:val="13"/>
                <w:color w:val="auto"/>
              </w:rPr>
              <w:t xml:space="preserve">•  Audit – </w:t>
            </w:r>
            <w:r>
              <w:rPr>
                <w:rFonts w:ascii="Arial" w:cs="Arial" w:eastAsia="Arial" w:hAnsi="Arial"/>
                <w:sz w:val="13"/>
                <w:szCs w:val="13"/>
                <w:i w:val="1"/>
                <w:iCs w:val="1"/>
                <w:color w:val="auto"/>
              </w:rPr>
              <w:t>audit committee financial expert</w:t>
            </w:r>
          </w:p>
        </w:tc>
        <w:tc>
          <w:tcPr>
            <w:tcW w:w="4780" w:type="dxa"/>
            <w:vAlign w:val="bottom"/>
            <w:gridSpan w:val="2"/>
            <w:vMerge w:val="continue"/>
            <w:shd w:val="clear" w:color="auto" w:fill="D8D8D8"/>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3260" w:type="dxa"/>
            <w:vAlign w:val="bottom"/>
            <w:vMerge w:val="continue"/>
            <w:shd w:val="clear" w:color="auto" w:fill="D8D8D8"/>
          </w:tcPr>
          <w:p>
            <w:pPr>
              <w:spacing w:after="0"/>
              <w:rPr>
                <w:sz w:val="9"/>
                <w:szCs w:val="9"/>
                <w:color w:val="auto"/>
              </w:rPr>
            </w:pPr>
          </w:p>
        </w:tc>
        <w:tc>
          <w:tcPr>
            <w:tcW w:w="900" w:type="dxa"/>
            <w:vAlign w:val="bottom"/>
            <w:vMerge w:val="restart"/>
            <w:shd w:val="clear" w:color="auto" w:fill="D8D8D8"/>
          </w:tcPr>
          <w:p>
            <w:pPr>
              <w:ind w:left="780"/>
              <w:spacing w:after="0" w:line="135" w:lineRule="exact"/>
              <w:rPr>
                <w:sz w:val="20"/>
                <w:szCs w:val="20"/>
                <w:color w:val="auto"/>
              </w:rPr>
            </w:pPr>
            <w:r>
              <w:rPr>
                <w:rFonts w:ascii="Arial" w:cs="Arial" w:eastAsia="Arial" w:hAnsi="Arial"/>
                <w:sz w:val="13"/>
                <w:szCs w:val="13"/>
                <w:color w:val="auto"/>
              </w:rPr>
              <w:t>•</w:t>
            </w:r>
          </w:p>
        </w:tc>
        <w:tc>
          <w:tcPr>
            <w:tcW w:w="3880" w:type="dxa"/>
            <w:vAlign w:val="bottom"/>
            <w:vMerge w:val="restart"/>
            <w:shd w:val="clear" w:color="auto" w:fill="D8D8D8"/>
          </w:tcPr>
          <w:p>
            <w:pPr>
              <w:ind w:left="60"/>
              <w:spacing w:after="0" w:line="135" w:lineRule="exact"/>
              <w:rPr>
                <w:sz w:val="20"/>
                <w:szCs w:val="20"/>
                <w:color w:val="auto"/>
              </w:rPr>
            </w:pPr>
            <w:r>
              <w:rPr>
                <w:rFonts w:ascii="Arial" w:cs="Arial" w:eastAsia="Arial" w:hAnsi="Arial"/>
                <w:sz w:val="13"/>
                <w:szCs w:val="13"/>
                <w:color w:val="auto"/>
              </w:rPr>
              <w:t>Condé Nast</w:t>
            </w:r>
          </w:p>
        </w:tc>
        <w:tc>
          <w:tcPr>
            <w:tcW w:w="0" w:type="dxa"/>
            <w:vAlign w:val="bottom"/>
          </w:tcPr>
          <w:p>
            <w:pPr>
              <w:spacing w:after="0"/>
              <w:rPr>
                <w:sz w:val="1"/>
                <w:szCs w:val="1"/>
                <w:color w:val="auto"/>
              </w:rPr>
            </w:pPr>
          </w:p>
        </w:tc>
      </w:tr>
      <w:tr>
        <w:trPr>
          <w:trHeight w:val="23"/>
        </w:trPr>
        <w:tc>
          <w:tcPr>
            <w:tcW w:w="3260" w:type="dxa"/>
            <w:vAlign w:val="bottom"/>
            <w:shd w:val="clear" w:color="auto" w:fill="D8D8D8"/>
          </w:tcPr>
          <w:p>
            <w:pPr>
              <w:spacing w:after="0"/>
              <w:rPr>
                <w:sz w:val="2"/>
                <w:szCs w:val="2"/>
                <w:color w:val="auto"/>
              </w:rPr>
            </w:pPr>
          </w:p>
        </w:tc>
        <w:tc>
          <w:tcPr>
            <w:tcW w:w="900" w:type="dxa"/>
            <w:vAlign w:val="bottom"/>
            <w:vMerge w:val="continue"/>
            <w:shd w:val="clear" w:color="auto" w:fill="D8D8D8"/>
          </w:tcPr>
          <w:p>
            <w:pPr>
              <w:spacing w:after="0"/>
              <w:rPr>
                <w:sz w:val="2"/>
                <w:szCs w:val="2"/>
                <w:color w:val="auto"/>
              </w:rPr>
            </w:pPr>
          </w:p>
        </w:tc>
        <w:tc>
          <w:tcPr>
            <w:tcW w:w="3880" w:type="dxa"/>
            <w:vAlign w:val="bottom"/>
            <w:vMerge w:val="continue"/>
            <w:shd w:val="clear" w:color="auto" w:fill="D8D8D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260" w:type="dxa"/>
            <w:vAlign w:val="bottom"/>
            <w:shd w:val="clear" w:color="auto" w:fill="D8D8D8"/>
          </w:tcPr>
          <w:p>
            <w:pPr>
              <w:ind w:left="100"/>
              <w:spacing w:after="0"/>
              <w:rPr>
                <w:sz w:val="20"/>
                <w:szCs w:val="20"/>
                <w:color w:val="auto"/>
              </w:rPr>
            </w:pPr>
            <w:r>
              <w:rPr>
                <w:rFonts w:ascii="Arial" w:cs="Arial" w:eastAsia="Arial" w:hAnsi="Arial"/>
                <w:sz w:val="13"/>
                <w:szCs w:val="13"/>
                <w:b w:val="1"/>
                <w:bCs w:val="1"/>
                <w:color w:val="auto"/>
              </w:rPr>
              <w:t>Current Public Company Directorships:</w:t>
            </w:r>
          </w:p>
        </w:tc>
        <w:tc>
          <w:tcPr>
            <w:tcW w:w="900" w:type="dxa"/>
            <w:vAlign w:val="bottom"/>
            <w:shd w:val="clear" w:color="auto" w:fill="D8D8D8"/>
          </w:tcPr>
          <w:p>
            <w:pPr>
              <w:ind w:left="780"/>
              <w:spacing w:after="0"/>
              <w:rPr>
                <w:sz w:val="20"/>
                <w:szCs w:val="20"/>
                <w:color w:val="auto"/>
              </w:rPr>
            </w:pPr>
            <w:r>
              <w:rPr>
                <w:rFonts w:ascii="Arial" w:cs="Arial" w:eastAsia="Arial" w:hAnsi="Arial"/>
                <w:sz w:val="13"/>
                <w:szCs w:val="13"/>
                <w:color w:val="auto"/>
              </w:rPr>
              <w:t>•</w:t>
            </w:r>
          </w:p>
        </w:tc>
        <w:tc>
          <w:tcPr>
            <w:tcW w:w="3880" w:type="dxa"/>
            <w:vAlign w:val="bottom"/>
            <w:shd w:val="clear" w:color="auto" w:fill="D8D8D8"/>
          </w:tcPr>
          <w:p>
            <w:pPr>
              <w:ind w:left="60"/>
              <w:spacing w:after="0"/>
              <w:rPr>
                <w:sz w:val="20"/>
                <w:szCs w:val="20"/>
                <w:color w:val="auto"/>
              </w:rPr>
            </w:pPr>
            <w:r>
              <w:rPr>
                <w:rFonts w:ascii="Arial" w:cs="Arial" w:eastAsia="Arial" w:hAnsi="Arial"/>
                <w:sz w:val="13"/>
                <w:szCs w:val="13"/>
                <w:color w:val="auto"/>
              </w:rPr>
              <w:t>Department for International Trade</w:t>
            </w:r>
          </w:p>
        </w:tc>
        <w:tc>
          <w:tcPr>
            <w:tcW w:w="0" w:type="dxa"/>
            <w:vAlign w:val="bottom"/>
          </w:tcPr>
          <w:p>
            <w:pPr>
              <w:spacing w:after="0"/>
              <w:rPr>
                <w:sz w:val="1"/>
                <w:szCs w:val="1"/>
                <w:color w:val="auto"/>
              </w:rPr>
            </w:pPr>
          </w:p>
        </w:tc>
      </w:tr>
      <w:tr>
        <w:trPr>
          <w:trHeight w:val="166"/>
        </w:trPr>
        <w:tc>
          <w:tcPr>
            <w:tcW w:w="3260" w:type="dxa"/>
            <w:vAlign w:val="bottom"/>
            <w:shd w:val="clear" w:color="auto" w:fill="D8D8D8"/>
          </w:tcPr>
          <w:p>
            <w:pPr>
              <w:ind w:left="100"/>
              <w:spacing w:after="0"/>
              <w:rPr>
                <w:sz w:val="20"/>
                <w:szCs w:val="20"/>
                <w:color w:val="auto"/>
              </w:rPr>
            </w:pPr>
            <w:r>
              <w:rPr>
                <w:rFonts w:ascii="Arial" w:cs="Arial" w:eastAsia="Arial" w:hAnsi="Arial"/>
                <w:sz w:val="13"/>
                <w:szCs w:val="13"/>
                <w:color w:val="auto"/>
              </w:rPr>
              <w:t>•  3M Company</w:t>
            </w:r>
          </w:p>
        </w:tc>
        <w:tc>
          <w:tcPr>
            <w:tcW w:w="900" w:type="dxa"/>
            <w:vAlign w:val="bottom"/>
            <w:shd w:val="clear" w:color="auto" w:fill="D8D8D8"/>
          </w:tcPr>
          <w:p>
            <w:pPr>
              <w:spacing w:after="0"/>
              <w:rPr>
                <w:sz w:val="14"/>
                <w:szCs w:val="14"/>
                <w:color w:val="auto"/>
              </w:rPr>
            </w:pPr>
          </w:p>
        </w:tc>
        <w:tc>
          <w:tcPr>
            <w:tcW w:w="388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067"/>
        </w:trPr>
        <w:tc>
          <w:tcPr>
            <w:tcW w:w="3260" w:type="dxa"/>
            <w:vAlign w:val="bottom"/>
            <w:shd w:val="clear" w:color="auto" w:fill="D8D8D8"/>
          </w:tcPr>
          <w:p>
            <w:pPr>
              <w:spacing w:after="0"/>
              <w:rPr>
                <w:sz w:val="24"/>
                <w:szCs w:val="24"/>
                <w:color w:val="auto"/>
              </w:rPr>
            </w:pPr>
          </w:p>
        </w:tc>
        <w:tc>
          <w:tcPr>
            <w:tcW w:w="900" w:type="dxa"/>
            <w:vAlign w:val="bottom"/>
            <w:shd w:val="clear" w:color="auto" w:fill="D8D8D8"/>
          </w:tcPr>
          <w:p>
            <w:pPr>
              <w:spacing w:after="0"/>
              <w:rPr>
                <w:sz w:val="24"/>
                <w:szCs w:val="24"/>
                <w:color w:val="auto"/>
              </w:rPr>
            </w:pPr>
          </w:p>
        </w:tc>
        <w:tc>
          <w:tcPr>
            <w:tcW w:w="388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-1704975</wp:posOffset>
            </wp:positionV>
            <wp:extent cx="17145" cy="17056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 cy="170561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-1705610</wp:posOffset>
            </wp:positionV>
            <wp:extent cx="1903095" cy="17062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03095" cy="1706245"/>
                    </a:xfrm>
                    <a:prstGeom prst="rect">
                      <a:avLst/>
                    </a:prstGeom>
                    <a:noFill/>
                  </pic:spPr>
                </pic:pic>
              </a:graphicData>
            </a:graphic>
          </wp:anchor>
        </w:drawing>
      </w:r>
    </w:p>
    <w:p>
      <w:pPr>
        <w:spacing w:after="0" w:line="74"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b w:val="1"/>
          <w:bCs w:val="1"/>
          <w:color w:val="auto"/>
        </w:rPr>
        <w:t xml:space="preserve">Dr. Moyo </w:t>
      </w:r>
      <w:r>
        <w:rPr>
          <w:rFonts w:ascii="Arial" w:cs="Arial" w:eastAsia="Arial" w:hAnsi="Arial"/>
          <w:sz w:val="16"/>
          <w:szCs w:val="16"/>
          <w:color w:val="auto"/>
        </w:rPr>
        <w:t>has been Co-principal of Versaca Investments, a family office focused on growth investing globally, since she co-founded it in 2021. She is a</w:t>
      </w:r>
      <w:r>
        <w:rPr>
          <w:rFonts w:ascii="Arial" w:cs="Arial" w:eastAsia="Arial" w:hAnsi="Arial"/>
          <w:sz w:val="16"/>
          <w:szCs w:val="16"/>
          <w:b w:val="1"/>
          <w:bCs w:val="1"/>
          <w:color w:val="auto"/>
        </w:rPr>
        <w:t xml:space="preserve"> </w:t>
      </w:r>
      <w:r>
        <w:rPr>
          <w:rFonts w:ascii="Arial" w:cs="Arial" w:eastAsia="Arial" w:hAnsi="Arial"/>
          <w:sz w:val="16"/>
          <w:szCs w:val="16"/>
          <w:color w:val="auto"/>
        </w:rPr>
        <w:t>global economist and commentator analyzing the macroeconomy and international affairs. Since 2008, Dr. Moyo has been engaged in researching, speaking, and writing about international macroeconomics. She was Chief Executive Officer of Mildstorm LLC, a financial and economics firm, from 2015 to 2021. From 2001 to 2008, she worked at Goldman Sachs, a multinational investment bank and financial services company, in various roles, including as an economist. Prior to that she worked at the World Bank, an international financial institution in Washington, D.C., from 1993 until 1995.</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Skills and qualifications</w:t>
      </w:r>
    </w:p>
    <w:p>
      <w:pPr>
        <w:spacing w:after="0" w:line="58" w:lineRule="exact"/>
        <w:rPr>
          <w:sz w:val="20"/>
          <w:szCs w:val="20"/>
          <w:color w:val="auto"/>
        </w:rPr>
      </w:pPr>
    </w:p>
    <w:p>
      <w:pPr>
        <w:ind w:left="120" w:right="480"/>
        <w:spacing w:after="0" w:line="286" w:lineRule="auto"/>
        <w:rPr>
          <w:sz w:val="20"/>
          <w:szCs w:val="20"/>
          <w:color w:val="auto"/>
        </w:rPr>
      </w:pPr>
      <w:r>
        <w:rPr>
          <w:rFonts w:ascii="Arial" w:cs="Arial" w:eastAsia="Arial" w:hAnsi="Arial"/>
          <w:sz w:val="16"/>
          <w:szCs w:val="16"/>
          <w:b w:val="1"/>
          <w:bCs w:val="1"/>
          <w:color w:val="auto"/>
        </w:rPr>
        <w:t xml:space="preserve">Environmental Affairs: </w:t>
      </w:r>
      <w:r>
        <w:rPr>
          <w:rFonts w:ascii="Arial" w:cs="Arial" w:eastAsia="Arial" w:hAnsi="Arial"/>
          <w:sz w:val="16"/>
          <w:szCs w:val="16"/>
          <w:color w:val="auto"/>
        </w:rPr>
        <w:t>As director at Barrick Gold Corporation, served on the committee that considered and provided oversight on environmental</w:t>
      </w:r>
      <w:r>
        <w:rPr>
          <w:rFonts w:ascii="Arial" w:cs="Arial" w:eastAsia="Arial" w:hAnsi="Arial"/>
          <w:sz w:val="16"/>
          <w:szCs w:val="16"/>
          <w:b w:val="1"/>
          <w:bCs w:val="1"/>
          <w:color w:val="auto"/>
        </w:rPr>
        <w:t xml:space="preserve"> </w:t>
      </w:r>
      <w:r>
        <w:rPr>
          <w:rFonts w:ascii="Arial" w:cs="Arial" w:eastAsia="Arial" w:hAnsi="Arial"/>
          <w:sz w:val="16"/>
          <w:szCs w:val="16"/>
          <w:color w:val="auto"/>
        </w:rPr>
        <w:t>matters.</w:t>
      </w:r>
    </w:p>
    <w:p>
      <w:pPr>
        <w:spacing w:after="0" w:line="48"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b w:val="1"/>
          <w:bCs w:val="1"/>
          <w:color w:val="auto"/>
        </w:rPr>
        <w:t xml:space="preserve">Finance: </w:t>
      </w:r>
      <w:r>
        <w:rPr>
          <w:rFonts w:ascii="Arial" w:cs="Arial" w:eastAsia="Arial" w:hAnsi="Arial"/>
          <w:sz w:val="16"/>
          <w:szCs w:val="16"/>
          <w:color w:val="auto"/>
        </w:rPr>
        <w:t>Ten years of experience at Goldman Sachs and the World Bank. Ph.D. in economics from the University of Oxford and MBA in finance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American University. Audit Committee member at 3M Company. Former Audit Committee and Risk Committee member at Barrick Gold Corporation.</w:t>
      </w:r>
    </w:p>
    <w:p>
      <w:pPr>
        <w:spacing w:after="0" w:line="48" w:lineRule="exact"/>
        <w:rPr>
          <w:sz w:val="20"/>
          <w:szCs w:val="20"/>
          <w:color w:val="auto"/>
        </w:rPr>
      </w:pPr>
    </w:p>
    <w:p>
      <w:pPr>
        <w:ind w:left="120" w:right="400"/>
        <w:spacing w:after="0" w:line="286" w:lineRule="auto"/>
        <w:rPr>
          <w:sz w:val="20"/>
          <w:szCs w:val="20"/>
          <w:color w:val="auto"/>
        </w:rPr>
      </w:pPr>
      <w:r>
        <w:rPr>
          <w:rFonts w:ascii="Arial" w:cs="Arial" w:eastAsia="Arial" w:hAnsi="Arial"/>
          <w:sz w:val="16"/>
          <w:szCs w:val="16"/>
          <w:b w:val="1"/>
          <w:bCs w:val="1"/>
          <w:color w:val="auto"/>
        </w:rPr>
        <w:t xml:space="preserve">Global Business/International Affairs: </w:t>
      </w:r>
      <w:r>
        <w:rPr>
          <w:rFonts w:ascii="Arial" w:cs="Arial" w:eastAsia="Arial" w:hAnsi="Arial"/>
          <w:sz w:val="16"/>
          <w:szCs w:val="16"/>
          <w:color w:val="auto"/>
        </w:rPr>
        <w:t>Traveled to more than 80 countries, with a particular focus on the interplay of international business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global economy, while highlighting key opportunities for investment. Current and former director of companies with international operations.</w:t>
      </w:r>
    </w:p>
    <w:p>
      <w:pPr>
        <w:spacing w:after="0" w:line="48" w:lineRule="exact"/>
        <w:rPr>
          <w:sz w:val="20"/>
          <w:szCs w:val="20"/>
          <w:color w:val="auto"/>
        </w:rPr>
      </w:pPr>
    </w:p>
    <w:p>
      <w:pPr>
        <w:ind w:left="120" w:right="780"/>
        <w:spacing w:after="0" w:line="286" w:lineRule="auto"/>
        <w:rPr>
          <w:sz w:val="20"/>
          <w:szCs w:val="20"/>
          <w:color w:val="auto"/>
        </w:rPr>
      </w:pPr>
      <w:r>
        <w:rPr>
          <w:rFonts w:ascii="Arial" w:cs="Arial" w:eastAsia="Arial" w:hAnsi="Arial"/>
          <w:sz w:val="16"/>
          <w:szCs w:val="16"/>
          <w:b w:val="1"/>
          <w:bCs w:val="1"/>
          <w:color w:val="auto"/>
        </w:rPr>
        <w:t xml:space="preserve">Government/Regulatory/Public Policy: </w:t>
      </w:r>
      <w:r>
        <w:rPr>
          <w:rFonts w:ascii="Arial" w:cs="Arial" w:eastAsia="Arial" w:hAnsi="Arial"/>
          <w:sz w:val="16"/>
          <w:szCs w:val="16"/>
          <w:color w:val="auto"/>
        </w:rPr>
        <w:t>Ten years of experience in the highly regulated banking and financial services industry. MPA in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from John F. Kennedy School of Government, Harvard University.</w:t>
      </w:r>
    </w:p>
    <w:p>
      <w:pPr>
        <w:spacing w:after="0" w:line="48" w:lineRule="exact"/>
        <w:rPr>
          <w:sz w:val="20"/>
          <w:szCs w:val="20"/>
          <w:color w:val="auto"/>
        </w:rPr>
      </w:pPr>
    </w:p>
    <w:p>
      <w:pPr>
        <w:jc w:val="center"/>
        <w:ind w:right="220"/>
        <w:spacing w:after="0"/>
        <w:rPr>
          <w:sz w:val="20"/>
          <w:szCs w:val="20"/>
          <w:color w:val="auto"/>
        </w:rPr>
      </w:pPr>
      <w:r>
        <w:rPr>
          <w:rFonts w:ascii="Arial" w:cs="Arial" w:eastAsia="Arial" w:hAnsi="Arial"/>
          <w:sz w:val="16"/>
          <w:szCs w:val="16"/>
          <w:b w:val="1"/>
          <w:bCs w:val="1"/>
          <w:color w:val="auto"/>
        </w:rPr>
        <w:t xml:space="preserve">Research/Academia: </w:t>
      </w:r>
      <w:r>
        <w:rPr>
          <w:rFonts w:ascii="Arial" w:cs="Arial" w:eastAsia="Arial" w:hAnsi="Arial"/>
          <w:sz w:val="16"/>
          <w:szCs w:val="16"/>
          <w:color w:val="auto"/>
        </w:rPr>
        <w:t>Author of four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New York Times</w:t>
      </w:r>
      <w:r>
        <w:rPr>
          <w:rFonts w:ascii="Arial" w:cs="Arial" w:eastAsia="Arial" w:hAnsi="Arial"/>
          <w:sz w:val="16"/>
          <w:szCs w:val="16"/>
          <w:b w:val="1"/>
          <w:bCs w:val="1"/>
          <w:color w:val="auto"/>
        </w:rPr>
        <w:t xml:space="preserve"> </w:t>
      </w:r>
      <w:r>
        <w:rPr>
          <w:rFonts w:ascii="Arial" w:cs="Arial" w:eastAsia="Arial" w:hAnsi="Arial"/>
          <w:sz w:val="16"/>
          <w:szCs w:val="16"/>
          <w:color w:val="auto"/>
        </w:rPr>
        <w:t>bestsellers. Dr. Moyo’s writing regularly appears in economics and finance-related publications.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140"/>
          </w:cols>
          <w:pgMar w:left="320" w:top="455" w:right="4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26873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68730" cy="146050"/>
                    </a:xfrm>
                    <a:prstGeom prst="rect">
                      <a:avLst/>
                    </a:prstGeom>
                    <a:noFill/>
                  </pic:spPr>
                </pic:pic>
              </a:graphicData>
            </a:graphic>
          </wp:anchor>
        </w:drawing>
      </w:r>
    </w:p>
    <w:p>
      <w:pPr>
        <w:spacing w:after="0" w:line="33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FFFFFF"/>
        </w:rPr>
        <w:t>Election of directors</w:t>
      </w:r>
    </w:p>
    <w:p>
      <w:pPr>
        <w:spacing w:after="0" w:line="171" w:lineRule="exact"/>
        <w:rPr>
          <w:sz w:val="20"/>
          <w:szCs w:val="20"/>
          <w:color w:val="auto"/>
        </w:rPr>
      </w:pPr>
    </w:p>
    <w:tbl>
      <w:tblPr>
        <w:tblLayout w:type="fixed"/>
        <w:tblInd w:w="3100" w:type="dxa"/>
        <w:tblCellMar>
          <w:top w:w="0" w:type="dxa"/>
          <w:left w:w="0" w:type="dxa"/>
          <w:bottom w:w="0" w:type="dxa"/>
          <w:right w:w="0" w:type="dxa"/>
        </w:tblCellMar>
      </w:tblPr>
      <w:tr>
        <w:trPr>
          <w:trHeight w:val="253"/>
        </w:trPr>
        <w:tc>
          <w:tcPr>
            <w:tcW w:w="3380" w:type="dxa"/>
            <w:vAlign w:val="bottom"/>
            <w:gridSpan w:val="2"/>
            <w:shd w:val="clear" w:color="auto" w:fill="D8D8D8"/>
          </w:tcPr>
          <w:p>
            <w:pPr>
              <w:ind w:left="100"/>
              <w:spacing w:after="0"/>
              <w:rPr>
                <w:sz w:val="20"/>
                <w:szCs w:val="20"/>
                <w:color w:val="auto"/>
              </w:rPr>
            </w:pPr>
            <w:r>
              <w:rPr>
                <w:rFonts w:ascii="Arial" w:cs="Arial" w:eastAsia="Arial" w:hAnsi="Arial"/>
                <w:sz w:val="22"/>
                <w:szCs w:val="22"/>
                <w:b w:val="1"/>
                <w:bCs w:val="1"/>
                <w:color w:val="0B2D71"/>
              </w:rPr>
              <w:t>Debra Reed-Klages</w:t>
            </w:r>
          </w:p>
        </w:tc>
        <w:tc>
          <w:tcPr>
            <w:tcW w:w="4660" w:type="dxa"/>
            <w:vAlign w:val="bottom"/>
            <w:gridSpan w:val="2"/>
            <w:vMerge w:val="restart"/>
            <w:shd w:val="clear" w:color="auto" w:fill="D8D8D8"/>
          </w:tcPr>
          <w:p>
            <w:pPr>
              <w:ind w:left="920"/>
              <w:spacing w:after="0"/>
              <w:rPr>
                <w:sz w:val="20"/>
                <w:szCs w:val="20"/>
                <w:color w:val="auto"/>
              </w:rPr>
            </w:pPr>
            <w:r>
              <w:rPr>
                <w:rFonts w:ascii="Arial" w:cs="Arial" w:eastAsia="Arial" w:hAnsi="Arial"/>
                <w:sz w:val="13"/>
                <w:szCs w:val="13"/>
                <w:b w:val="1"/>
                <w:bCs w:val="1"/>
                <w:color w:val="auto"/>
              </w:rPr>
              <w:t>Prior Public Company Directorships</w:t>
            </w:r>
          </w:p>
        </w:tc>
        <w:tc>
          <w:tcPr>
            <w:tcW w:w="0" w:type="dxa"/>
            <w:vAlign w:val="bottom"/>
          </w:tcPr>
          <w:p>
            <w:pPr>
              <w:spacing w:after="0"/>
              <w:rPr>
                <w:sz w:val="1"/>
                <w:szCs w:val="1"/>
                <w:color w:val="auto"/>
              </w:rPr>
            </w:pPr>
          </w:p>
        </w:tc>
      </w:tr>
      <w:tr>
        <w:trPr>
          <w:trHeight w:val="126"/>
        </w:trPr>
        <w:tc>
          <w:tcPr>
            <w:tcW w:w="3380" w:type="dxa"/>
            <w:vAlign w:val="bottom"/>
            <w:gridSpan w:val="2"/>
            <w:shd w:val="clear" w:color="auto" w:fill="D8D8D8"/>
          </w:tcPr>
          <w:p>
            <w:pPr>
              <w:ind w:left="100"/>
              <w:spacing w:after="0" w:line="126" w:lineRule="exact"/>
              <w:rPr>
                <w:sz w:val="20"/>
                <w:szCs w:val="20"/>
                <w:color w:val="auto"/>
              </w:rPr>
            </w:pPr>
            <w:r>
              <w:rPr>
                <w:rFonts w:ascii="Arial" w:cs="Arial" w:eastAsia="Arial" w:hAnsi="Arial"/>
                <w:sz w:val="13"/>
                <w:szCs w:val="13"/>
                <w:b w:val="1"/>
                <w:bCs w:val="1"/>
                <w:color w:val="auto"/>
              </w:rPr>
              <w:t>Retired Chairman, Chief Executive</w:t>
            </w:r>
          </w:p>
        </w:tc>
        <w:tc>
          <w:tcPr>
            <w:tcW w:w="4660" w:type="dxa"/>
            <w:vAlign w:val="bottom"/>
            <w:gridSpan w:val="2"/>
            <w:vMerge w:val="continue"/>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80" w:type="dxa"/>
            <w:vAlign w:val="bottom"/>
            <w:gridSpan w:val="2"/>
            <w:shd w:val="clear" w:color="auto" w:fill="D8D8D8"/>
          </w:tcPr>
          <w:p>
            <w:pPr>
              <w:ind w:left="100"/>
              <w:spacing w:after="0" w:line="144" w:lineRule="exact"/>
              <w:rPr>
                <w:sz w:val="20"/>
                <w:szCs w:val="20"/>
                <w:color w:val="auto"/>
              </w:rPr>
            </w:pPr>
            <w:r>
              <w:rPr>
                <w:rFonts w:ascii="Arial" w:cs="Arial" w:eastAsia="Arial" w:hAnsi="Arial"/>
                <w:sz w:val="13"/>
                <w:szCs w:val="13"/>
                <w:b w:val="1"/>
                <w:bCs w:val="1"/>
                <w:color w:val="auto"/>
              </w:rPr>
              <w:t>Officer and President, Sempra Energy</w:t>
            </w:r>
          </w:p>
        </w:tc>
        <w:tc>
          <w:tcPr>
            <w:tcW w:w="4660" w:type="dxa"/>
            <w:vAlign w:val="bottom"/>
            <w:gridSpan w:val="2"/>
            <w:shd w:val="clear" w:color="auto" w:fill="D8D8D8"/>
          </w:tcPr>
          <w:p>
            <w:pPr>
              <w:ind w:left="920"/>
              <w:spacing w:after="0" w:line="144" w:lineRule="exact"/>
              <w:rPr>
                <w:sz w:val="20"/>
                <w:szCs w:val="20"/>
                <w:color w:val="auto"/>
              </w:rPr>
            </w:pPr>
            <w:r>
              <w:rPr>
                <w:rFonts w:ascii="Arial" w:cs="Arial" w:eastAsia="Arial" w:hAnsi="Arial"/>
                <w:sz w:val="13"/>
                <w:szCs w:val="13"/>
                <w:color w:val="auto"/>
              </w:rPr>
              <w:t>(within last five years):</w:t>
            </w:r>
          </w:p>
        </w:tc>
        <w:tc>
          <w:tcPr>
            <w:tcW w:w="0" w:type="dxa"/>
            <w:vAlign w:val="bottom"/>
          </w:tcPr>
          <w:p>
            <w:pPr>
              <w:spacing w:after="0"/>
              <w:rPr>
                <w:sz w:val="1"/>
                <w:szCs w:val="1"/>
                <w:color w:val="auto"/>
              </w:rPr>
            </w:pPr>
          </w:p>
        </w:tc>
      </w:tr>
      <w:tr>
        <w:trPr>
          <w:trHeight w:val="135"/>
        </w:trPr>
        <w:tc>
          <w:tcPr>
            <w:tcW w:w="3380" w:type="dxa"/>
            <w:vAlign w:val="bottom"/>
            <w:gridSpan w:val="2"/>
            <w:vMerge w:val="restart"/>
            <w:shd w:val="clear" w:color="auto" w:fill="D8D8D8"/>
          </w:tcPr>
          <w:p>
            <w:pPr>
              <w:ind w:left="10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65</w:t>
            </w:r>
          </w:p>
        </w:tc>
        <w:tc>
          <w:tcPr>
            <w:tcW w:w="1040" w:type="dxa"/>
            <w:vAlign w:val="bottom"/>
            <w:shd w:val="clear" w:color="auto" w:fill="D8D8D8"/>
          </w:tcPr>
          <w:p>
            <w:pPr>
              <w:ind w:left="920"/>
              <w:spacing w:after="0" w:line="135" w:lineRule="exact"/>
              <w:rPr>
                <w:sz w:val="20"/>
                <w:szCs w:val="20"/>
                <w:color w:val="auto"/>
              </w:rPr>
            </w:pPr>
            <w:r>
              <w:rPr>
                <w:rFonts w:ascii="Arial" w:cs="Arial" w:eastAsia="Arial" w:hAnsi="Arial"/>
                <w:sz w:val="13"/>
                <w:szCs w:val="13"/>
                <w:color w:val="auto"/>
              </w:rPr>
              <w:t>•</w:t>
            </w:r>
          </w:p>
        </w:tc>
        <w:tc>
          <w:tcPr>
            <w:tcW w:w="3620" w:type="dxa"/>
            <w:vAlign w:val="bottom"/>
            <w:shd w:val="clear" w:color="auto" w:fill="D8D8D8"/>
          </w:tcPr>
          <w:p>
            <w:pPr>
              <w:ind w:left="60"/>
              <w:spacing w:after="0" w:line="135" w:lineRule="exact"/>
              <w:rPr>
                <w:sz w:val="20"/>
                <w:szCs w:val="20"/>
                <w:color w:val="auto"/>
              </w:rPr>
            </w:pPr>
            <w:r>
              <w:rPr>
                <w:rFonts w:ascii="Arial" w:cs="Arial" w:eastAsia="Arial" w:hAnsi="Arial"/>
                <w:sz w:val="13"/>
                <w:szCs w:val="13"/>
                <w:color w:val="auto"/>
              </w:rPr>
              <w:t>Halliburton Company</w:t>
            </w:r>
          </w:p>
        </w:tc>
        <w:tc>
          <w:tcPr>
            <w:tcW w:w="0" w:type="dxa"/>
            <w:vAlign w:val="bottom"/>
          </w:tcPr>
          <w:p>
            <w:pPr>
              <w:spacing w:after="0"/>
              <w:rPr>
                <w:sz w:val="1"/>
                <w:szCs w:val="1"/>
                <w:color w:val="auto"/>
              </w:rPr>
            </w:pPr>
          </w:p>
        </w:tc>
      </w:tr>
      <w:tr>
        <w:trPr>
          <w:trHeight w:val="126"/>
        </w:trPr>
        <w:tc>
          <w:tcPr>
            <w:tcW w:w="3380" w:type="dxa"/>
            <w:vAlign w:val="bottom"/>
            <w:gridSpan w:val="2"/>
            <w:vMerge w:val="continue"/>
            <w:shd w:val="clear" w:color="auto" w:fill="D8D8D8"/>
          </w:tcPr>
          <w:p>
            <w:pPr>
              <w:spacing w:after="0"/>
              <w:rPr>
                <w:sz w:val="10"/>
                <w:szCs w:val="10"/>
                <w:color w:val="auto"/>
              </w:rPr>
            </w:pPr>
          </w:p>
        </w:tc>
        <w:tc>
          <w:tcPr>
            <w:tcW w:w="4660" w:type="dxa"/>
            <w:vAlign w:val="bottom"/>
            <w:gridSpan w:val="2"/>
            <w:shd w:val="clear" w:color="auto" w:fill="D8D8D8"/>
          </w:tcPr>
          <w:p>
            <w:pPr>
              <w:ind w:left="920"/>
              <w:spacing w:after="0" w:line="126" w:lineRule="exact"/>
              <w:rPr>
                <w:sz w:val="20"/>
                <w:szCs w:val="20"/>
                <w:color w:val="auto"/>
              </w:rPr>
            </w:pPr>
            <w:r>
              <w:rPr>
                <w:rFonts w:ascii="Arial" w:cs="Arial" w:eastAsia="Arial" w:hAnsi="Arial"/>
                <w:sz w:val="13"/>
                <w:szCs w:val="13"/>
                <w:color w:val="auto"/>
              </w:rPr>
              <w:t>•  Oncor Electric Delivery Company LLC</w:t>
            </w:r>
          </w:p>
        </w:tc>
        <w:tc>
          <w:tcPr>
            <w:tcW w:w="0" w:type="dxa"/>
            <w:vAlign w:val="bottom"/>
          </w:tcPr>
          <w:p>
            <w:pPr>
              <w:spacing w:after="0"/>
              <w:rPr>
                <w:sz w:val="1"/>
                <w:szCs w:val="1"/>
                <w:color w:val="auto"/>
              </w:rPr>
            </w:pPr>
          </w:p>
        </w:tc>
      </w:tr>
      <w:tr>
        <w:trPr>
          <w:trHeight w:val="135"/>
        </w:trPr>
        <w:tc>
          <w:tcPr>
            <w:tcW w:w="3380" w:type="dxa"/>
            <w:vAlign w:val="bottom"/>
            <w:gridSpan w:val="2"/>
            <w:shd w:val="clear" w:color="auto" w:fill="D8D8D8"/>
          </w:tcPr>
          <w:p>
            <w:pPr>
              <w:ind w:left="100"/>
              <w:spacing w:after="0" w:line="135" w:lineRule="exact"/>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December 2018</w:t>
            </w:r>
          </w:p>
        </w:tc>
        <w:tc>
          <w:tcPr>
            <w:tcW w:w="1040" w:type="dxa"/>
            <w:vAlign w:val="bottom"/>
            <w:shd w:val="clear" w:color="auto" w:fill="D8D8D8"/>
          </w:tcPr>
          <w:p>
            <w:pPr>
              <w:ind w:left="920"/>
              <w:spacing w:after="0" w:line="135" w:lineRule="exact"/>
              <w:rPr>
                <w:sz w:val="20"/>
                <w:szCs w:val="20"/>
                <w:color w:val="auto"/>
              </w:rPr>
            </w:pPr>
            <w:r>
              <w:rPr>
                <w:rFonts w:ascii="Arial" w:cs="Arial" w:eastAsia="Arial" w:hAnsi="Arial"/>
                <w:sz w:val="13"/>
                <w:szCs w:val="13"/>
                <w:color w:val="auto"/>
              </w:rPr>
              <w:t>•</w:t>
            </w:r>
          </w:p>
        </w:tc>
        <w:tc>
          <w:tcPr>
            <w:tcW w:w="3620" w:type="dxa"/>
            <w:vAlign w:val="bottom"/>
            <w:shd w:val="clear" w:color="auto" w:fill="D8D8D8"/>
          </w:tcPr>
          <w:p>
            <w:pPr>
              <w:ind w:left="60"/>
              <w:spacing w:after="0" w:line="135" w:lineRule="exact"/>
              <w:rPr>
                <w:sz w:val="20"/>
                <w:szCs w:val="20"/>
                <w:color w:val="auto"/>
              </w:rPr>
            </w:pPr>
            <w:r>
              <w:rPr>
                <w:rFonts w:ascii="Arial" w:cs="Arial" w:eastAsia="Arial" w:hAnsi="Arial"/>
                <w:sz w:val="13"/>
                <w:szCs w:val="13"/>
                <w:color w:val="auto"/>
              </w:rPr>
              <w:t>Sempra Energy</w:t>
            </w:r>
          </w:p>
        </w:tc>
        <w:tc>
          <w:tcPr>
            <w:tcW w:w="0" w:type="dxa"/>
            <w:vAlign w:val="bottom"/>
          </w:tcPr>
          <w:p>
            <w:pPr>
              <w:spacing w:after="0"/>
              <w:rPr>
                <w:sz w:val="1"/>
                <w:szCs w:val="1"/>
                <w:color w:val="auto"/>
              </w:rPr>
            </w:pPr>
          </w:p>
        </w:tc>
      </w:tr>
      <w:tr>
        <w:trPr>
          <w:trHeight w:val="172"/>
        </w:trPr>
        <w:tc>
          <w:tcPr>
            <w:tcW w:w="3380" w:type="dxa"/>
            <w:vAlign w:val="bottom"/>
            <w:gridSpan w:val="2"/>
            <w:shd w:val="clear" w:color="auto" w:fill="D8D8D8"/>
          </w:tcPr>
          <w:p>
            <w:pPr>
              <w:ind w:left="100"/>
              <w:spacing w:after="0"/>
              <w:rPr>
                <w:sz w:val="20"/>
                <w:szCs w:val="20"/>
                <w:color w:val="auto"/>
              </w:rPr>
            </w:pPr>
            <w:r>
              <w:rPr>
                <w:rFonts w:ascii="Arial" w:cs="Arial" w:eastAsia="Arial" w:hAnsi="Arial"/>
                <w:sz w:val="13"/>
                <w:szCs w:val="13"/>
                <w:b w:val="1"/>
                <w:bCs w:val="1"/>
                <w:color w:val="auto"/>
              </w:rPr>
              <w:t xml:space="preserve">Independent: </w:t>
            </w:r>
            <w:r>
              <w:rPr>
                <w:rFonts w:ascii="Arial" w:cs="Arial" w:eastAsia="Arial" w:hAnsi="Arial"/>
                <w:sz w:val="13"/>
                <w:szCs w:val="13"/>
                <w:color w:val="auto"/>
              </w:rPr>
              <w:t>Yes</w:t>
            </w:r>
          </w:p>
        </w:tc>
        <w:tc>
          <w:tcPr>
            <w:tcW w:w="4660" w:type="dxa"/>
            <w:vAlign w:val="bottom"/>
            <w:gridSpan w:val="2"/>
            <w:vMerge w:val="restart"/>
            <w:shd w:val="clear" w:color="auto" w:fill="D8D8D8"/>
          </w:tcPr>
          <w:p>
            <w:pPr>
              <w:ind w:left="920"/>
              <w:spacing w:after="0"/>
              <w:rPr>
                <w:sz w:val="20"/>
                <w:szCs w:val="20"/>
                <w:color w:val="auto"/>
              </w:rPr>
            </w:pPr>
            <w:r>
              <w:rPr>
                <w:rFonts w:ascii="Arial" w:cs="Arial" w:eastAsia="Arial" w:hAnsi="Arial"/>
                <w:sz w:val="13"/>
                <w:szCs w:val="13"/>
                <w:b w:val="1"/>
                <w:bCs w:val="1"/>
                <w:color w:val="auto"/>
              </w:rPr>
              <w:t>Other Directorships and Memberships:</w:t>
            </w:r>
          </w:p>
        </w:tc>
        <w:tc>
          <w:tcPr>
            <w:tcW w:w="0" w:type="dxa"/>
            <w:vAlign w:val="bottom"/>
          </w:tcPr>
          <w:p>
            <w:pPr>
              <w:spacing w:after="0"/>
              <w:rPr>
                <w:sz w:val="1"/>
                <w:szCs w:val="1"/>
                <w:color w:val="auto"/>
              </w:rPr>
            </w:pPr>
          </w:p>
        </w:tc>
      </w:tr>
      <w:tr>
        <w:trPr>
          <w:trHeight w:val="107"/>
        </w:trPr>
        <w:tc>
          <w:tcPr>
            <w:tcW w:w="3380" w:type="dxa"/>
            <w:vAlign w:val="bottom"/>
            <w:gridSpan w:val="2"/>
            <w:vMerge w:val="restart"/>
            <w:shd w:val="clear" w:color="auto" w:fill="D8D8D8"/>
          </w:tcPr>
          <w:p>
            <w:pPr>
              <w:ind w:left="100"/>
              <w:spacing w:after="0"/>
              <w:rPr>
                <w:sz w:val="20"/>
                <w:szCs w:val="20"/>
                <w:color w:val="auto"/>
              </w:rPr>
            </w:pPr>
            <w:r>
              <w:rPr>
                <w:rFonts w:ascii="Arial" w:cs="Arial" w:eastAsia="Arial" w:hAnsi="Arial"/>
                <w:sz w:val="13"/>
                <w:szCs w:val="13"/>
                <w:b w:val="1"/>
                <w:bCs w:val="1"/>
                <w:color w:val="auto"/>
              </w:rPr>
              <w:t>Chevron Committees:</w:t>
            </w:r>
          </w:p>
        </w:tc>
        <w:tc>
          <w:tcPr>
            <w:tcW w:w="4660" w:type="dxa"/>
            <w:vAlign w:val="bottom"/>
            <w:gridSpan w:val="2"/>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380" w:type="dxa"/>
            <w:vAlign w:val="bottom"/>
            <w:gridSpan w:val="2"/>
            <w:vMerge w:val="continue"/>
            <w:shd w:val="clear" w:color="auto" w:fill="D8D8D8"/>
          </w:tcPr>
          <w:p>
            <w:pPr>
              <w:spacing w:after="0"/>
              <w:rPr>
                <w:sz w:val="10"/>
                <w:szCs w:val="10"/>
                <w:color w:val="auto"/>
              </w:rPr>
            </w:pPr>
          </w:p>
        </w:tc>
        <w:tc>
          <w:tcPr>
            <w:tcW w:w="4660" w:type="dxa"/>
            <w:vAlign w:val="bottom"/>
            <w:gridSpan w:val="2"/>
            <w:shd w:val="clear" w:color="auto" w:fill="D8D8D8"/>
          </w:tcPr>
          <w:p>
            <w:pPr>
              <w:ind w:left="920"/>
              <w:spacing w:after="0" w:line="126" w:lineRule="exact"/>
              <w:rPr>
                <w:sz w:val="20"/>
                <w:szCs w:val="20"/>
                <w:color w:val="auto"/>
              </w:rPr>
            </w:pPr>
            <w:r>
              <w:rPr>
                <w:rFonts w:ascii="Arial" w:cs="Arial" w:eastAsia="Arial" w:hAnsi="Arial"/>
                <w:sz w:val="13"/>
                <w:szCs w:val="13"/>
                <w:color w:val="auto"/>
              </w:rPr>
              <w:t>•  The Trusteeship, International Women’s Forum</w:t>
            </w:r>
          </w:p>
        </w:tc>
        <w:tc>
          <w:tcPr>
            <w:tcW w:w="0" w:type="dxa"/>
            <w:vAlign w:val="bottom"/>
          </w:tcPr>
          <w:p>
            <w:pPr>
              <w:spacing w:after="0"/>
              <w:rPr>
                <w:sz w:val="1"/>
                <w:szCs w:val="1"/>
                <w:color w:val="auto"/>
              </w:rPr>
            </w:pPr>
          </w:p>
        </w:tc>
      </w:tr>
      <w:tr>
        <w:trPr>
          <w:trHeight w:val="144"/>
        </w:trPr>
        <w:tc>
          <w:tcPr>
            <w:tcW w:w="200" w:type="dxa"/>
            <w:vAlign w:val="bottom"/>
            <w:shd w:val="clear" w:color="auto" w:fill="D8D8D8"/>
          </w:tcPr>
          <w:p>
            <w:pPr>
              <w:ind w:left="100"/>
              <w:spacing w:after="0" w:line="144" w:lineRule="exact"/>
              <w:rPr>
                <w:sz w:val="20"/>
                <w:szCs w:val="20"/>
                <w:color w:val="auto"/>
              </w:rPr>
            </w:pPr>
            <w:r>
              <w:rPr>
                <w:rFonts w:ascii="Arial" w:cs="Arial" w:eastAsia="Arial" w:hAnsi="Arial"/>
                <w:sz w:val="13"/>
                <w:szCs w:val="13"/>
                <w:color w:val="auto"/>
              </w:rPr>
              <w:t>•</w:t>
            </w:r>
          </w:p>
        </w:tc>
        <w:tc>
          <w:tcPr>
            <w:tcW w:w="3180" w:type="dxa"/>
            <w:vAlign w:val="bottom"/>
            <w:shd w:val="clear" w:color="auto" w:fill="D8D8D8"/>
          </w:tcPr>
          <w:p>
            <w:pPr>
              <w:ind w:left="60"/>
              <w:spacing w:after="0" w:line="144" w:lineRule="exact"/>
              <w:rPr>
                <w:sz w:val="20"/>
                <w:szCs w:val="20"/>
                <w:color w:val="auto"/>
              </w:rPr>
            </w:pPr>
            <w:r>
              <w:rPr>
                <w:rFonts w:ascii="Arial" w:cs="Arial" w:eastAsia="Arial" w:hAnsi="Arial"/>
                <w:sz w:val="13"/>
                <w:szCs w:val="13"/>
                <w:color w:val="auto"/>
              </w:rPr>
              <w:t>Audit (Chair)</w:t>
            </w:r>
          </w:p>
        </w:tc>
        <w:tc>
          <w:tcPr>
            <w:tcW w:w="4660" w:type="dxa"/>
            <w:vAlign w:val="bottom"/>
            <w:gridSpan w:val="2"/>
            <w:shd w:val="clear" w:color="auto" w:fill="D8D8D8"/>
          </w:tcPr>
          <w:p>
            <w:pPr>
              <w:ind w:left="920"/>
              <w:spacing w:after="0" w:line="144" w:lineRule="exact"/>
              <w:rPr>
                <w:sz w:val="20"/>
                <w:szCs w:val="20"/>
                <w:color w:val="auto"/>
              </w:rPr>
            </w:pPr>
            <w:r>
              <w:rPr>
                <w:rFonts w:ascii="Arial" w:cs="Arial" w:eastAsia="Arial" w:hAnsi="Arial"/>
                <w:sz w:val="13"/>
                <w:szCs w:val="13"/>
                <w:color w:val="auto"/>
              </w:rPr>
              <w:t>•  Rady Children’s Hospital and Health Center</w:t>
            </w:r>
          </w:p>
        </w:tc>
        <w:tc>
          <w:tcPr>
            <w:tcW w:w="0" w:type="dxa"/>
            <w:vAlign w:val="bottom"/>
          </w:tcPr>
          <w:p>
            <w:pPr>
              <w:spacing w:after="0"/>
              <w:rPr>
                <w:sz w:val="1"/>
                <w:szCs w:val="1"/>
                <w:color w:val="auto"/>
              </w:rPr>
            </w:pPr>
          </w:p>
        </w:tc>
      </w:tr>
      <w:tr>
        <w:trPr>
          <w:trHeight w:val="135"/>
        </w:trPr>
        <w:tc>
          <w:tcPr>
            <w:tcW w:w="3380" w:type="dxa"/>
            <w:vAlign w:val="bottom"/>
            <w:gridSpan w:val="2"/>
            <w:vMerge w:val="restart"/>
            <w:shd w:val="clear" w:color="auto" w:fill="D8D8D8"/>
          </w:tcPr>
          <w:p>
            <w:pPr>
              <w:ind w:left="100"/>
              <w:spacing w:after="0"/>
              <w:rPr>
                <w:sz w:val="20"/>
                <w:szCs w:val="20"/>
                <w:color w:val="auto"/>
              </w:rPr>
            </w:pPr>
            <w:r>
              <w:rPr>
                <w:rFonts w:ascii="Arial" w:cs="Arial" w:eastAsia="Arial" w:hAnsi="Arial"/>
                <w:sz w:val="13"/>
                <w:szCs w:val="13"/>
                <w:b w:val="1"/>
                <w:bCs w:val="1"/>
                <w:color w:val="auto"/>
              </w:rPr>
              <w:t>Current Public Company Directorships:</w:t>
            </w:r>
          </w:p>
        </w:tc>
        <w:tc>
          <w:tcPr>
            <w:tcW w:w="4660" w:type="dxa"/>
            <w:vAlign w:val="bottom"/>
            <w:gridSpan w:val="2"/>
            <w:shd w:val="clear" w:color="auto" w:fill="D8D8D8"/>
          </w:tcPr>
          <w:p>
            <w:pPr>
              <w:ind w:left="920"/>
              <w:spacing w:after="0" w:line="135" w:lineRule="exact"/>
              <w:rPr>
                <w:sz w:val="20"/>
                <w:szCs w:val="20"/>
                <w:color w:val="auto"/>
              </w:rPr>
            </w:pPr>
            <w:r>
              <w:rPr>
                <w:rFonts w:ascii="Arial" w:cs="Arial" w:eastAsia="Arial" w:hAnsi="Arial"/>
                <w:sz w:val="13"/>
                <w:szCs w:val="13"/>
                <w:color w:val="auto"/>
              </w:rPr>
              <w:t>•  Rady Children’s Hospital – San Diego, CA</w:t>
            </w:r>
          </w:p>
        </w:tc>
        <w:tc>
          <w:tcPr>
            <w:tcW w:w="0" w:type="dxa"/>
            <w:vAlign w:val="bottom"/>
          </w:tcPr>
          <w:p>
            <w:pPr>
              <w:spacing w:after="0"/>
              <w:rPr>
                <w:sz w:val="1"/>
                <w:szCs w:val="1"/>
                <w:color w:val="auto"/>
              </w:rPr>
            </w:pPr>
          </w:p>
        </w:tc>
      </w:tr>
      <w:tr>
        <w:trPr>
          <w:trHeight w:val="126"/>
        </w:trPr>
        <w:tc>
          <w:tcPr>
            <w:tcW w:w="3380" w:type="dxa"/>
            <w:vAlign w:val="bottom"/>
            <w:gridSpan w:val="2"/>
            <w:vMerge w:val="continue"/>
            <w:shd w:val="clear" w:color="auto" w:fill="D8D8D8"/>
          </w:tcPr>
          <w:p>
            <w:pPr>
              <w:spacing w:after="0"/>
              <w:rPr>
                <w:sz w:val="10"/>
                <w:szCs w:val="10"/>
                <w:color w:val="auto"/>
              </w:rPr>
            </w:pPr>
          </w:p>
        </w:tc>
        <w:tc>
          <w:tcPr>
            <w:tcW w:w="4660" w:type="dxa"/>
            <w:vAlign w:val="bottom"/>
            <w:gridSpan w:val="2"/>
            <w:shd w:val="clear" w:color="auto" w:fill="D8D8D8"/>
          </w:tcPr>
          <w:p>
            <w:pPr>
              <w:ind w:left="920"/>
              <w:spacing w:after="0" w:line="126" w:lineRule="exact"/>
              <w:rPr>
                <w:sz w:val="20"/>
                <w:szCs w:val="20"/>
                <w:color w:val="auto"/>
              </w:rPr>
            </w:pPr>
            <w:r>
              <w:rPr>
                <w:rFonts w:ascii="Arial" w:cs="Arial" w:eastAsia="Arial" w:hAnsi="Arial"/>
                <w:sz w:val="13"/>
                <w:szCs w:val="13"/>
                <w:color w:val="auto"/>
              </w:rPr>
              <w:t>•  State Farm Mutual Board of Directors</w:t>
            </w:r>
          </w:p>
        </w:tc>
        <w:tc>
          <w:tcPr>
            <w:tcW w:w="0" w:type="dxa"/>
            <w:vAlign w:val="bottom"/>
          </w:tcPr>
          <w:p>
            <w:pPr>
              <w:spacing w:after="0"/>
              <w:rPr>
                <w:sz w:val="1"/>
                <w:szCs w:val="1"/>
                <w:color w:val="auto"/>
              </w:rPr>
            </w:pPr>
          </w:p>
        </w:tc>
      </w:tr>
      <w:tr>
        <w:trPr>
          <w:trHeight w:val="135"/>
        </w:trPr>
        <w:tc>
          <w:tcPr>
            <w:tcW w:w="200" w:type="dxa"/>
            <w:vAlign w:val="bottom"/>
            <w:shd w:val="clear" w:color="auto" w:fill="D8D8D8"/>
          </w:tcPr>
          <w:p>
            <w:pPr>
              <w:ind w:left="100"/>
              <w:spacing w:after="0" w:line="135" w:lineRule="exact"/>
              <w:rPr>
                <w:sz w:val="20"/>
                <w:szCs w:val="20"/>
                <w:color w:val="auto"/>
              </w:rPr>
            </w:pPr>
            <w:r>
              <w:rPr>
                <w:rFonts w:ascii="Arial" w:cs="Arial" w:eastAsia="Arial" w:hAnsi="Arial"/>
                <w:sz w:val="13"/>
                <w:szCs w:val="13"/>
                <w:color w:val="auto"/>
              </w:rPr>
              <w:t>•</w:t>
            </w:r>
          </w:p>
        </w:tc>
        <w:tc>
          <w:tcPr>
            <w:tcW w:w="3180" w:type="dxa"/>
            <w:vAlign w:val="bottom"/>
            <w:shd w:val="clear" w:color="auto" w:fill="D8D8D8"/>
          </w:tcPr>
          <w:p>
            <w:pPr>
              <w:ind w:left="60"/>
              <w:spacing w:after="0" w:line="135" w:lineRule="exact"/>
              <w:rPr>
                <w:sz w:val="20"/>
                <w:szCs w:val="20"/>
                <w:color w:val="auto"/>
              </w:rPr>
            </w:pPr>
            <w:r>
              <w:rPr>
                <w:rFonts w:ascii="Arial" w:cs="Arial" w:eastAsia="Arial" w:hAnsi="Arial"/>
                <w:sz w:val="13"/>
                <w:szCs w:val="13"/>
                <w:color w:val="auto"/>
              </w:rPr>
              <w:t>Caterpillar Inc.</w:t>
            </w:r>
          </w:p>
        </w:tc>
        <w:tc>
          <w:tcPr>
            <w:tcW w:w="4660" w:type="dxa"/>
            <w:vAlign w:val="bottom"/>
            <w:gridSpan w:val="2"/>
            <w:shd w:val="clear" w:color="auto" w:fill="D8D8D8"/>
          </w:tcPr>
          <w:p>
            <w:pPr>
              <w:ind w:left="920"/>
              <w:spacing w:after="0" w:line="135" w:lineRule="exact"/>
              <w:rPr>
                <w:sz w:val="20"/>
                <w:szCs w:val="20"/>
                <w:color w:val="auto"/>
              </w:rPr>
            </w:pPr>
            <w:r>
              <w:rPr>
                <w:rFonts w:ascii="Arial" w:cs="Arial" w:eastAsia="Arial" w:hAnsi="Arial"/>
                <w:sz w:val="13"/>
                <w:szCs w:val="13"/>
                <w:color w:val="auto"/>
                <w:w w:val="99"/>
              </w:rPr>
              <w:t>•  University of Southern California Viterbi School of Engineering,</w:t>
            </w:r>
          </w:p>
        </w:tc>
        <w:tc>
          <w:tcPr>
            <w:tcW w:w="0" w:type="dxa"/>
            <w:vAlign w:val="bottom"/>
          </w:tcPr>
          <w:p>
            <w:pPr>
              <w:spacing w:after="0"/>
              <w:rPr>
                <w:sz w:val="1"/>
                <w:szCs w:val="1"/>
                <w:color w:val="auto"/>
              </w:rPr>
            </w:pPr>
          </w:p>
        </w:tc>
      </w:tr>
      <w:tr>
        <w:trPr>
          <w:trHeight w:val="175"/>
        </w:trPr>
        <w:tc>
          <w:tcPr>
            <w:tcW w:w="200" w:type="dxa"/>
            <w:vAlign w:val="bottom"/>
            <w:shd w:val="clear" w:color="auto" w:fill="D8D8D8"/>
          </w:tcPr>
          <w:p>
            <w:pPr>
              <w:ind w:left="100"/>
              <w:spacing w:after="0"/>
              <w:rPr>
                <w:sz w:val="20"/>
                <w:szCs w:val="20"/>
                <w:color w:val="auto"/>
              </w:rPr>
            </w:pPr>
            <w:r>
              <w:rPr>
                <w:rFonts w:ascii="Arial" w:cs="Arial" w:eastAsia="Arial" w:hAnsi="Arial"/>
                <w:sz w:val="13"/>
                <w:szCs w:val="13"/>
                <w:color w:val="auto"/>
              </w:rPr>
              <w:t>•</w:t>
            </w:r>
          </w:p>
        </w:tc>
        <w:tc>
          <w:tcPr>
            <w:tcW w:w="3180" w:type="dxa"/>
            <w:vAlign w:val="bottom"/>
            <w:shd w:val="clear" w:color="auto" w:fill="D8D8D8"/>
          </w:tcPr>
          <w:p>
            <w:pPr>
              <w:ind w:left="60"/>
              <w:spacing w:after="0"/>
              <w:rPr>
                <w:sz w:val="20"/>
                <w:szCs w:val="20"/>
                <w:color w:val="auto"/>
              </w:rPr>
            </w:pPr>
            <w:r>
              <w:rPr>
                <w:rFonts w:ascii="Arial" w:cs="Arial" w:eastAsia="Arial" w:hAnsi="Arial"/>
                <w:sz w:val="13"/>
                <w:szCs w:val="13"/>
                <w:color w:val="auto"/>
              </w:rPr>
              <w:t>Lockheed Martin Corporation</w:t>
            </w:r>
          </w:p>
        </w:tc>
        <w:tc>
          <w:tcPr>
            <w:tcW w:w="1040" w:type="dxa"/>
            <w:vAlign w:val="bottom"/>
            <w:shd w:val="clear" w:color="auto" w:fill="D8D8D8"/>
          </w:tcPr>
          <w:p>
            <w:pPr>
              <w:spacing w:after="0"/>
              <w:rPr>
                <w:sz w:val="15"/>
                <w:szCs w:val="15"/>
                <w:color w:val="auto"/>
              </w:rPr>
            </w:pPr>
          </w:p>
        </w:tc>
        <w:tc>
          <w:tcPr>
            <w:tcW w:w="3620" w:type="dxa"/>
            <w:vAlign w:val="bottom"/>
            <w:shd w:val="clear" w:color="auto" w:fill="D8D8D8"/>
          </w:tcPr>
          <w:p>
            <w:pPr>
              <w:ind w:left="80"/>
              <w:spacing w:after="0"/>
              <w:rPr>
                <w:sz w:val="20"/>
                <w:szCs w:val="20"/>
                <w:color w:val="auto"/>
              </w:rPr>
            </w:pPr>
            <w:r>
              <w:rPr>
                <w:rFonts w:ascii="Arial" w:cs="Arial" w:eastAsia="Arial" w:hAnsi="Arial"/>
                <w:sz w:val="13"/>
                <w:szCs w:val="13"/>
                <w:color w:val="auto"/>
              </w:rPr>
              <w:t>Board of Councilors</w:t>
            </w:r>
          </w:p>
        </w:tc>
        <w:tc>
          <w:tcPr>
            <w:tcW w:w="0" w:type="dxa"/>
            <w:vAlign w:val="bottom"/>
          </w:tcPr>
          <w:p>
            <w:pPr>
              <w:spacing w:after="0"/>
              <w:rPr>
                <w:sz w:val="1"/>
                <w:szCs w:val="1"/>
                <w:color w:val="auto"/>
              </w:rPr>
            </w:pPr>
          </w:p>
        </w:tc>
      </w:tr>
      <w:tr>
        <w:trPr>
          <w:trHeight w:val="662"/>
        </w:trPr>
        <w:tc>
          <w:tcPr>
            <w:tcW w:w="200" w:type="dxa"/>
            <w:vAlign w:val="bottom"/>
            <w:shd w:val="clear" w:color="auto" w:fill="D8D8D8"/>
          </w:tcPr>
          <w:p>
            <w:pPr>
              <w:spacing w:after="0"/>
              <w:rPr>
                <w:sz w:val="24"/>
                <w:szCs w:val="24"/>
                <w:color w:val="auto"/>
              </w:rPr>
            </w:pPr>
          </w:p>
        </w:tc>
        <w:tc>
          <w:tcPr>
            <w:tcW w:w="3180" w:type="dxa"/>
            <w:vAlign w:val="bottom"/>
            <w:shd w:val="clear" w:color="auto" w:fill="D8D8D8"/>
          </w:tcPr>
          <w:p>
            <w:pPr>
              <w:spacing w:after="0"/>
              <w:rPr>
                <w:sz w:val="24"/>
                <w:szCs w:val="24"/>
                <w:color w:val="auto"/>
              </w:rPr>
            </w:pPr>
          </w:p>
        </w:tc>
        <w:tc>
          <w:tcPr>
            <w:tcW w:w="1040" w:type="dxa"/>
            <w:vAlign w:val="bottom"/>
            <w:shd w:val="clear" w:color="auto" w:fill="D8D8D8"/>
          </w:tcPr>
          <w:p>
            <w:pPr>
              <w:spacing w:after="0"/>
              <w:rPr>
                <w:sz w:val="24"/>
                <w:szCs w:val="24"/>
                <w:color w:val="auto"/>
              </w:rPr>
            </w:pPr>
          </w:p>
        </w:tc>
        <w:tc>
          <w:tcPr>
            <w:tcW w:w="362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-1704975</wp:posOffset>
            </wp:positionV>
            <wp:extent cx="17145" cy="17056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 cy="170561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-1705610</wp:posOffset>
            </wp:positionV>
            <wp:extent cx="1903095" cy="17062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03095" cy="1706245"/>
                    </a:xfrm>
                    <a:prstGeom prst="rect">
                      <a:avLst/>
                    </a:prstGeom>
                    <a:noFill/>
                  </pic:spPr>
                </pic:pic>
              </a:graphicData>
            </a:graphic>
          </wp:anchor>
        </w:drawing>
      </w:r>
    </w:p>
    <w:p>
      <w:pPr>
        <w:spacing w:after="0" w:line="74"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b w:val="1"/>
          <w:bCs w:val="1"/>
          <w:color w:val="auto"/>
        </w:rPr>
        <w:t xml:space="preserve">Ms. Reed-Klages </w:t>
      </w:r>
      <w:r>
        <w:rPr>
          <w:rFonts w:ascii="Arial" w:cs="Arial" w:eastAsia="Arial" w:hAnsi="Arial"/>
          <w:sz w:val="16"/>
          <w:szCs w:val="16"/>
          <w:color w:val="auto"/>
        </w:rPr>
        <w:t>served as Chairman from 2012, Chief Executive Officer from 2011, and President from 2017 until her retirement in 2018 from Sempra</w:t>
      </w:r>
      <w:r>
        <w:rPr>
          <w:rFonts w:ascii="Arial" w:cs="Arial" w:eastAsia="Arial" w:hAnsi="Arial"/>
          <w:sz w:val="16"/>
          <w:szCs w:val="16"/>
          <w:b w:val="1"/>
          <w:bCs w:val="1"/>
          <w:color w:val="auto"/>
        </w:rPr>
        <w:t xml:space="preserve"> </w:t>
      </w:r>
      <w:r>
        <w:rPr>
          <w:rFonts w:ascii="Arial" w:cs="Arial" w:eastAsia="Arial" w:hAnsi="Arial"/>
          <w:sz w:val="16"/>
          <w:szCs w:val="16"/>
          <w:color w:val="auto"/>
        </w:rPr>
        <w:t>Energy (“Sempra”), an energy services holding company whose operating units invest in, develop, and operate energy infrastructure and provide electric and gas services to customers in North and South America. Prior to that, she was Executive Vice President of Sempra from 2010 to 2011. From 2006 to 2010, she served as President and Chief Executive Officer of San Diego Gas and Electric and Southern California Gas Co. (“SoCalGas”), Sempra’s regulated California utilities. She joined SoCalGas in 1978 as an energy systems engineer.</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Skills and qualifications</w:t>
      </w:r>
    </w:p>
    <w:p>
      <w:pPr>
        <w:spacing w:after="0" w:line="58" w:lineRule="exact"/>
        <w:rPr>
          <w:sz w:val="20"/>
          <w:szCs w:val="20"/>
          <w:color w:val="auto"/>
        </w:rPr>
      </w:pPr>
    </w:p>
    <w:p>
      <w:pPr>
        <w:ind w:left="120" w:right="340"/>
        <w:spacing w:after="0" w:line="286" w:lineRule="auto"/>
        <w:rPr>
          <w:sz w:val="20"/>
          <w:szCs w:val="20"/>
          <w:color w:val="auto"/>
        </w:rPr>
      </w:pPr>
      <w:r>
        <w:rPr>
          <w:rFonts w:ascii="Arial" w:cs="Arial" w:eastAsia="Arial" w:hAnsi="Arial"/>
          <w:sz w:val="16"/>
          <w:szCs w:val="16"/>
          <w:b w:val="1"/>
          <w:bCs w:val="1"/>
          <w:color w:val="auto"/>
        </w:rPr>
        <w:t xml:space="preserve">Business Leadership/Operations: </w:t>
      </w:r>
      <w:r>
        <w:rPr>
          <w:rFonts w:ascii="Arial" w:cs="Arial" w:eastAsia="Arial" w:hAnsi="Arial"/>
          <w:sz w:val="16"/>
          <w:szCs w:val="16"/>
          <w:color w:val="auto"/>
        </w:rPr>
        <w:t>Served seven years as CEO of Sempra. Over three decades of experience in senior management and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positions at Sempra, including responsibility for utility and infrastructure operations.</w:t>
      </w:r>
    </w:p>
    <w:p>
      <w:pPr>
        <w:spacing w:after="0" w:line="48" w:lineRule="exact"/>
        <w:rPr>
          <w:sz w:val="20"/>
          <w:szCs w:val="20"/>
          <w:color w:val="auto"/>
        </w:rPr>
      </w:pPr>
    </w:p>
    <w:p>
      <w:pPr>
        <w:ind w:left="120" w:right="220"/>
        <w:spacing w:after="0" w:line="266" w:lineRule="auto"/>
        <w:rPr>
          <w:sz w:val="20"/>
          <w:szCs w:val="20"/>
          <w:color w:val="auto"/>
        </w:rPr>
      </w:pPr>
      <w:r>
        <w:rPr>
          <w:rFonts w:ascii="Arial" w:cs="Arial" w:eastAsia="Arial" w:hAnsi="Arial"/>
          <w:sz w:val="16"/>
          <w:szCs w:val="16"/>
          <w:b w:val="1"/>
          <w:bCs w:val="1"/>
          <w:color w:val="auto"/>
        </w:rPr>
        <w:t xml:space="preserve">Environmental Affairs: </w:t>
      </w:r>
      <w:r>
        <w:rPr>
          <w:rFonts w:ascii="Arial" w:cs="Arial" w:eastAsia="Arial" w:hAnsi="Arial"/>
          <w:sz w:val="16"/>
          <w:szCs w:val="16"/>
          <w:color w:val="auto"/>
        </w:rPr>
        <w:t>As Chairman and CEO of Sempra, oversaw all aspects of Sempra’s environmental and sustainability policies and strategies,</w:t>
      </w:r>
      <w:r>
        <w:rPr>
          <w:rFonts w:ascii="Arial" w:cs="Arial" w:eastAsia="Arial" w:hAnsi="Arial"/>
          <w:sz w:val="16"/>
          <w:szCs w:val="16"/>
          <w:b w:val="1"/>
          <w:bCs w:val="1"/>
          <w:color w:val="auto"/>
        </w:rPr>
        <w:t xml:space="preserve"> </w:t>
      </w:r>
      <w:r>
        <w:rPr>
          <w:rFonts w:ascii="Arial" w:cs="Arial" w:eastAsia="Arial" w:hAnsi="Arial"/>
          <w:sz w:val="16"/>
          <w:szCs w:val="16"/>
          <w:color w:val="auto"/>
        </w:rPr>
        <w:t>which include initiatives to address challenges like limiting water use, improving the quality and efficiency of operations, infrastructure development and access to energy, human health, and environmental safety.</w:t>
      </w:r>
    </w:p>
    <w:p>
      <w:pPr>
        <w:spacing w:after="0" w:line="63"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b w:val="1"/>
          <w:bCs w:val="1"/>
          <w:color w:val="auto"/>
        </w:rPr>
        <w:t xml:space="preserve">Finance: </w:t>
      </w:r>
      <w:r>
        <w:rPr>
          <w:rFonts w:ascii="Arial" w:cs="Arial" w:eastAsia="Arial" w:hAnsi="Arial"/>
          <w:sz w:val="16"/>
          <w:szCs w:val="16"/>
          <w:color w:val="auto"/>
        </w:rPr>
        <w:t>Former Chairman and CEO of Fortune 500 company. More than a decade of financial responsibility and experience at Sempra. Former CFO of</w:t>
      </w:r>
      <w:r>
        <w:rPr>
          <w:rFonts w:ascii="Arial" w:cs="Arial" w:eastAsia="Arial" w:hAnsi="Arial"/>
          <w:sz w:val="16"/>
          <w:szCs w:val="16"/>
          <w:b w:val="1"/>
          <w:bCs w:val="1"/>
          <w:color w:val="auto"/>
        </w:rPr>
        <w:t xml:space="preserve"> </w:t>
      </w:r>
      <w:r>
        <w:rPr>
          <w:rFonts w:ascii="Arial" w:cs="Arial" w:eastAsia="Arial" w:hAnsi="Arial"/>
          <w:sz w:val="16"/>
          <w:szCs w:val="16"/>
          <w:color w:val="auto"/>
        </w:rPr>
        <w:t>San Diego Gas &amp; Electric and SoCalGas. Audit Committee member at Lockheed Martin Corporation.</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Global Business/International Affairs: </w:t>
      </w:r>
      <w:r>
        <w:rPr>
          <w:rFonts w:ascii="Arial" w:cs="Arial" w:eastAsia="Arial" w:hAnsi="Arial"/>
          <w:sz w:val="16"/>
          <w:szCs w:val="16"/>
          <w:color w:val="auto"/>
        </w:rPr>
        <w:t>Former Chairman and CEO of Fortune 500 company that conducts business in Mexico and South America.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Current and former director of companies with international operations.</w:t>
      </w:r>
    </w:p>
    <w:p>
      <w:pPr>
        <w:spacing w:after="0" w:line="97" w:lineRule="exact"/>
        <w:rPr>
          <w:sz w:val="20"/>
          <w:szCs w:val="20"/>
          <w:color w:val="auto"/>
        </w:rPr>
      </w:pPr>
    </w:p>
    <w:p>
      <w:pPr>
        <w:ind w:left="120" w:right="140"/>
        <w:spacing w:after="0" w:line="266" w:lineRule="auto"/>
        <w:rPr>
          <w:sz w:val="20"/>
          <w:szCs w:val="20"/>
          <w:color w:val="auto"/>
        </w:rPr>
      </w:pPr>
      <w:r>
        <w:rPr>
          <w:rFonts w:ascii="Arial" w:cs="Arial" w:eastAsia="Arial" w:hAnsi="Arial"/>
          <w:sz w:val="16"/>
          <w:szCs w:val="16"/>
          <w:b w:val="1"/>
          <w:bCs w:val="1"/>
          <w:color w:val="auto"/>
        </w:rPr>
        <w:t xml:space="preserve">Government/Regulatory/Public Policy: </w:t>
      </w:r>
      <w:r>
        <w:rPr>
          <w:rFonts w:ascii="Arial" w:cs="Arial" w:eastAsia="Arial" w:hAnsi="Arial"/>
          <w:sz w:val="16"/>
          <w:szCs w:val="16"/>
          <w:color w:val="auto"/>
        </w:rPr>
        <w:t>At Sempra, worked with and adhered to the rules established by the California Public Utilities Commission, the</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 regulator of Sempra’s California utilities. Served four years on the National Petroleum Council, a federally chartered advisory committee to the U.S. Secretary of Energy.</w:t>
      </w:r>
    </w:p>
    <w:p>
      <w:pPr>
        <w:spacing w:after="0" w:line="63" w:lineRule="exact"/>
        <w:rPr>
          <w:sz w:val="20"/>
          <w:szCs w:val="20"/>
          <w:color w:val="auto"/>
        </w:rPr>
      </w:pPr>
    </w:p>
    <w:p>
      <w:pPr>
        <w:jc w:val="both"/>
        <w:ind w:left="120" w:right="80"/>
        <w:spacing w:after="0" w:line="266" w:lineRule="auto"/>
        <w:rPr>
          <w:sz w:val="20"/>
          <w:szCs w:val="20"/>
          <w:color w:val="auto"/>
        </w:rPr>
      </w:pPr>
      <w:r>
        <w:rPr>
          <w:rFonts w:ascii="Arial" w:cs="Arial" w:eastAsia="Arial" w:hAnsi="Arial"/>
          <w:sz w:val="16"/>
          <w:szCs w:val="16"/>
          <w:b w:val="1"/>
          <w:bCs w:val="1"/>
          <w:color w:val="auto"/>
        </w:rPr>
        <w:t xml:space="preserve">Leading Business Transformation: </w:t>
      </w:r>
      <w:r>
        <w:rPr>
          <w:rFonts w:ascii="Arial" w:cs="Arial" w:eastAsia="Arial" w:hAnsi="Arial"/>
          <w:sz w:val="16"/>
          <w:szCs w:val="16"/>
          <w:color w:val="auto"/>
        </w:rPr>
        <w:t>As Chairman and CEO of Sempra, led transformation of San Diego Gas &amp; Electric from all fossil fuel generation to</w:t>
      </w:r>
      <w:r>
        <w:rPr>
          <w:rFonts w:ascii="Arial" w:cs="Arial" w:eastAsia="Arial" w:hAnsi="Arial"/>
          <w:sz w:val="16"/>
          <w:szCs w:val="16"/>
          <w:b w:val="1"/>
          <w:bCs w:val="1"/>
          <w:color w:val="auto"/>
        </w:rPr>
        <w:t xml:space="preserve"> </w:t>
      </w:r>
      <w:r>
        <w:rPr>
          <w:rFonts w:ascii="Arial" w:cs="Arial" w:eastAsia="Arial" w:hAnsi="Arial"/>
          <w:sz w:val="16"/>
          <w:szCs w:val="16"/>
          <w:color w:val="auto"/>
        </w:rPr>
        <w:t>become one of the utilities with the highest percentage of renewables in its portfolio. Also led creation of the second largest energy company in Mexico to facilitate Mexico’s transition to renewable energy, including development of infrastructure in Mexico to support that transition.</w:t>
      </w:r>
    </w:p>
    <w:p>
      <w:pPr>
        <w:spacing w:after="0" w:line="63" w:lineRule="exact"/>
        <w:rPr>
          <w:sz w:val="20"/>
          <w:szCs w:val="20"/>
          <w:color w:val="auto"/>
        </w:rPr>
      </w:pPr>
    </w:p>
    <w:p>
      <w:pPr>
        <w:ind w:left="120" w:right="300"/>
        <w:spacing w:after="0" w:line="266" w:lineRule="auto"/>
        <w:rPr>
          <w:sz w:val="20"/>
          <w:szCs w:val="20"/>
          <w:color w:val="auto"/>
        </w:rPr>
      </w:pPr>
      <w:r>
        <w:rPr>
          <w:rFonts w:ascii="Arial" w:cs="Arial" w:eastAsia="Arial" w:hAnsi="Arial"/>
          <w:sz w:val="16"/>
          <w:szCs w:val="16"/>
          <w:b w:val="1"/>
          <w:bCs w:val="1"/>
          <w:color w:val="auto"/>
        </w:rPr>
        <w:t xml:space="preserve">Science/Technology/Engineering: </w:t>
      </w:r>
      <w:r>
        <w:rPr>
          <w:rFonts w:ascii="Arial" w:cs="Arial" w:eastAsia="Arial" w:hAnsi="Arial"/>
          <w:sz w:val="16"/>
          <w:szCs w:val="16"/>
          <w:color w:val="auto"/>
        </w:rPr>
        <w:t>B.S. in civil engineering from the University of Southern California. Served in a variety of senior management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positions at Sempra, requiring expertise in engineering and technology. Director at Caterpillar, a manufacturer of construction and mining equipment, and Lockheed Martin, a global security and aerospace company.</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140"/>
          </w:cols>
          <w:pgMar w:left="320" w:top="455" w:right="4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0B2D71"/>
        </w:rPr>
        <w:t>Ronald D. Sugar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1885950" cy="1705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85950" cy="1705610"/>
                    </a:xfrm>
                    <a:prstGeom prst="rect">
                      <a:avLst/>
                    </a:prstGeom>
                    <a:noFill/>
                  </pic:spPr>
                </pic:pic>
              </a:graphicData>
            </a:graphic>
          </wp:anchor>
        </w:drawing>
      </w:r>
    </w:p>
    <w:p>
      <w:pPr>
        <w:spacing w:after="0" w:line="6" w:lineRule="exact"/>
        <w:rPr>
          <w:sz w:val="20"/>
          <w:szCs w:val="20"/>
          <w:color w:val="auto"/>
        </w:rPr>
      </w:pPr>
    </w:p>
    <w:p>
      <w:pPr>
        <w:ind w:left="3200"/>
        <w:spacing w:after="0" w:line="236" w:lineRule="auto"/>
        <w:rPr>
          <w:sz w:val="20"/>
          <w:szCs w:val="20"/>
          <w:color w:val="auto"/>
        </w:rPr>
      </w:pPr>
      <w:r>
        <w:rPr>
          <w:rFonts w:ascii="Arial" w:cs="Arial" w:eastAsia="Arial" w:hAnsi="Arial"/>
          <w:sz w:val="13"/>
          <w:szCs w:val="13"/>
          <w:b w:val="1"/>
          <w:bCs w:val="1"/>
          <w:color w:val="auto"/>
        </w:rPr>
        <w:t>Retired Chairman and Chief Executive Officer, Northrop Grumman Corporation</w:t>
      </w:r>
    </w:p>
    <w:p>
      <w:pPr>
        <w:spacing w:after="0" w:line="45" w:lineRule="exact"/>
        <w:rPr>
          <w:sz w:val="20"/>
          <w:szCs w:val="20"/>
          <w:color w:val="auto"/>
        </w:rPr>
      </w:pPr>
    </w:p>
    <w:p>
      <w:pPr>
        <w:ind w:left="3200"/>
        <w:spacing w:after="0"/>
        <w:rPr>
          <w:sz w:val="20"/>
          <w:szCs w:val="20"/>
          <w:color w:val="auto"/>
        </w:rPr>
      </w:pPr>
      <w:r>
        <w:rPr>
          <w:rFonts w:ascii="Arial" w:cs="Arial" w:eastAsia="Arial" w:hAnsi="Arial"/>
          <w:sz w:val="13"/>
          <w:szCs w:val="13"/>
          <w:b w:val="1"/>
          <w:bCs w:val="1"/>
          <w:color w:val="auto"/>
        </w:rPr>
        <w:t xml:space="preserve">Lead Director Since: </w:t>
      </w:r>
      <w:r>
        <w:rPr>
          <w:rFonts w:ascii="Arial" w:cs="Arial" w:eastAsia="Arial" w:hAnsi="Arial"/>
          <w:sz w:val="13"/>
          <w:szCs w:val="13"/>
          <w:color w:val="auto"/>
        </w:rPr>
        <w:t>2015</w:t>
      </w:r>
    </w:p>
    <w:p>
      <w:pPr>
        <w:spacing w:after="0" w:line="64" w:lineRule="exact"/>
        <w:rPr>
          <w:sz w:val="20"/>
          <w:szCs w:val="20"/>
          <w:color w:val="auto"/>
        </w:rPr>
      </w:pPr>
    </w:p>
    <w:p>
      <w:pPr>
        <w:ind w:left="320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73</w:t>
      </w:r>
    </w:p>
    <w:p>
      <w:pPr>
        <w:ind w:left="3200"/>
        <w:spacing w:after="0" w:line="216" w:lineRule="auto"/>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April 2005</w:t>
      </w:r>
    </w:p>
    <w:p>
      <w:pPr>
        <w:ind w:left="3200"/>
        <w:spacing w:after="0"/>
        <w:rPr>
          <w:sz w:val="20"/>
          <w:szCs w:val="20"/>
          <w:color w:val="auto"/>
        </w:rPr>
      </w:pPr>
      <w:r>
        <w:rPr>
          <w:rFonts w:ascii="Arial" w:cs="Arial" w:eastAsia="Arial" w:hAnsi="Arial"/>
          <w:sz w:val="13"/>
          <w:szCs w:val="13"/>
          <w:b w:val="1"/>
          <w:bCs w:val="1"/>
          <w:color w:val="auto"/>
        </w:rPr>
        <w:t xml:space="preserve">Independent: </w:t>
      </w:r>
      <w:r>
        <w:rPr>
          <w:rFonts w:ascii="Arial" w:cs="Arial" w:eastAsia="Arial" w:hAnsi="Arial"/>
          <w:sz w:val="13"/>
          <w:szCs w:val="13"/>
          <w:color w:val="auto"/>
        </w:rPr>
        <w:t>Yes</w:t>
      </w:r>
    </w:p>
    <w:p>
      <w:pPr>
        <w:spacing w:after="0" w:line="55" w:lineRule="exact"/>
        <w:rPr>
          <w:sz w:val="20"/>
          <w:szCs w:val="20"/>
          <w:color w:val="auto"/>
        </w:rPr>
      </w:pPr>
    </w:p>
    <w:p>
      <w:pPr>
        <w:ind w:left="3200"/>
        <w:spacing w:after="0"/>
        <w:rPr>
          <w:sz w:val="20"/>
          <w:szCs w:val="20"/>
          <w:color w:val="auto"/>
        </w:rPr>
      </w:pPr>
      <w:r>
        <w:rPr>
          <w:rFonts w:ascii="Arial" w:cs="Arial" w:eastAsia="Arial" w:hAnsi="Arial"/>
          <w:sz w:val="13"/>
          <w:szCs w:val="13"/>
          <w:b w:val="1"/>
          <w:bCs w:val="1"/>
          <w:color w:val="auto"/>
        </w:rPr>
        <w:t>Chevron Committees:</w:t>
      </w:r>
    </w:p>
    <w:p>
      <w:pPr>
        <w:ind w:left="3360" w:hanging="166"/>
        <w:spacing w:after="0" w:line="234" w:lineRule="auto"/>
        <w:tabs>
          <w:tab w:leader="none" w:pos="33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Board Nominating and Governance</w:t>
      </w:r>
    </w:p>
    <w:p>
      <w:pPr>
        <w:ind w:left="3360" w:hanging="166"/>
        <w:spacing w:after="0"/>
        <w:tabs>
          <w:tab w:leader="none" w:pos="33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Management Compensation</w:t>
      </w:r>
    </w:p>
    <w:p>
      <w:pPr>
        <w:spacing w:after="0" w:line="55" w:lineRule="exact"/>
        <w:rPr>
          <w:sz w:val="20"/>
          <w:szCs w:val="20"/>
          <w:color w:val="auto"/>
        </w:rPr>
      </w:pPr>
    </w:p>
    <w:p>
      <w:pPr>
        <w:ind w:left="3200"/>
        <w:spacing w:after="0"/>
        <w:rPr>
          <w:sz w:val="20"/>
          <w:szCs w:val="20"/>
          <w:color w:val="auto"/>
        </w:rPr>
      </w:pPr>
      <w:r>
        <w:rPr>
          <w:rFonts w:ascii="Arial" w:cs="Arial" w:eastAsia="Arial" w:hAnsi="Arial"/>
          <w:sz w:val="13"/>
          <w:szCs w:val="13"/>
          <w:b w:val="1"/>
          <w:bCs w:val="1"/>
          <w:color w:val="auto"/>
        </w:rPr>
        <w:t>Current Public Company Directorships:</w:t>
      </w:r>
    </w:p>
    <w:p>
      <w:pPr>
        <w:ind w:left="3360" w:hanging="166"/>
        <w:spacing w:after="0" w:line="234" w:lineRule="auto"/>
        <w:tabs>
          <w:tab w:leader="none" w:pos="33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Amgen Inc.</w:t>
      </w:r>
    </w:p>
    <w:p>
      <w:pPr>
        <w:ind w:left="3360" w:hanging="166"/>
        <w:spacing w:after="0" w:line="216" w:lineRule="auto"/>
        <w:tabs>
          <w:tab w:leader="none" w:pos="33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Apple Inc.</w:t>
      </w:r>
    </w:p>
    <w:p>
      <w:pPr>
        <w:ind w:left="3360" w:hanging="166"/>
        <w:spacing w:after="0"/>
        <w:tabs>
          <w:tab w:leader="none" w:pos="33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Uber Technologies,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jc w:val="right"/>
        <w:ind w:right="280"/>
        <w:spacing w:after="0"/>
        <w:rPr>
          <w:sz w:val="20"/>
          <w:szCs w:val="20"/>
          <w:color w:val="auto"/>
        </w:rPr>
      </w:pPr>
      <w:r>
        <w:rPr>
          <w:rFonts w:ascii="Arial" w:cs="Arial" w:eastAsia="Arial" w:hAnsi="Arial"/>
          <w:sz w:val="14"/>
          <w:szCs w:val="14"/>
          <w:b w:val="1"/>
          <w:bCs w:val="1"/>
          <w:color w:val="FFFFFF"/>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-121285</wp:posOffset>
            </wp:positionV>
            <wp:extent cx="5109210" cy="1945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09210" cy="1945640"/>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Prior Public Company Directorships</w:t>
      </w:r>
    </w:p>
    <w:p>
      <w:pPr>
        <w:spacing w:after="0"/>
        <w:rPr>
          <w:sz w:val="20"/>
          <w:szCs w:val="20"/>
          <w:color w:val="auto"/>
        </w:rPr>
      </w:pPr>
      <w:r>
        <w:rPr>
          <w:rFonts w:ascii="Arial" w:cs="Arial" w:eastAsia="Arial" w:hAnsi="Arial"/>
          <w:sz w:val="13"/>
          <w:szCs w:val="13"/>
          <w:color w:val="auto"/>
        </w:rPr>
        <w:t>(within last five years):</w:t>
      </w:r>
    </w:p>
    <w:p>
      <w:pPr>
        <w:spacing w:after="0"/>
        <w:tabs>
          <w:tab w:leader="none" w:pos="14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Air Lease Corporation</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Directorships and Memberships:</w:t>
      </w:r>
    </w:p>
    <w:p>
      <w:pPr>
        <w:ind w:left="180" w:hanging="177"/>
        <w:spacing w:after="0" w:line="234" w:lineRule="auto"/>
        <w:tabs>
          <w:tab w:leader="none" w:pos="1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Los Angeles Philharmonic Association</w:t>
      </w:r>
    </w:p>
    <w:p>
      <w:pPr>
        <w:ind w:left="180" w:hanging="177"/>
        <w:spacing w:after="0" w:line="216" w:lineRule="auto"/>
        <w:tabs>
          <w:tab w:leader="none" w:pos="1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National Academy of Engineering</w:t>
      </w:r>
    </w:p>
    <w:p>
      <w:pPr>
        <w:ind w:left="180" w:hanging="177"/>
        <w:spacing w:after="0" w:line="216" w:lineRule="auto"/>
        <w:tabs>
          <w:tab w:leader="none" w:pos="1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Nexii Building Solutions, Inc. (Privately held)</w:t>
      </w:r>
    </w:p>
    <w:p>
      <w:pPr>
        <w:ind w:left="200" w:right="440" w:hanging="197"/>
        <w:spacing w:after="0" w:line="216" w:lineRule="auto"/>
        <w:tabs>
          <w:tab w:leader="none" w:pos="172" w:val="left"/>
        </w:tabs>
        <w:numPr>
          <w:ilvl w:val="0"/>
          <w:numId w:val="31"/>
        </w:numPr>
        <w:rPr>
          <w:rFonts w:ascii="Arial" w:cs="Arial" w:eastAsia="Arial" w:hAnsi="Arial"/>
          <w:sz w:val="13"/>
          <w:szCs w:val="13"/>
          <w:color w:val="auto"/>
        </w:rPr>
      </w:pPr>
      <w:r>
        <w:rPr>
          <w:rFonts w:ascii="Arial" w:cs="Arial" w:eastAsia="Arial" w:hAnsi="Arial"/>
          <w:sz w:val="13"/>
          <w:szCs w:val="13"/>
          <w:color w:val="auto"/>
        </w:rPr>
        <w:t>UCLA (Business School and Engineering School Boards of Advisors)</w:t>
      </w:r>
    </w:p>
    <w:p>
      <w:pPr>
        <w:ind w:left="180" w:hanging="177"/>
        <w:spacing w:after="0"/>
        <w:tabs>
          <w:tab w:leader="none" w:pos="1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University of Southern California (Trustee)</w:t>
      </w:r>
    </w:p>
    <w:p>
      <w:pPr>
        <w:spacing w:after="0" w:line="861" w:lineRule="exact"/>
        <w:rPr>
          <w:sz w:val="20"/>
          <w:szCs w:val="20"/>
          <w:color w:val="auto"/>
        </w:rPr>
      </w:pPr>
    </w:p>
    <w:p>
      <w:pPr>
        <w:sectPr>
          <w:pgSz w:w="11900" w:h="16838" w:orient="portrait"/>
          <w:cols w:equalWidth="0" w:num="2">
            <w:col w:w="6520" w:space="640"/>
            <w:col w:w="3900"/>
          </w:cols>
          <w:pgMar w:left="320" w:top="455" w:right="519" w:bottom="1440" w:gutter="0" w:footer="0" w:header="0"/>
        </w:sectPr>
      </w:pPr>
    </w:p>
    <w:p>
      <w:pPr>
        <w:spacing w:after="0" w:line="209" w:lineRule="exact"/>
        <w:rPr>
          <w:sz w:val="20"/>
          <w:szCs w:val="20"/>
          <w:color w:val="auto"/>
        </w:rPr>
      </w:pPr>
    </w:p>
    <w:p>
      <w:pPr>
        <w:ind w:left="120" w:right="120"/>
        <w:spacing w:after="0" w:line="254" w:lineRule="auto"/>
        <w:rPr>
          <w:sz w:val="20"/>
          <w:szCs w:val="20"/>
          <w:color w:val="auto"/>
        </w:rPr>
      </w:pPr>
      <w:r>
        <w:rPr>
          <w:rFonts w:ascii="Arial" w:cs="Arial" w:eastAsia="Arial" w:hAnsi="Arial"/>
          <w:sz w:val="16"/>
          <w:szCs w:val="16"/>
          <w:b w:val="1"/>
          <w:bCs w:val="1"/>
          <w:color w:val="auto"/>
        </w:rPr>
        <w:t xml:space="preserve">Dr. Sugar </w:t>
      </w:r>
      <w:r>
        <w:rPr>
          <w:rFonts w:ascii="Arial" w:cs="Arial" w:eastAsia="Arial" w:hAnsi="Arial"/>
          <w:sz w:val="16"/>
          <w:szCs w:val="16"/>
          <w:color w:val="auto"/>
        </w:rPr>
        <w:t>is a senior advisor to various businesses and organizations, including Ares Management LLC, a private investment firm; Bain &amp; Company, a</w:t>
      </w:r>
      <w:r>
        <w:rPr>
          <w:rFonts w:ascii="Arial" w:cs="Arial" w:eastAsia="Arial" w:hAnsi="Arial"/>
          <w:sz w:val="16"/>
          <w:szCs w:val="16"/>
          <w:b w:val="1"/>
          <w:bCs w:val="1"/>
          <w:color w:val="auto"/>
        </w:rPr>
        <w:t xml:space="preserve"> </w:t>
      </w:r>
      <w:r>
        <w:rPr>
          <w:rFonts w:ascii="Arial" w:cs="Arial" w:eastAsia="Arial" w:hAnsi="Arial"/>
          <w:sz w:val="16"/>
          <w:szCs w:val="16"/>
          <w:color w:val="auto"/>
        </w:rPr>
        <w:t>global consulting firm; Temasek Americas Advisory Panel, a private investment company based in Singapore; and the G100 and World 50 peer-to-peer exchanges for current and former senior executives and directors from some of the world’s largest companies. He was previously Northrop Grumman Corporation’s Chairman and Chief Executive Officer, from 2003 until his retirement in 2010, and President and Chief Operating Officer, from 2001 until 2003. He joined Northrop Grumman in 2001, having previously served as President and Chief Operating Officer of Litton Industries, Inc., a developer of military products, and earlier as an executive of TRW Inc., a developer of missile systems and spacecraft.</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Skills and qualifications</w:t>
      </w:r>
    </w:p>
    <w:p>
      <w:pPr>
        <w:spacing w:after="0" w:line="58" w:lineRule="exact"/>
        <w:rPr>
          <w:sz w:val="20"/>
          <w:szCs w:val="20"/>
          <w:color w:val="auto"/>
        </w:rPr>
      </w:pPr>
    </w:p>
    <w:p>
      <w:pPr>
        <w:ind w:left="120" w:right="300"/>
        <w:spacing w:after="0" w:line="286" w:lineRule="auto"/>
        <w:rPr>
          <w:sz w:val="20"/>
          <w:szCs w:val="20"/>
          <w:color w:val="auto"/>
        </w:rPr>
      </w:pPr>
      <w:r>
        <w:rPr>
          <w:rFonts w:ascii="Arial" w:cs="Arial" w:eastAsia="Arial" w:hAnsi="Arial"/>
          <w:sz w:val="16"/>
          <w:szCs w:val="16"/>
          <w:b w:val="1"/>
          <w:bCs w:val="1"/>
          <w:color w:val="auto"/>
        </w:rPr>
        <w:t xml:space="preserve">Business Leadership/Operations: </w:t>
      </w:r>
      <w:r>
        <w:rPr>
          <w:rFonts w:ascii="Arial" w:cs="Arial" w:eastAsia="Arial" w:hAnsi="Arial"/>
          <w:sz w:val="16"/>
          <w:szCs w:val="16"/>
          <w:color w:val="auto"/>
        </w:rPr>
        <w:t>Served seven years as CEO of Northrop Grumman. Held senior management and executive positions,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as COO, at Northrop Grumman, Litton Industries, Inc., and TRW Inc.</w:t>
      </w:r>
    </w:p>
    <w:p>
      <w:pPr>
        <w:spacing w:after="0" w:line="48"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b w:val="1"/>
          <w:bCs w:val="1"/>
          <w:color w:val="auto"/>
        </w:rPr>
        <w:t xml:space="preserve">Environmental Affairs: </w:t>
      </w:r>
      <w:r>
        <w:rPr>
          <w:rFonts w:ascii="Arial" w:cs="Arial" w:eastAsia="Arial" w:hAnsi="Arial"/>
          <w:sz w:val="16"/>
          <w:szCs w:val="16"/>
          <w:color w:val="auto"/>
        </w:rPr>
        <w:t>As Chairman, CEO, and President of Northrop Grumman, oversaw environmental assessments and remediations at shipyards</w:t>
      </w:r>
      <w:r>
        <w:rPr>
          <w:rFonts w:ascii="Arial" w:cs="Arial" w:eastAsia="Arial" w:hAnsi="Arial"/>
          <w:sz w:val="16"/>
          <w:szCs w:val="16"/>
          <w:b w:val="1"/>
          <w:bCs w:val="1"/>
          <w:color w:val="auto"/>
        </w:rPr>
        <w:t xml:space="preserve"> </w:t>
      </w:r>
      <w:r>
        <w:rPr>
          <w:rFonts w:ascii="Arial" w:cs="Arial" w:eastAsia="Arial" w:hAnsi="Arial"/>
          <w:sz w:val="16"/>
          <w:szCs w:val="16"/>
          <w:color w:val="auto"/>
        </w:rPr>
        <w:t>and aircraft and electronics factories.</w:t>
      </w:r>
    </w:p>
    <w:p>
      <w:pPr>
        <w:spacing w:after="0" w:line="48" w:lineRule="exact"/>
        <w:rPr>
          <w:sz w:val="20"/>
          <w:szCs w:val="20"/>
          <w:color w:val="auto"/>
        </w:rPr>
      </w:pPr>
    </w:p>
    <w:p>
      <w:pPr>
        <w:ind w:left="120" w:right="580"/>
        <w:spacing w:after="0" w:line="286" w:lineRule="auto"/>
        <w:rPr>
          <w:sz w:val="20"/>
          <w:szCs w:val="20"/>
          <w:color w:val="auto"/>
        </w:rPr>
      </w:pPr>
      <w:r>
        <w:rPr>
          <w:rFonts w:ascii="Arial" w:cs="Arial" w:eastAsia="Arial" w:hAnsi="Arial"/>
          <w:sz w:val="16"/>
          <w:szCs w:val="16"/>
          <w:b w:val="1"/>
          <w:bCs w:val="1"/>
          <w:color w:val="auto"/>
        </w:rPr>
        <w:t xml:space="preserve">Finance: </w:t>
      </w:r>
      <w:r>
        <w:rPr>
          <w:rFonts w:ascii="Arial" w:cs="Arial" w:eastAsia="Arial" w:hAnsi="Arial"/>
          <w:sz w:val="16"/>
          <w:szCs w:val="16"/>
          <w:color w:val="auto"/>
        </w:rPr>
        <w:t>Former CFO of Fortune 500 company. More than three decades of financial responsibility and experience at Northrop Grumman, Litton</w:t>
      </w:r>
      <w:r>
        <w:rPr>
          <w:rFonts w:ascii="Arial" w:cs="Arial" w:eastAsia="Arial" w:hAnsi="Arial"/>
          <w:sz w:val="16"/>
          <w:szCs w:val="16"/>
          <w:b w:val="1"/>
          <w:bCs w:val="1"/>
          <w:color w:val="auto"/>
        </w:rPr>
        <w:t xml:space="preserve"> </w:t>
      </w:r>
      <w:r>
        <w:rPr>
          <w:rFonts w:ascii="Arial" w:cs="Arial" w:eastAsia="Arial" w:hAnsi="Arial"/>
          <w:sz w:val="16"/>
          <w:szCs w:val="16"/>
          <w:color w:val="auto"/>
        </w:rPr>
        <w:t>Industries, Inc., and TRW Inc. Current Audit Committee Chair at Apple Inc. and former Audit Committee Chair at Chevron.</w:t>
      </w:r>
    </w:p>
    <w:p>
      <w:pPr>
        <w:spacing w:after="0" w:line="48" w:lineRule="exact"/>
        <w:rPr>
          <w:sz w:val="20"/>
          <w:szCs w:val="20"/>
          <w:color w:val="auto"/>
        </w:rPr>
      </w:pPr>
    </w:p>
    <w:p>
      <w:pPr>
        <w:ind w:left="120" w:right="280"/>
        <w:spacing w:after="0" w:line="286" w:lineRule="auto"/>
        <w:rPr>
          <w:sz w:val="20"/>
          <w:szCs w:val="20"/>
          <w:color w:val="auto"/>
        </w:rPr>
      </w:pPr>
      <w:r>
        <w:rPr>
          <w:rFonts w:ascii="Arial" w:cs="Arial" w:eastAsia="Arial" w:hAnsi="Arial"/>
          <w:sz w:val="16"/>
          <w:szCs w:val="16"/>
          <w:b w:val="1"/>
          <w:bCs w:val="1"/>
          <w:color w:val="auto"/>
        </w:rPr>
        <w:t xml:space="preserve">Global Business/International Affairs: </w:t>
      </w:r>
      <w:r>
        <w:rPr>
          <w:rFonts w:ascii="Arial" w:cs="Arial" w:eastAsia="Arial" w:hAnsi="Arial"/>
          <w:sz w:val="16"/>
          <w:szCs w:val="16"/>
          <w:color w:val="auto"/>
        </w:rPr>
        <w:t>Former CEO of Fortune 500 company with extensive international operations. Current and former director of</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with international operations.</w:t>
      </w:r>
    </w:p>
    <w:p>
      <w:pPr>
        <w:spacing w:after="0" w:line="48"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b w:val="1"/>
          <w:bCs w:val="1"/>
          <w:color w:val="auto"/>
        </w:rPr>
        <w:t xml:space="preserve">Government/Regulatory/Public Policy: </w:t>
      </w:r>
      <w:r>
        <w:rPr>
          <w:rFonts w:ascii="Arial" w:cs="Arial" w:eastAsia="Arial" w:hAnsi="Arial"/>
          <w:sz w:val="16"/>
          <w:szCs w:val="16"/>
          <w:color w:val="auto"/>
        </w:rPr>
        <w:t>At Northrop Grumman, a key government contractor, oversaw development of weapons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technologies. Appointed by the President of the United States to the National Security Telecommunications Advisory Committee. Former director of the World Affairs Council of Los Angeles.</w:t>
      </w:r>
    </w:p>
    <w:p>
      <w:pPr>
        <w:spacing w:after="0" w:line="63"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b w:val="1"/>
          <w:bCs w:val="1"/>
          <w:color w:val="auto"/>
        </w:rPr>
        <w:t xml:space="preserve">Leading Business Transformation: </w:t>
      </w:r>
      <w:r>
        <w:rPr>
          <w:rFonts w:ascii="Arial" w:cs="Arial" w:eastAsia="Arial" w:hAnsi="Arial"/>
          <w:sz w:val="16"/>
          <w:szCs w:val="16"/>
          <w:color w:val="auto"/>
        </w:rPr>
        <w:t>As Chairman, President &amp; CEO of Northrop Grumman, led the business and cultural integration of 27 acquisitions</w:t>
      </w:r>
      <w:r>
        <w:rPr>
          <w:rFonts w:ascii="Arial" w:cs="Arial" w:eastAsia="Arial" w:hAnsi="Arial"/>
          <w:sz w:val="16"/>
          <w:szCs w:val="16"/>
          <w:b w:val="1"/>
          <w:bCs w:val="1"/>
          <w:color w:val="auto"/>
        </w:rPr>
        <w:t xml:space="preserve"> </w:t>
      </w:r>
      <w:r>
        <w:rPr>
          <w:rFonts w:ascii="Arial" w:cs="Arial" w:eastAsia="Arial" w:hAnsi="Arial"/>
          <w:sz w:val="16"/>
          <w:szCs w:val="16"/>
          <w:color w:val="auto"/>
        </w:rPr>
        <w:t>into one Northrop Grumman. Led strategic repositioning of company from a traditional Cold War combat aircraft manufacturer into a diversified defense electronics, information, aeronautics, space and shipbuilding enterprise. Brought in as independent board chairman of Uber to oversee strategic, cultural, and corporate governance transformation in advance of IPO and subsequent large-cap publicly traded company.</w:t>
      </w:r>
    </w:p>
    <w:p>
      <w:pPr>
        <w:spacing w:after="0" w:line="70" w:lineRule="exact"/>
        <w:rPr>
          <w:sz w:val="20"/>
          <w:szCs w:val="20"/>
          <w:color w:val="auto"/>
        </w:rPr>
      </w:pPr>
    </w:p>
    <w:p>
      <w:pPr>
        <w:ind w:left="120" w:right="180"/>
        <w:spacing w:after="0" w:line="256" w:lineRule="auto"/>
        <w:rPr>
          <w:sz w:val="20"/>
          <w:szCs w:val="20"/>
          <w:color w:val="auto"/>
        </w:rPr>
      </w:pPr>
      <w:r>
        <w:rPr>
          <w:rFonts w:ascii="Arial" w:cs="Arial" w:eastAsia="Arial" w:hAnsi="Arial"/>
          <w:sz w:val="16"/>
          <w:szCs w:val="16"/>
          <w:b w:val="1"/>
          <w:bCs w:val="1"/>
          <w:color w:val="auto"/>
        </w:rPr>
        <w:t xml:space="preserve">Science/Technology/Engineering: </w:t>
      </w:r>
      <w:r>
        <w:rPr>
          <w:rFonts w:ascii="Arial" w:cs="Arial" w:eastAsia="Arial" w:hAnsi="Arial"/>
          <w:sz w:val="16"/>
          <w:szCs w:val="16"/>
          <w:color w:val="auto"/>
        </w:rPr>
        <w:t>B.S., M.S., and Ph.D. in engineering from the University of California at Los Angeles. Served in a variety of senior</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and executive positions at Northrop Grumman, Litton Industries, Inc., and TRW Inc., requiring expertise in engineering and technology. Director at Amgen Inc., a biotechnology company; Apple Inc., a designer, manufacturer, and marketer of, among other things, personal computers and mobile communication and media devices; Chairman of the Board at Uber Technologies, Inc. (“Uber”), a technology company; and former director at BeyondTrust, a global cybersecurity company. Member of National Academy of Engineering.</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060"/>
          </w:cols>
          <w:pgMar w:left="320" w:top="455" w:right="51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26873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68730" cy="146050"/>
                    </a:xfrm>
                    <a:prstGeom prst="rect">
                      <a:avLst/>
                    </a:prstGeom>
                    <a:noFill/>
                  </pic:spPr>
                </pic:pic>
              </a:graphicData>
            </a:graphic>
          </wp:anchor>
        </w:drawing>
      </w:r>
    </w:p>
    <w:p>
      <w:pPr>
        <w:spacing w:after="0" w:line="33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FFFFFF"/>
        </w:rPr>
        <w:t>Election of directors</w:t>
      </w:r>
    </w:p>
    <w:p>
      <w:pPr>
        <w:spacing w:after="0" w:line="171" w:lineRule="exact"/>
        <w:rPr>
          <w:sz w:val="20"/>
          <w:szCs w:val="20"/>
          <w:color w:val="auto"/>
        </w:rPr>
      </w:pPr>
    </w:p>
    <w:tbl>
      <w:tblPr>
        <w:tblLayout w:type="fixed"/>
        <w:tblInd w:w="3100" w:type="dxa"/>
        <w:tblCellMar>
          <w:top w:w="0" w:type="dxa"/>
          <w:left w:w="0" w:type="dxa"/>
          <w:bottom w:w="0" w:type="dxa"/>
          <w:right w:w="0" w:type="dxa"/>
        </w:tblCellMar>
      </w:tblPr>
      <w:tr>
        <w:trPr>
          <w:trHeight w:val="253"/>
        </w:trPr>
        <w:tc>
          <w:tcPr>
            <w:tcW w:w="3780" w:type="dxa"/>
            <w:vAlign w:val="bottom"/>
            <w:shd w:val="clear" w:color="auto" w:fill="D8D8D8"/>
          </w:tcPr>
          <w:p>
            <w:pPr>
              <w:ind w:left="100"/>
              <w:spacing w:after="0"/>
              <w:rPr>
                <w:sz w:val="20"/>
                <w:szCs w:val="20"/>
                <w:color w:val="auto"/>
              </w:rPr>
            </w:pPr>
            <w:r>
              <w:rPr>
                <w:rFonts w:ascii="Arial" w:cs="Arial" w:eastAsia="Arial" w:hAnsi="Arial"/>
                <w:sz w:val="22"/>
                <w:szCs w:val="22"/>
                <w:b w:val="1"/>
                <w:bCs w:val="1"/>
                <w:color w:val="0B2D71"/>
              </w:rPr>
              <w:t>D. James Umpleby III</w:t>
            </w:r>
          </w:p>
        </w:tc>
        <w:tc>
          <w:tcPr>
            <w:tcW w:w="4260" w:type="dxa"/>
            <w:vAlign w:val="bottom"/>
            <w:gridSpan w:val="2"/>
            <w:vMerge w:val="restart"/>
            <w:shd w:val="clear" w:color="auto" w:fill="D8D8D8"/>
          </w:tcPr>
          <w:p>
            <w:pPr>
              <w:ind w:left="520"/>
              <w:spacing w:after="0"/>
              <w:rPr>
                <w:sz w:val="20"/>
                <w:szCs w:val="20"/>
                <w:color w:val="auto"/>
              </w:rPr>
            </w:pPr>
            <w:r>
              <w:rPr>
                <w:rFonts w:ascii="Arial" w:cs="Arial" w:eastAsia="Arial" w:hAnsi="Arial"/>
                <w:sz w:val="13"/>
                <w:szCs w:val="13"/>
                <w:b w:val="1"/>
                <w:bCs w:val="1"/>
                <w:color w:val="auto"/>
              </w:rPr>
              <w:t>Prior Public Company Directorships</w:t>
            </w:r>
          </w:p>
        </w:tc>
        <w:tc>
          <w:tcPr>
            <w:tcW w:w="0" w:type="dxa"/>
            <w:vAlign w:val="bottom"/>
          </w:tcPr>
          <w:p>
            <w:pPr>
              <w:spacing w:after="0"/>
              <w:rPr>
                <w:sz w:val="1"/>
                <w:szCs w:val="1"/>
                <w:color w:val="auto"/>
              </w:rPr>
            </w:pPr>
          </w:p>
        </w:tc>
      </w:tr>
      <w:tr>
        <w:trPr>
          <w:trHeight w:val="126"/>
        </w:trPr>
        <w:tc>
          <w:tcPr>
            <w:tcW w:w="3780" w:type="dxa"/>
            <w:vAlign w:val="bottom"/>
            <w:shd w:val="clear" w:color="auto" w:fill="D8D8D8"/>
          </w:tcPr>
          <w:p>
            <w:pPr>
              <w:ind w:left="100"/>
              <w:spacing w:after="0" w:line="126" w:lineRule="exact"/>
              <w:rPr>
                <w:sz w:val="20"/>
                <w:szCs w:val="20"/>
                <w:color w:val="auto"/>
              </w:rPr>
            </w:pPr>
            <w:r>
              <w:rPr>
                <w:rFonts w:ascii="Arial" w:cs="Arial" w:eastAsia="Arial" w:hAnsi="Arial"/>
                <w:sz w:val="13"/>
                <w:szCs w:val="13"/>
                <w:b w:val="1"/>
                <w:bCs w:val="1"/>
                <w:color w:val="auto"/>
              </w:rPr>
              <w:t>Chairman and Chief Executive Officer, Caterpillar Inc.</w:t>
            </w:r>
          </w:p>
        </w:tc>
        <w:tc>
          <w:tcPr>
            <w:tcW w:w="4260" w:type="dxa"/>
            <w:vAlign w:val="bottom"/>
            <w:gridSpan w:val="2"/>
            <w:vMerge w:val="continue"/>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780" w:type="dxa"/>
            <w:vAlign w:val="bottom"/>
            <w:vMerge w:val="restart"/>
            <w:shd w:val="clear" w:color="auto" w:fill="D8D8D8"/>
          </w:tcPr>
          <w:p>
            <w:pPr>
              <w:ind w:left="10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64</w:t>
            </w:r>
          </w:p>
        </w:tc>
        <w:tc>
          <w:tcPr>
            <w:tcW w:w="4260" w:type="dxa"/>
            <w:vAlign w:val="bottom"/>
            <w:gridSpan w:val="2"/>
            <w:shd w:val="clear" w:color="auto" w:fill="D8D8D8"/>
          </w:tcPr>
          <w:p>
            <w:pPr>
              <w:ind w:left="520"/>
              <w:spacing w:after="0" w:line="144" w:lineRule="exact"/>
              <w:rPr>
                <w:sz w:val="20"/>
                <w:szCs w:val="20"/>
                <w:color w:val="auto"/>
              </w:rPr>
            </w:pPr>
            <w:r>
              <w:rPr>
                <w:rFonts w:ascii="Arial" w:cs="Arial" w:eastAsia="Arial" w:hAnsi="Arial"/>
                <w:sz w:val="13"/>
                <w:szCs w:val="13"/>
                <w:color w:val="auto"/>
              </w:rPr>
              <w:t>(within last five years):</w:t>
            </w:r>
          </w:p>
        </w:tc>
        <w:tc>
          <w:tcPr>
            <w:tcW w:w="0" w:type="dxa"/>
            <w:vAlign w:val="bottom"/>
          </w:tcPr>
          <w:p>
            <w:pPr>
              <w:spacing w:after="0"/>
              <w:rPr>
                <w:sz w:val="1"/>
                <w:szCs w:val="1"/>
                <w:color w:val="auto"/>
              </w:rPr>
            </w:pPr>
          </w:p>
        </w:tc>
      </w:tr>
      <w:tr>
        <w:trPr>
          <w:trHeight w:val="126"/>
        </w:trPr>
        <w:tc>
          <w:tcPr>
            <w:tcW w:w="3780" w:type="dxa"/>
            <w:vAlign w:val="bottom"/>
            <w:vMerge w:val="continue"/>
            <w:shd w:val="clear" w:color="auto" w:fill="D8D8D8"/>
          </w:tcPr>
          <w:p>
            <w:pPr>
              <w:spacing w:after="0"/>
              <w:rPr>
                <w:sz w:val="10"/>
                <w:szCs w:val="10"/>
                <w:color w:val="auto"/>
              </w:rPr>
            </w:pPr>
          </w:p>
        </w:tc>
        <w:tc>
          <w:tcPr>
            <w:tcW w:w="620" w:type="dxa"/>
            <w:vAlign w:val="bottom"/>
            <w:shd w:val="clear" w:color="auto" w:fill="D8D8D8"/>
          </w:tcPr>
          <w:p>
            <w:pPr>
              <w:ind w:left="520"/>
              <w:spacing w:after="0" w:line="126" w:lineRule="exact"/>
              <w:rPr>
                <w:sz w:val="20"/>
                <w:szCs w:val="20"/>
                <w:color w:val="auto"/>
              </w:rPr>
            </w:pPr>
            <w:r>
              <w:rPr>
                <w:rFonts w:ascii="Arial" w:cs="Arial" w:eastAsia="Arial" w:hAnsi="Arial"/>
                <w:sz w:val="13"/>
                <w:szCs w:val="13"/>
                <w:color w:val="auto"/>
              </w:rPr>
              <w:t>•</w:t>
            </w:r>
          </w:p>
        </w:tc>
        <w:tc>
          <w:tcPr>
            <w:tcW w:w="3640" w:type="dxa"/>
            <w:vAlign w:val="bottom"/>
            <w:shd w:val="clear" w:color="auto" w:fill="D8D8D8"/>
          </w:tcPr>
          <w:p>
            <w:pPr>
              <w:ind w:left="60"/>
              <w:spacing w:after="0" w:line="126" w:lineRule="exact"/>
              <w:rPr>
                <w:sz w:val="20"/>
                <w:szCs w:val="20"/>
                <w:color w:val="auto"/>
              </w:rPr>
            </w:pPr>
            <w:r>
              <w:rPr>
                <w:rFonts w:ascii="Arial" w:cs="Arial" w:eastAsia="Arial" w:hAnsi="Arial"/>
                <w:sz w:val="13"/>
                <w:szCs w:val="13"/>
                <w:color w:val="auto"/>
              </w:rPr>
              <w:t>None</w:t>
            </w:r>
          </w:p>
        </w:tc>
        <w:tc>
          <w:tcPr>
            <w:tcW w:w="0" w:type="dxa"/>
            <w:vAlign w:val="bottom"/>
          </w:tcPr>
          <w:p>
            <w:pPr>
              <w:spacing w:after="0"/>
              <w:rPr>
                <w:sz w:val="1"/>
                <w:szCs w:val="1"/>
                <w:color w:val="auto"/>
              </w:rPr>
            </w:pPr>
          </w:p>
        </w:tc>
      </w:tr>
      <w:tr>
        <w:trPr>
          <w:trHeight w:val="131"/>
        </w:trPr>
        <w:tc>
          <w:tcPr>
            <w:tcW w:w="3780" w:type="dxa"/>
            <w:vAlign w:val="bottom"/>
            <w:shd w:val="clear" w:color="auto" w:fill="D8D8D8"/>
          </w:tcPr>
          <w:p>
            <w:pPr>
              <w:ind w:left="100"/>
              <w:spacing w:after="0" w:line="131" w:lineRule="exact"/>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March 2018</w:t>
            </w:r>
          </w:p>
        </w:tc>
        <w:tc>
          <w:tcPr>
            <w:tcW w:w="4260" w:type="dxa"/>
            <w:vAlign w:val="bottom"/>
            <w:gridSpan w:val="2"/>
            <w:vMerge w:val="restart"/>
            <w:shd w:val="clear" w:color="auto" w:fill="D8D8D8"/>
          </w:tcPr>
          <w:p>
            <w:pPr>
              <w:ind w:left="520"/>
              <w:spacing w:after="0"/>
              <w:rPr>
                <w:sz w:val="20"/>
                <w:szCs w:val="20"/>
                <w:color w:val="auto"/>
              </w:rPr>
            </w:pPr>
            <w:r>
              <w:rPr>
                <w:rFonts w:ascii="Arial" w:cs="Arial" w:eastAsia="Arial" w:hAnsi="Arial"/>
                <w:sz w:val="13"/>
                <w:szCs w:val="13"/>
                <w:b w:val="1"/>
                <w:bCs w:val="1"/>
                <w:color w:val="auto"/>
              </w:rPr>
              <w:t>Other Directorships and Memberships:</w:t>
            </w:r>
          </w:p>
        </w:tc>
        <w:tc>
          <w:tcPr>
            <w:tcW w:w="0" w:type="dxa"/>
            <w:vAlign w:val="bottom"/>
          </w:tcPr>
          <w:p>
            <w:pPr>
              <w:spacing w:after="0"/>
              <w:rPr>
                <w:sz w:val="1"/>
                <w:szCs w:val="1"/>
                <w:color w:val="auto"/>
              </w:rPr>
            </w:pPr>
          </w:p>
        </w:tc>
      </w:tr>
      <w:tr>
        <w:trPr>
          <w:trHeight w:val="148"/>
        </w:trPr>
        <w:tc>
          <w:tcPr>
            <w:tcW w:w="3780" w:type="dxa"/>
            <w:vAlign w:val="bottom"/>
            <w:shd w:val="clear" w:color="auto" w:fill="D8D8D8"/>
          </w:tcPr>
          <w:p>
            <w:pPr>
              <w:ind w:left="100"/>
              <w:spacing w:after="0"/>
              <w:rPr>
                <w:sz w:val="20"/>
                <w:szCs w:val="20"/>
                <w:color w:val="auto"/>
              </w:rPr>
            </w:pPr>
            <w:r>
              <w:rPr>
                <w:rFonts w:ascii="Arial" w:cs="Arial" w:eastAsia="Arial" w:hAnsi="Arial"/>
                <w:sz w:val="13"/>
                <w:szCs w:val="13"/>
                <w:b w:val="1"/>
                <w:bCs w:val="1"/>
                <w:color w:val="auto"/>
              </w:rPr>
              <w:t xml:space="preserve">Independent: </w:t>
            </w:r>
            <w:r>
              <w:rPr>
                <w:rFonts w:ascii="Arial" w:cs="Arial" w:eastAsia="Arial" w:hAnsi="Arial"/>
                <w:sz w:val="13"/>
                <w:szCs w:val="13"/>
                <w:color w:val="auto"/>
              </w:rPr>
              <w:t>Yes</w:t>
            </w:r>
          </w:p>
        </w:tc>
        <w:tc>
          <w:tcPr>
            <w:tcW w:w="4260" w:type="dxa"/>
            <w:vAlign w:val="bottom"/>
            <w:gridSpan w:val="2"/>
            <w:vMerge w:val="continue"/>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shd w:val="clear" w:color="auto" w:fill="D8D8D8"/>
          </w:tcPr>
          <w:p>
            <w:pPr>
              <w:ind w:left="100"/>
              <w:spacing w:after="0"/>
              <w:rPr>
                <w:sz w:val="20"/>
                <w:szCs w:val="20"/>
                <w:color w:val="auto"/>
              </w:rPr>
            </w:pPr>
            <w:r>
              <w:rPr>
                <w:rFonts w:ascii="Arial" w:cs="Arial" w:eastAsia="Arial" w:hAnsi="Arial"/>
                <w:sz w:val="13"/>
                <w:szCs w:val="13"/>
                <w:b w:val="1"/>
                <w:bCs w:val="1"/>
                <w:color w:val="auto"/>
              </w:rPr>
              <w:t>Chevron Committees:</w:t>
            </w:r>
          </w:p>
        </w:tc>
        <w:tc>
          <w:tcPr>
            <w:tcW w:w="620" w:type="dxa"/>
            <w:vAlign w:val="bottom"/>
            <w:shd w:val="clear" w:color="auto" w:fill="D8D8D8"/>
          </w:tcPr>
          <w:p>
            <w:pPr>
              <w:ind w:left="520"/>
              <w:spacing w:after="0" w:line="135" w:lineRule="exact"/>
              <w:rPr>
                <w:sz w:val="20"/>
                <w:szCs w:val="20"/>
                <w:color w:val="auto"/>
              </w:rPr>
            </w:pPr>
            <w:r>
              <w:rPr>
                <w:rFonts w:ascii="Arial" w:cs="Arial" w:eastAsia="Arial" w:hAnsi="Arial"/>
                <w:sz w:val="13"/>
                <w:szCs w:val="13"/>
                <w:color w:val="auto"/>
              </w:rPr>
              <w:t>•</w:t>
            </w:r>
          </w:p>
        </w:tc>
        <w:tc>
          <w:tcPr>
            <w:tcW w:w="3640" w:type="dxa"/>
            <w:vAlign w:val="bottom"/>
            <w:shd w:val="clear" w:color="auto" w:fill="D8D8D8"/>
          </w:tcPr>
          <w:p>
            <w:pPr>
              <w:ind w:left="60"/>
              <w:spacing w:after="0" w:line="135" w:lineRule="exact"/>
              <w:rPr>
                <w:sz w:val="20"/>
                <w:szCs w:val="20"/>
                <w:color w:val="auto"/>
              </w:rPr>
            </w:pPr>
            <w:r>
              <w:rPr>
                <w:rFonts w:ascii="Arial" w:cs="Arial" w:eastAsia="Arial" w:hAnsi="Arial"/>
                <w:sz w:val="13"/>
                <w:szCs w:val="13"/>
                <w:color w:val="auto"/>
              </w:rPr>
              <w:t>Business Roundtable</w:t>
            </w:r>
          </w:p>
        </w:tc>
        <w:tc>
          <w:tcPr>
            <w:tcW w:w="0" w:type="dxa"/>
            <w:vAlign w:val="bottom"/>
          </w:tcPr>
          <w:p>
            <w:pPr>
              <w:spacing w:after="0"/>
              <w:rPr>
                <w:sz w:val="1"/>
                <w:szCs w:val="1"/>
                <w:color w:val="auto"/>
              </w:rPr>
            </w:pPr>
          </w:p>
        </w:tc>
      </w:tr>
      <w:tr>
        <w:trPr>
          <w:trHeight w:val="126"/>
        </w:trPr>
        <w:tc>
          <w:tcPr>
            <w:tcW w:w="3780" w:type="dxa"/>
            <w:vAlign w:val="bottom"/>
            <w:vMerge w:val="continue"/>
            <w:shd w:val="clear" w:color="auto" w:fill="D8D8D8"/>
          </w:tcPr>
          <w:p>
            <w:pPr>
              <w:spacing w:after="0"/>
              <w:rPr>
                <w:sz w:val="10"/>
                <w:szCs w:val="10"/>
                <w:color w:val="auto"/>
              </w:rPr>
            </w:pPr>
          </w:p>
        </w:tc>
        <w:tc>
          <w:tcPr>
            <w:tcW w:w="620" w:type="dxa"/>
            <w:vAlign w:val="bottom"/>
            <w:shd w:val="clear" w:color="auto" w:fill="D8D8D8"/>
          </w:tcPr>
          <w:p>
            <w:pPr>
              <w:ind w:left="520"/>
              <w:spacing w:after="0" w:line="126" w:lineRule="exact"/>
              <w:rPr>
                <w:sz w:val="20"/>
                <w:szCs w:val="20"/>
                <w:color w:val="auto"/>
              </w:rPr>
            </w:pPr>
            <w:r>
              <w:rPr>
                <w:rFonts w:ascii="Arial" w:cs="Arial" w:eastAsia="Arial" w:hAnsi="Arial"/>
                <w:sz w:val="13"/>
                <w:szCs w:val="13"/>
                <w:color w:val="auto"/>
              </w:rPr>
              <w:t>•</w:t>
            </w:r>
          </w:p>
        </w:tc>
        <w:tc>
          <w:tcPr>
            <w:tcW w:w="3640" w:type="dxa"/>
            <w:vAlign w:val="bottom"/>
            <w:shd w:val="clear" w:color="auto" w:fill="D8D8D8"/>
          </w:tcPr>
          <w:p>
            <w:pPr>
              <w:ind w:left="60"/>
              <w:spacing w:after="0" w:line="126" w:lineRule="exact"/>
              <w:rPr>
                <w:sz w:val="20"/>
                <w:szCs w:val="20"/>
                <w:color w:val="auto"/>
              </w:rPr>
            </w:pPr>
            <w:r>
              <w:rPr>
                <w:rFonts w:ascii="Arial" w:cs="Arial" w:eastAsia="Arial" w:hAnsi="Arial"/>
                <w:sz w:val="13"/>
                <w:szCs w:val="13"/>
                <w:color w:val="auto"/>
              </w:rPr>
              <w:t>The Business Council</w:t>
            </w:r>
          </w:p>
        </w:tc>
        <w:tc>
          <w:tcPr>
            <w:tcW w:w="0" w:type="dxa"/>
            <w:vAlign w:val="bottom"/>
          </w:tcPr>
          <w:p>
            <w:pPr>
              <w:spacing w:after="0"/>
              <w:rPr>
                <w:sz w:val="1"/>
                <w:szCs w:val="1"/>
                <w:color w:val="auto"/>
              </w:rPr>
            </w:pPr>
          </w:p>
        </w:tc>
      </w:tr>
      <w:tr>
        <w:trPr>
          <w:trHeight w:val="135"/>
        </w:trPr>
        <w:tc>
          <w:tcPr>
            <w:tcW w:w="3780" w:type="dxa"/>
            <w:vAlign w:val="bottom"/>
            <w:shd w:val="clear" w:color="auto" w:fill="D8D8D8"/>
          </w:tcPr>
          <w:p>
            <w:pPr>
              <w:ind w:left="100"/>
              <w:spacing w:after="0" w:line="135" w:lineRule="exact"/>
              <w:rPr>
                <w:sz w:val="20"/>
                <w:szCs w:val="20"/>
                <w:color w:val="auto"/>
              </w:rPr>
            </w:pPr>
            <w:r>
              <w:rPr>
                <w:rFonts w:ascii="Arial" w:cs="Arial" w:eastAsia="Arial" w:hAnsi="Arial"/>
                <w:sz w:val="13"/>
                <w:szCs w:val="13"/>
                <w:color w:val="auto"/>
              </w:rPr>
              <w:t>•  Board Nominating and Governance</w:t>
            </w:r>
          </w:p>
        </w:tc>
        <w:tc>
          <w:tcPr>
            <w:tcW w:w="620" w:type="dxa"/>
            <w:vAlign w:val="bottom"/>
            <w:shd w:val="clear" w:color="auto" w:fill="D8D8D8"/>
          </w:tcPr>
          <w:p>
            <w:pPr>
              <w:ind w:left="520"/>
              <w:spacing w:after="0" w:line="135" w:lineRule="exact"/>
              <w:rPr>
                <w:sz w:val="20"/>
                <w:szCs w:val="20"/>
                <w:color w:val="auto"/>
              </w:rPr>
            </w:pPr>
            <w:r>
              <w:rPr>
                <w:rFonts w:ascii="Arial" w:cs="Arial" w:eastAsia="Arial" w:hAnsi="Arial"/>
                <w:sz w:val="13"/>
                <w:szCs w:val="13"/>
                <w:color w:val="auto"/>
              </w:rPr>
              <w:t>•</w:t>
            </w:r>
          </w:p>
        </w:tc>
        <w:tc>
          <w:tcPr>
            <w:tcW w:w="3640" w:type="dxa"/>
            <w:vAlign w:val="bottom"/>
            <w:shd w:val="clear" w:color="auto" w:fill="D8D8D8"/>
          </w:tcPr>
          <w:p>
            <w:pPr>
              <w:ind w:left="60"/>
              <w:spacing w:after="0" w:line="135" w:lineRule="exact"/>
              <w:rPr>
                <w:sz w:val="20"/>
                <w:szCs w:val="20"/>
                <w:color w:val="auto"/>
              </w:rPr>
            </w:pPr>
            <w:r>
              <w:rPr>
                <w:rFonts w:ascii="Arial" w:cs="Arial" w:eastAsia="Arial" w:hAnsi="Arial"/>
                <w:sz w:val="13"/>
                <w:szCs w:val="13"/>
                <w:color w:val="auto"/>
              </w:rPr>
              <w:t>National Petroleum Council</w:t>
            </w:r>
          </w:p>
        </w:tc>
        <w:tc>
          <w:tcPr>
            <w:tcW w:w="0" w:type="dxa"/>
            <w:vAlign w:val="bottom"/>
          </w:tcPr>
          <w:p>
            <w:pPr>
              <w:spacing w:after="0"/>
              <w:rPr>
                <w:sz w:val="1"/>
                <w:szCs w:val="1"/>
                <w:color w:val="auto"/>
              </w:rPr>
            </w:pPr>
          </w:p>
        </w:tc>
      </w:tr>
      <w:tr>
        <w:trPr>
          <w:trHeight w:val="144"/>
        </w:trPr>
        <w:tc>
          <w:tcPr>
            <w:tcW w:w="3780" w:type="dxa"/>
            <w:vAlign w:val="bottom"/>
            <w:shd w:val="clear" w:color="auto" w:fill="D8D8D8"/>
          </w:tcPr>
          <w:p>
            <w:pPr>
              <w:ind w:left="100"/>
              <w:spacing w:after="0" w:line="144" w:lineRule="exact"/>
              <w:rPr>
                <w:sz w:val="20"/>
                <w:szCs w:val="20"/>
                <w:color w:val="auto"/>
              </w:rPr>
            </w:pPr>
            <w:r>
              <w:rPr>
                <w:rFonts w:ascii="Arial" w:cs="Arial" w:eastAsia="Arial" w:hAnsi="Arial"/>
                <w:sz w:val="13"/>
                <w:szCs w:val="13"/>
                <w:color w:val="auto"/>
              </w:rPr>
              <w:t>•  Public Policy and Sustainability</w:t>
            </w:r>
          </w:p>
        </w:tc>
        <w:tc>
          <w:tcPr>
            <w:tcW w:w="4260" w:type="dxa"/>
            <w:vAlign w:val="bottom"/>
            <w:gridSpan w:val="2"/>
            <w:shd w:val="clear" w:color="auto" w:fill="D8D8D8"/>
          </w:tcPr>
          <w:p>
            <w:pPr>
              <w:ind w:left="520"/>
              <w:spacing w:after="0" w:line="144" w:lineRule="exact"/>
              <w:rPr>
                <w:sz w:val="20"/>
                <w:szCs w:val="20"/>
                <w:color w:val="auto"/>
              </w:rPr>
            </w:pPr>
            <w:r>
              <w:rPr>
                <w:rFonts w:ascii="Arial" w:cs="Arial" w:eastAsia="Arial" w:hAnsi="Arial"/>
                <w:sz w:val="13"/>
                <w:szCs w:val="13"/>
                <w:color w:val="auto"/>
              </w:rPr>
              <w:t>•  Peterson Institute for International Economics</w:t>
            </w:r>
          </w:p>
        </w:tc>
        <w:tc>
          <w:tcPr>
            <w:tcW w:w="0" w:type="dxa"/>
            <w:vAlign w:val="bottom"/>
          </w:tcPr>
          <w:p>
            <w:pPr>
              <w:spacing w:after="0"/>
              <w:rPr>
                <w:sz w:val="1"/>
                <w:szCs w:val="1"/>
                <w:color w:val="auto"/>
              </w:rPr>
            </w:pPr>
          </w:p>
        </w:tc>
      </w:tr>
      <w:tr>
        <w:trPr>
          <w:trHeight w:val="135"/>
        </w:trPr>
        <w:tc>
          <w:tcPr>
            <w:tcW w:w="3780" w:type="dxa"/>
            <w:vAlign w:val="bottom"/>
            <w:vMerge w:val="restart"/>
            <w:shd w:val="clear" w:color="auto" w:fill="D8D8D8"/>
          </w:tcPr>
          <w:p>
            <w:pPr>
              <w:ind w:left="100"/>
              <w:spacing w:after="0"/>
              <w:rPr>
                <w:sz w:val="20"/>
                <w:szCs w:val="20"/>
                <w:color w:val="auto"/>
              </w:rPr>
            </w:pPr>
            <w:r>
              <w:rPr>
                <w:rFonts w:ascii="Arial" w:cs="Arial" w:eastAsia="Arial" w:hAnsi="Arial"/>
                <w:sz w:val="13"/>
                <w:szCs w:val="13"/>
                <w:b w:val="1"/>
                <w:bCs w:val="1"/>
                <w:color w:val="auto"/>
              </w:rPr>
              <w:t>Current Public Company Directorships:</w:t>
            </w:r>
          </w:p>
        </w:tc>
        <w:tc>
          <w:tcPr>
            <w:tcW w:w="4260" w:type="dxa"/>
            <w:vAlign w:val="bottom"/>
            <w:gridSpan w:val="2"/>
            <w:shd w:val="clear" w:color="auto" w:fill="D8D8D8"/>
          </w:tcPr>
          <w:p>
            <w:pPr>
              <w:ind w:left="520"/>
              <w:spacing w:after="0" w:line="135" w:lineRule="exact"/>
              <w:rPr>
                <w:sz w:val="20"/>
                <w:szCs w:val="20"/>
                <w:color w:val="auto"/>
              </w:rPr>
            </w:pPr>
            <w:r>
              <w:rPr>
                <w:rFonts w:ascii="Arial" w:cs="Arial" w:eastAsia="Arial" w:hAnsi="Arial"/>
                <w:sz w:val="13"/>
                <w:szCs w:val="13"/>
                <w:color w:val="auto"/>
              </w:rPr>
              <w:t>•  Rose-Hulman Institute of Technology</w:t>
            </w:r>
          </w:p>
        </w:tc>
        <w:tc>
          <w:tcPr>
            <w:tcW w:w="0" w:type="dxa"/>
            <w:vAlign w:val="bottom"/>
          </w:tcPr>
          <w:p>
            <w:pPr>
              <w:spacing w:after="0"/>
              <w:rPr>
                <w:sz w:val="1"/>
                <w:szCs w:val="1"/>
                <w:color w:val="auto"/>
              </w:rPr>
            </w:pPr>
          </w:p>
        </w:tc>
      </w:tr>
      <w:tr>
        <w:trPr>
          <w:trHeight w:val="126"/>
        </w:trPr>
        <w:tc>
          <w:tcPr>
            <w:tcW w:w="3780" w:type="dxa"/>
            <w:vAlign w:val="bottom"/>
            <w:vMerge w:val="continue"/>
            <w:shd w:val="clear" w:color="auto" w:fill="D8D8D8"/>
          </w:tcPr>
          <w:p>
            <w:pPr>
              <w:spacing w:after="0"/>
              <w:rPr>
                <w:sz w:val="10"/>
                <w:szCs w:val="10"/>
                <w:color w:val="auto"/>
              </w:rPr>
            </w:pPr>
          </w:p>
        </w:tc>
        <w:tc>
          <w:tcPr>
            <w:tcW w:w="620" w:type="dxa"/>
            <w:vAlign w:val="bottom"/>
            <w:shd w:val="clear" w:color="auto" w:fill="D8D8D8"/>
          </w:tcPr>
          <w:p>
            <w:pPr>
              <w:ind w:left="520"/>
              <w:spacing w:after="0" w:line="126" w:lineRule="exact"/>
              <w:rPr>
                <w:sz w:val="20"/>
                <w:szCs w:val="20"/>
                <w:color w:val="auto"/>
              </w:rPr>
            </w:pPr>
            <w:r>
              <w:rPr>
                <w:rFonts w:ascii="Arial" w:cs="Arial" w:eastAsia="Arial" w:hAnsi="Arial"/>
                <w:sz w:val="13"/>
                <w:szCs w:val="13"/>
                <w:color w:val="auto"/>
              </w:rPr>
              <w:t>•</w:t>
            </w:r>
          </w:p>
        </w:tc>
        <w:tc>
          <w:tcPr>
            <w:tcW w:w="3640" w:type="dxa"/>
            <w:vAlign w:val="bottom"/>
            <w:shd w:val="clear" w:color="auto" w:fill="D8D8D8"/>
          </w:tcPr>
          <w:p>
            <w:pPr>
              <w:ind w:left="60"/>
              <w:spacing w:after="0" w:line="126" w:lineRule="exact"/>
              <w:rPr>
                <w:sz w:val="20"/>
                <w:szCs w:val="20"/>
                <w:color w:val="auto"/>
              </w:rPr>
            </w:pPr>
            <w:r>
              <w:rPr>
                <w:rFonts w:ascii="Arial" w:cs="Arial" w:eastAsia="Arial" w:hAnsi="Arial"/>
                <w:sz w:val="13"/>
                <w:szCs w:val="13"/>
                <w:color w:val="auto"/>
              </w:rPr>
              <w:t>U.S.-China Business Council</w:t>
            </w:r>
          </w:p>
        </w:tc>
        <w:tc>
          <w:tcPr>
            <w:tcW w:w="0" w:type="dxa"/>
            <w:vAlign w:val="bottom"/>
          </w:tcPr>
          <w:p>
            <w:pPr>
              <w:spacing w:after="0"/>
              <w:rPr>
                <w:sz w:val="1"/>
                <w:szCs w:val="1"/>
                <w:color w:val="auto"/>
              </w:rPr>
            </w:pPr>
          </w:p>
        </w:tc>
      </w:tr>
      <w:tr>
        <w:trPr>
          <w:trHeight w:val="175"/>
        </w:trPr>
        <w:tc>
          <w:tcPr>
            <w:tcW w:w="3780" w:type="dxa"/>
            <w:vAlign w:val="bottom"/>
            <w:shd w:val="clear" w:color="auto" w:fill="D8D8D8"/>
          </w:tcPr>
          <w:p>
            <w:pPr>
              <w:ind w:left="100"/>
              <w:spacing w:after="0"/>
              <w:rPr>
                <w:sz w:val="20"/>
                <w:szCs w:val="20"/>
                <w:color w:val="auto"/>
              </w:rPr>
            </w:pPr>
            <w:r>
              <w:rPr>
                <w:rFonts w:ascii="Arial" w:cs="Arial" w:eastAsia="Arial" w:hAnsi="Arial"/>
                <w:sz w:val="13"/>
                <w:szCs w:val="13"/>
                <w:color w:val="auto"/>
              </w:rPr>
              <w:t>•  Caterpillar Inc.</w:t>
            </w:r>
          </w:p>
        </w:tc>
        <w:tc>
          <w:tcPr>
            <w:tcW w:w="4260" w:type="dxa"/>
            <w:vAlign w:val="bottom"/>
            <w:gridSpan w:val="2"/>
            <w:shd w:val="clear" w:color="auto" w:fill="D8D8D8"/>
          </w:tcPr>
          <w:p>
            <w:pPr>
              <w:ind w:left="520"/>
              <w:spacing w:after="0"/>
              <w:rPr>
                <w:sz w:val="20"/>
                <w:szCs w:val="20"/>
                <w:color w:val="auto"/>
              </w:rPr>
            </w:pPr>
            <w:r>
              <w:rPr>
                <w:rFonts w:ascii="Arial" w:cs="Arial" w:eastAsia="Arial" w:hAnsi="Arial"/>
                <w:sz w:val="13"/>
                <w:szCs w:val="13"/>
                <w:color w:val="auto"/>
              </w:rPr>
              <w:t>•  U.S.-India Strategic Partnership Forum</w:t>
            </w:r>
          </w:p>
        </w:tc>
        <w:tc>
          <w:tcPr>
            <w:tcW w:w="0" w:type="dxa"/>
            <w:vAlign w:val="bottom"/>
          </w:tcPr>
          <w:p>
            <w:pPr>
              <w:spacing w:after="0"/>
              <w:rPr>
                <w:sz w:val="1"/>
                <w:szCs w:val="1"/>
                <w:color w:val="auto"/>
              </w:rPr>
            </w:pPr>
          </w:p>
        </w:tc>
      </w:tr>
      <w:tr>
        <w:trPr>
          <w:trHeight w:val="783"/>
        </w:trPr>
        <w:tc>
          <w:tcPr>
            <w:tcW w:w="3780" w:type="dxa"/>
            <w:vAlign w:val="bottom"/>
            <w:shd w:val="clear" w:color="auto" w:fill="D8D8D8"/>
          </w:tcPr>
          <w:p>
            <w:pPr>
              <w:spacing w:after="0"/>
              <w:rPr>
                <w:sz w:val="24"/>
                <w:szCs w:val="24"/>
                <w:color w:val="auto"/>
              </w:rPr>
            </w:pPr>
          </w:p>
        </w:tc>
        <w:tc>
          <w:tcPr>
            <w:tcW w:w="620" w:type="dxa"/>
            <w:vAlign w:val="bottom"/>
            <w:shd w:val="clear" w:color="auto" w:fill="D8D8D8"/>
          </w:tcPr>
          <w:p>
            <w:pPr>
              <w:spacing w:after="0"/>
              <w:rPr>
                <w:sz w:val="24"/>
                <w:szCs w:val="24"/>
                <w:color w:val="auto"/>
              </w:rPr>
            </w:pPr>
          </w:p>
        </w:tc>
        <w:tc>
          <w:tcPr>
            <w:tcW w:w="364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-1696720</wp:posOffset>
            </wp:positionV>
            <wp:extent cx="17145" cy="16973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 cy="16973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-1696720</wp:posOffset>
            </wp:positionV>
            <wp:extent cx="1903095" cy="16973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03095" cy="1697355"/>
                    </a:xfrm>
                    <a:prstGeom prst="rect">
                      <a:avLst/>
                    </a:prstGeom>
                    <a:noFill/>
                  </pic:spPr>
                </pic:pic>
              </a:graphicData>
            </a:graphic>
          </wp:anchor>
        </w:drawing>
      </w:r>
    </w:p>
    <w:p>
      <w:pPr>
        <w:spacing w:after="0" w:line="74"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b w:val="1"/>
          <w:bCs w:val="1"/>
          <w:color w:val="auto"/>
        </w:rPr>
        <w:t xml:space="preserve">Mr. Umpleby </w:t>
      </w:r>
      <w:r>
        <w:rPr>
          <w:rFonts w:ascii="Arial" w:cs="Arial" w:eastAsia="Arial" w:hAnsi="Arial"/>
          <w:sz w:val="16"/>
          <w:szCs w:val="16"/>
          <w:color w:val="auto"/>
        </w:rPr>
        <w:t>has been Chairman since 2018, and Chief Executive Officer since 2017, of Caterpillar Inc. (“Caterpillar”), a leading manufacturer of</w:t>
      </w:r>
      <w:r>
        <w:rPr>
          <w:rFonts w:ascii="Arial" w:cs="Arial" w:eastAsia="Arial" w:hAnsi="Arial"/>
          <w:sz w:val="16"/>
          <w:szCs w:val="16"/>
          <w:b w:val="1"/>
          <w:bCs w:val="1"/>
          <w:color w:val="auto"/>
        </w:rPr>
        <w:t xml:space="preserve"> </w:t>
      </w:r>
      <w:r>
        <w:rPr>
          <w:rFonts w:ascii="Arial" w:cs="Arial" w:eastAsia="Arial" w:hAnsi="Arial"/>
          <w:sz w:val="16"/>
          <w:szCs w:val="16"/>
          <w:color w:val="auto"/>
        </w:rPr>
        <w:t>construction and mining equipment, diesel and natural gas engines, industrial gas turbines, and diesel-electric locomotives. He was Group President of Caterpillar from 2013 until 2016, with responsibility for Caterpillar’s energy and transportation business segment, and Vice President from 2010 to 2013. He joined Solar Turbines Incorporated, now a Caterpillar subsidiary, in 1980 as an associate engineer.</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Skills and qualifications</w:t>
      </w:r>
    </w:p>
    <w:p>
      <w:pPr>
        <w:spacing w:after="0" w:line="58" w:lineRule="exact"/>
        <w:rPr>
          <w:sz w:val="20"/>
          <w:szCs w:val="20"/>
          <w:color w:val="auto"/>
        </w:rPr>
      </w:pPr>
    </w:p>
    <w:p>
      <w:pPr>
        <w:ind w:left="120" w:right="320"/>
        <w:spacing w:after="0" w:line="286" w:lineRule="auto"/>
        <w:rPr>
          <w:sz w:val="20"/>
          <w:szCs w:val="20"/>
          <w:color w:val="auto"/>
        </w:rPr>
      </w:pPr>
      <w:r>
        <w:rPr>
          <w:rFonts w:ascii="Arial" w:cs="Arial" w:eastAsia="Arial" w:hAnsi="Arial"/>
          <w:sz w:val="16"/>
          <w:szCs w:val="16"/>
          <w:b w:val="1"/>
          <w:bCs w:val="1"/>
          <w:color w:val="auto"/>
        </w:rPr>
        <w:t xml:space="preserve">Business Leadership/Operations: </w:t>
      </w:r>
      <w:r>
        <w:rPr>
          <w:rFonts w:ascii="Arial" w:cs="Arial" w:eastAsia="Arial" w:hAnsi="Arial"/>
          <w:sz w:val="16"/>
          <w:szCs w:val="16"/>
          <w:color w:val="auto"/>
        </w:rPr>
        <w:t>Chairman and CEO of Fortune 100 company. More than three decades of experience in senior management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positions at Caterpillar, including responsibility for engineering, manufacturing, marketing, sales, and services.</w:t>
      </w:r>
    </w:p>
    <w:p>
      <w:pPr>
        <w:spacing w:after="0" w:line="48"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b w:val="1"/>
          <w:bCs w:val="1"/>
          <w:color w:val="auto"/>
        </w:rPr>
        <w:t xml:space="preserve">Environmental Affairs: </w:t>
      </w:r>
      <w:r>
        <w:rPr>
          <w:rFonts w:ascii="Arial" w:cs="Arial" w:eastAsia="Arial" w:hAnsi="Arial"/>
          <w:sz w:val="16"/>
          <w:szCs w:val="16"/>
          <w:color w:val="auto"/>
        </w:rPr>
        <w:t>As Chairman and CEO of Caterpillar, oversees all aspects of Caterpillar’s environmental and sustainability policies and</w:t>
      </w:r>
      <w:r>
        <w:rPr>
          <w:rFonts w:ascii="Arial" w:cs="Arial" w:eastAsia="Arial" w:hAnsi="Arial"/>
          <w:sz w:val="16"/>
          <w:szCs w:val="16"/>
          <w:b w:val="1"/>
          <w:bCs w:val="1"/>
          <w:color w:val="auto"/>
        </w:rPr>
        <w:t xml:space="preserve"> </w:t>
      </w:r>
      <w:r>
        <w:rPr>
          <w:rFonts w:ascii="Arial" w:cs="Arial" w:eastAsia="Arial" w:hAnsi="Arial"/>
          <w:sz w:val="16"/>
          <w:szCs w:val="16"/>
          <w:color w:val="auto"/>
        </w:rPr>
        <w:t>strategies, which include initiatives to address challenges like preventing waste, improving the quality and efficiency of operations, developing infrastructure, and ensuring access to energy, human health, and environmental safety. Served as a member of the Latin America Conservation Council, in partnership with The Nature Conservancy, a global conservation organization. Former director of the World Resources Institute, an international research nonprofit organization working to secure a sustainable future.</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Finance: </w:t>
      </w:r>
      <w:r>
        <w:rPr>
          <w:rFonts w:ascii="Arial" w:cs="Arial" w:eastAsia="Arial" w:hAnsi="Arial"/>
          <w:sz w:val="16"/>
          <w:szCs w:val="16"/>
          <w:color w:val="auto"/>
        </w:rPr>
        <w:t>Chairman and CEO of Fortune 100 company. More than a decade of financial responsibility and experience at Caterpillar.</w:t>
      </w:r>
    </w:p>
    <w:p>
      <w:pPr>
        <w:spacing w:after="0" w:line="113"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b w:val="1"/>
          <w:bCs w:val="1"/>
          <w:color w:val="auto"/>
        </w:rPr>
        <w:t xml:space="preserve">Global Business/International Affairs: </w:t>
      </w:r>
      <w:r>
        <w:rPr>
          <w:rFonts w:ascii="Arial" w:cs="Arial" w:eastAsia="Arial" w:hAnsi="Arial"/>
          <w:sz w:val="16"/>
          <w:szCs w:val="16"/>
          <w:color w:val="auto"/>
        </w:rPr>
        <w:t>Chairman and CEO of Fortune 100 company with extensive international operations. Served in assignments at</w:t>
      </w:r>
      <w:r>
        <w:rPr>
          <w:rFonts w:ascii="Arial" w:cs="Arial" w:eastAsia="Arial" w:hAnsi="Arial"/>
          <w:sz w:val="16"/>
          <w:szCs w:val="16"/>
          <w:b w:val="1"/>
          <w:bCs w:val="1"/>
          <w:color w:val="auto"/>
        </w:rPr>
        <w:t xml:space="preserve"> </w:t>
      </w:r>
      <w:r>
        <w:rPr>
          <w:rFonts w:ascii="Arial" w:cs="Arial" w:eastAsia="Arial" w:hAnsi="Arial"/>
          <w:sz w:val="16"/>
          <w:szCs w:val="16"/>
          <w:color w:val="auto"/>
        </w:rPr>
        <w:t>Caterpillar in Singapore and Kuala Lumpur from 1984 to 1990. Director of the Peterson Institute for International Economics, the U.S.-China Business Council, and the U.S.-India Business Strategic Partnership Forum and a former member of the U.S.-India CEO Forum.</w:t>
      </w:r>
    </w:p>
    <w:p>
      <w:pPr>
        <w:spacing w:after="0" w:line="63" w:lineRule="exact"/>
        <w:rPr>
          <w:sz w:val="20"/>
          <w:szCs w:val="20"/>
          <w:color w:val="auto"/>
        </w:rPr>
      </w:pPr>
    </w:p>
    <w:p>
      <w:pPr>
        <w:ind w:left="120" w:right="280"/>
        <w:spacing w:after="0" w:line="254" w:lineRule="auto"/>
        <w:rPr>
          <w:sz w:val="20"/>
          <w:szCs w:val="20"/>
          <w:color w:val="auto"/>
        </w:rPr>
      </w:pPr>
      <w:r>
        <w:rPr>
          <w:rFonts w:ascii="Arial" w:cs="Arial" w:eastAsia="Arial" w:hAnsi="Arial"/>
          <w:sz w:val="16"/>
          <w:szCs w:val="16"/>
          <w:b w:val="1"/>
          <w:bCs w:val="1"/>
          <w:color w:val="auto"/>
        </w:rPr>
        <w:t xml:space="preserve">Leading Business Transformation: </w:t>
      </w:r>
      <w:r>
        <w:rPr>
          <w:rFonts w:ascii="Arial" w:cs="Arial" w:eastAsia="Arial" w:hAnsi="Arial"/>
          <w:sz w:val="16"/>
          <w:szCs w:val="16"/>
          <w:color w:val="auto"/>
        </w:rPr>
        <w:t>As Chairman and CEO of Caterpillar, led global team to develop new enterprise strategy for long-term profitable</w:t>
      </w:r>
      <w:r>
        <w:rPr>
          <w:rFonts w:ascii="Arial" w:cs="Arial" w:eastAsia="Arial" w:hAnsi="Arial"/>
          <w:sz w:val="16"/>
          <w:szCs w:val="16"/>
          <w:b w:val="1"/>
          <w:bCs w:val="1"/>
          <w:color w:val="auto"/>
        </w:rPr>
        <w:t xml:space="preserve"> </w:t>
      </w:r>
      <w:r>
        <w:rPr>
          <w:rFonts w:ascii="Arial" w:cs="Arial" w:eastAsia="Arial" w:hAnsi="Arial"/>
          <w:sz w:val="16"/>
          <w:szCs w:val="16"/>
          <w:color w:val="auto"/>
        </w:rPr>
        <w:t>growth focused on operational excellence, expanded offerings, sustainability and services, including accelerating expansion of commercial offerings to satisfy customer needs, growing services sales by more than 30% since 2016. In alignment with strategy, drove enterprise-wide improvement of operational performance with deployment of Caterpillar Operating &amp; Execution Model across the company to prioritize resource allocation for future profitable growth. Improvements have resulted in 2021 adjusted profit per share that more than tripled compared to adjusted profit per share in 2016, while sales and revenues for the same period increased approximately 30 percent.</w:t>
      </w:r>
    </w:p>
    <w:p>
      <w:pPr>
        <w:spacing w:after="0" w:line="74" w:lineRule="exact"/>
        <w:rPr>
          <w:sz w:val="20"/>
          <w:szCs w:val="20"/>
          <w:color w:val="auto"/>
        </w:rPr>
      </w:pPr>
    </w:p>
    <w:p>
      <w:pPr>
        <w:ind w:left="120" w:right="420"/>
        <w:spacing w:after="0" w:line="286" w:lineRule="auto"/>
        <w:rPr>
          <w:sz w:val="20"/>
          <w:szCs w:val="20"/>
          <w:color w:val="auto"/>
        </w:rPr>
      </w:pPr>
      <w:r>
        <w:rPr>
          <w:rFonts w:ascii="Arial" w:cs="Arial" w:eastAsia="Arial" w:hAnsi="Arial"/>
          <w:sz w:val="16"/>
          <w:szCs w:val="16"/>
          <w:b w:val="1"/>
          <w:bCs w:val="1"/>
          <w:color w:val="auto"/>
        </w:rPr>
        <w:t xml:space="preserve">Science/Technology/Engineering: </w:t>
      </w:r>
      <w:r>
        <w:rPr>
          <w:rFonts w:ascii="Arial" w:cs="Arial" w:eastAsia="Arial" w:hAnsi="Arial"/>
          <w:sz w:val="16"/>
          <w:szCs w:val="16"/>
          <w:color w:val="auto"/>
        </w:rPr>
        <w:t>B.S. in Mechanical Engineering from the Rose-Hulman Institute of Technology. Has served in a variety of senior</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and executive positions at Caterpillar, requiring expertise in engineering and technology.</w:t>
      </w:r>
    </w:p>
    <w:p>
      <w:pPr>
        <w:spacing w:after="0" w:line="8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140"/>
          </w:cols>
          <w:pgMar w:left="320" w:top="455" w:right="4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208280</wp:posOffset>
            </wp:positionV>
            <wp:extent cx="133731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37310" cy="146050"/>
                    </a:xfrm>
                    <a:prstGeom prst="rect">
                      <a:avLst/>
                    </a:prstGeom>
                    <a:noFill/>
                  </pic:spPr>
                </pic:pic>
              </a:graphicData>
            </a:graphic>
          </wp:anchor>
        </w:drawing>
      </w:r>
    </w:p>
    <w:p>
      <w:pPr>
        <w:spacing w:after="0" w:line="339"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FFFFFF"/>
        </w:rPr>
        <w:t>Election of directors</w:t>
      </w:r>
    </w:p>
    <w:p>
      <w:pPr>
        <w:spacing w:after="0" w:line="179" w:lineRule="exact"/>
        <w:rPr>
          <w:sz w:val="20"/>
          <w:szCs w:val="20"/>
          <w:color w:val="auto"/>
        </w:rPr>
      </w:pPr>
    </w:p>
    <w:tbl>
      <w:tblPr>
        <w:tblLayout w:type="fixed"/>
        <w:tblInd w:w="3100" w:type="dxa"/>
        <w:tblCellMar>
          <w:top w:w="0" w:type="dxa"/>
          <w:left w:w="0" w:type="dxa"/>
          <w:bottom w:w="0" w:type="dxa"/>
          <w:right w:w="0" w:type="dxa"/>
        </w:tblCellMar>
      </w:tblPr>
      <w:tr>
        <w:trPr>
          <w:trHeight w:val="253"/>
        </w:trPr>
        <w:tc>
          <w:tcPr>
            <w:tcW w:w="3140" w:type="dxa"/>
            <w:vAlign w:val="bottom"/>
            <w:shd w:val="clear" w:color="auto" w:fill="D8D8D8"/>
          </w:tcPr>
          <w:p>
            <w:pPr>
              <w:ind w:left="60"/>
              <w:spacing w:after="0"/>
              <w:rPr>
                <w:sz w:val="20"/>
                <w:szCs w:val="20"/>
                <w:color w:val="auto"/>
              </w:rPr>
            </w:pPr>
            <w:r>
              <w:rPr>
                <w:rFonts w:ascii="Arial" w:cs="Arial" w:eastAsia="Arial" w:hAnsi="Arial"/>
                <w:sz w:val="22"/>
                <w:szCs w:val="22"/>
                <w:b w:val="1"/>
                <w:bCs w:val="1"/>
                <w:color w:val="0B2D71"/>
              </w:rPr>
              <w:t>Michael K. Wirth</w:t>
            </w:r>
          </w:p>
        </w:tc>
        <w:tc>
          <w:tcPr>
            <w:tcW w:w="4900" w:type="dxa"/>
            <w:vAlign w:val="bottom"/>
            <w:vMerge w:val="restart"/>
            <w:shd w:val="clear" w:color="auto" w:fill="D8D8D8"/>
          </w:tcPr>
          <w:p>
            <w:pPr>
              <w:ind w:left="880"/>
              <w:spacing w:after="0"/>
              <w:rPr>
                <w:sz w:val="20"/>
                <w:szCs w:val="20"/>
                <w:color w:val="auto"/>
              </w:rPr>
            </w:pPr>
            <w:r>
              <w:rPr>
                <w:rFonts w:ascii="Arial" w:cs="Arial" w:eastAsia="Arial" w:hAnsi="Arial"/>
                <w:sz w:val="12"/>
                <w:szCs w:val="12"/>
                <w:b w:val="1"/>
                <w:bCs w:val="1"/>
                <w:color w:val="auto"/>
              </w:rPr>
              <w:t>Prior Public Company Directorships</w:t>
            </w:r>
          </w:p>
        </w:tc>
        <w:tc>
          <w:tcPr>
            <w:tcW w:w="0" w:type="dxa"/>
            <w:vAlign w:val="bottom"/>
          </w:tcPr>
          <w:p>
            <w:pPr>
              <w:spacing w:after="0"/>
              <w:rPr>
                <w:sz w:val="1"/>
                <w:szCs w:val="1"/>
                <w:color w:val="auto"/>
              </w:rPr>
            </w:pPr>
          </w:p>
        </w:tc>
      </w:tr>
      <w:tr>
        <w:trPr>
          <w:trHeight w:val="123"/>
        </w:trPr>
        <w:tc>
          <w:tcPr>
            <w:tcW w:w="3140" w:type="dxa"/>
            <w:vAlign w:val="bottom"/>
            <w:shd w:val="clear" w:color="auto" w:fill="D8D8D8"/>
          </w:tcPr>
          <w:p>
            <w:pPr>
              <w:ind w:left="60"/>
              <w:spacing w:after="0" w:line="124" w:lineRule="exact"/>
              <w:rPr>
                <w:sz w:val="20"/>
                <w:szCs w:val="20"/>
                <w:color w:val="auto"/>
              </w:rPr>
            </w:pPr>
            <w:r>
              <w:rPr>
                <w:rFonts w:ascii="Arial" w:cs="Arial" w:eastAsia="Arial" w:hAnsi="Arial"/>
                <w:sz w:val="12"/>
                <w:szCs w:val="12"/>
                <w:b w:val="1"/>
                <w:bCs w:val="1"/>
                <w:color w:val="auto"/>
              </w:rPr>
              <w:t>Chairman and Chief Executive Officer,</w:t>
            </w:r>
          </w:p>
        </w:tc>
        <w:tc>
          <w:tcPr>
            <w:tcW w:w="4900" w:type="dxa"/>
            <w:vAlign w:val="bottom"/>
            <w:vMerge w:val="continue"/>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40" w:type="dxa"/>
            <w:vAlign w:val="bottom"/>
            <w:shd w:val="clear" w:color="auto" w:fill="D8D8D8"/>
          </w:tcPr>
          <w:p>
            <w:pPr>
              <w:ind w:left="60"/>
              <w:spacing w:after="0"/>
              <w:rPr>
                <w:sz w:val="20"/>
                <w:szCs w:val="20"/>
                <w:color w:val="auto"/>
              </w:rPr>
            </w:pPr>
            <w:r>
              <w:rPr>
                <w:rFonts w:ascii="Arial" w:cs="Arial" w:eastAsia="Arial" w:hAnsi="Arial"/>
                <w:sz w:val="12"/>
                <w:szCs w:val="12"/>
                <w:b w:val="1"/>
                <w:bCs w:val="1"/>
                <w:color w:val="auto"/>
              </w:rPr>
              <w:t>Chevron Corporation</w:t>
            </w:r>
          </w:p>
        </w:tc>
        <w:tc>
          <w:tcPr>
            <w:tcW w:w="4900" w:type="dxa"/>
            <w:vAlign w:val="bottom"/>
            <w:shd w:val="clear" w:color="auto" w:fill="D8D8D8"/>
          </w:tcPr>
          <w:p>
            <w:pPr>
              <w:ind w:left="880"/>
              <w:spacing w:after="0"/>
              <w:rPr>
                <w:sz w:val="20"/>
                <w:szCs w:val="20"/>
                <w:color w:val="auto"/>
              </w:rPr>
            </w:pPr>
            <w:r>
              <w:rPr>
                <w:rFonts w:ascii="Arial" w:cs="Arial" w:eastAsia="Arial" w:hAnsi="Arial"/>
                <w:sz w:val="12"/>
                <w:szCs w:val="12"/>
                <w:color w:val="auto"/>
              </w:rPr>
              <w:t>(within last five years):</w:t>
            </w:r>
          </w:p>
        </w:tc>
        <w:tc>
          <w:tcPr>
            <w:tcW w:w="0" w:type="dxa"/>
            <w:vAlign w:val="bottom"/>
          </w:tcPr>
          <w:p>
            <w:pPr>
              <w:spacing w:after="0"/>
              <w:rPr>
                <w:sz w:val="1"/>
                <w:szCs w:val="1"/>
                <w:color w:val="auto"/>
              </w:rPr>
            </w:pPr>
          </w:p>
        </w:tc>
      </w:tr>
      <w:tr>
        <w:trPr>
          <w:trHeight w:val="152"/>
        </w:trPr>
        <w:tc>
          <w:tcPr>
            <w:tcW w:w="3140" w:type="dxa"/>
            <w:vAlign w:val="bottom"/>
            <w:vMerge w:val="restart"/>
            <w:shd w:val="clear" w:color="auto" w:fill="D8D8D8"/>
          </w:tcPr>
          <w:p>
            <w:pPr>
              <w:ind w:left="60"/>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61</w:t>
            </w:r>
          </w:p>
        </w:tc>
        <w:tc>
          <w:tcPr>
            <w:tcW w:w="4900" w:type="dxa"/>
            <w:vAlign w:val="bottom"/>
            <w:shd w:val="clear" w:color="auto" w:fill="D8D8D8"/>
          </w:tcPr>
          <w:p>
            <w:pPr>
              <w:ind w:left="880"/>
              <w:spacing w:after="0"/>
              <w:rPr>
                <w:sz w:val="20"/>
                <w:szCs w:val="20"/>
                <w:color w:val="auto"/>
              </w:rPr>
            </w:pPr>
            <w:r>
              <w:rPr>
                <w:rFonts w:ascii="Arial" w:cs="Arial" w:eastAsia="Arial" w:hAnsi="Arial"/>
                <w:sz w:val="12"/>
                <w:szCs w:val="12"/>
                <w:color w:val="auto"/>
              </w:rPr>
              <w:t>• None</w:t>
            </w:r>
          </w:p>
        </w:tc>
        <w:tc>
          <w:tcPr>
            <w:tcW w:w="0" w:type="dxa"/>
            <w:vAlign w:val="bottom"/>
          </w:tcPr>
          <w:p>
            <w:pPr>
              <w:spacing w:after="0"/>
              <w:rPr>
                <w:sz w:val="1"/>
                <w:szCs w:val="1"/>
                <w:color w:val="auto"/>
              </w:rPr>
            </w:pPr>
          </w:p>
        </w:tc>
      </w:tr>
      <w:tr>
        <w:trPr>
          <w:trHeight w:val="103"/>
        </w:trPr>
        <w:tc>
          <w:tcPr>
            <w:tcW w:w="3140" w:type="dxa"/>
            <w:vAlign w:val="bottom"/>
            <w:vMerge w:val="continue"/>
            <w:shd w:val="clear" w:color="auto" w:fill="D8D8D8"/>
          </w:tcPr>
          <w:p>
            <w:pPr>
              <w:spacing w:after="0"/>
              <w:rPr>
                <w:sz w:val="8"/>
                <w:szCs w:val="8"/>
                <w:color w:val="auto"/>
              </w:rPr>
            </w:pPr>
          </w:p>
        </w:tc>
        <w:tc>
          <w:tcPr>
            <w:tcW w:w="4900" w:type="dxa"/>
            <w:vAlign w:val="bottom"/>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D8D8D8"/>
          </w:tcPr>
          <w:p>
            <w:pPr>
              <w:ind w:left="60"/>
              <w:spacing w:after="0" w:line="135" w:lineRule="exact"/>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February 2017</w:t>
            </w:r>
          </w:p>
        </w:tc>
        <w:tc>
          <w:tcPr>
            <w:tcW w:w="4900" w:type="dxa"/>
            <w:vAlign w:val="bottom"/>
            <w:shd w:val="clear" w:color="auto" w:fill="D8D8D8"/>
          </w:tcPr>
          <w:p>
            <w:pPr>
              <w:ind w:left="880"/>
              <w:spacing w:after="0" w:line="135" w:lineRule="exact"/>
              <w:rPr>
                <w:sz w:val="20"/>
                <w:szCs w:val="20"/>
                <w:color w:val="auto"/>
              </w:rPr>
            </w:pPr>
            <w:r>
              <w:rPr>
                <w:rFonts w:ascii="Arial" w:cs="Arial" w:eastAsia="Arial" w:hAnsi="Arial"/>
                <w:sz w:val="12"/>
                <w:szCs w:val="12"/>
                <w:b w:val="1"/>
                <w:bCs w:val="1"/>
                <w:color w:val="auto"/>
              </w:rPr>
              <w:t>Other Directorships and Memberships:</w:t>
            </w:r>
          </w:p>
        </w:tc>
        <w:tc>
          <w:tcPr>
            <w:tcW w:w="0" w:type="dxa"/>
            <w:vAlign w:val="bottom"/>
          </w:tcPr>
          <w:p>
            <w:pPr>
              <w:spacing w:after="0"/>
              <w:rPr>
                <w:sz w:val="1"/>
                <w:szCs w:val="1"/>
                <w:color w:val="auto"/>
              </w:rPr>
            </w:pPr>
          </w:p>
        </w:tc>
      </w:tr>
      <w:tr>
        <w:trPr>
          <w:trHeight w:val="135"/>
        </w:trPr>
        <w:tc>
          <w:tcPr>
            <w:tcW w:w="3140" w:type="dxa"/>
            <w:vAlign w:val="bottom"/>
            <w:shd w:val="clear" w:color="auto" w:fill="D8D8D8"/>
          </w:tcPr>
          <w:p>
            <w:pPr>
              <w:ind w:left="60"/>
              <w:spacing w:after="0" w:line="135" w:lineRule="exact"/>
              <w:rPr>
                <w:sz w:val="20"/>
                <w:szCs w:val="20"/>
                <w:color w:val="auto"/>
              </w:rPr>
            </w:pPr>
            <w:r>
              <w:rPr>
                <w:rFonts w:ascii="Arial" w:cs="Arial" w:eastAsia="Arial" w:hAnsi="Arial"/>
                <w:sz w:val="12"/>
                <w:szCs w:val="12"/>
                <w:b w:val="1"/>
                <w:bCs w:val="1"/>
                <w:color w:val="auto"/>
              </w:rPr>
              <w:t xml:space="preserve">Independent: </w:t>
            </w:r>
            <w:r>
              <w:rPr>
                <w:rFonts w:ascii="Arial" w:cs="Arial" w:eastAsia="Arial" w:hAnsi="Arial"/>
                <w:sz w:val="12"/>
                <w:szCs w:val="12"/>
                <w:color w:val="auto"/>
              </w:rPr>
              <w:t>No</w:t>
            </w:r>
          </w:p>
        </w:tc>
        <w:tc>
          <w:tcPr>
            <w:tcW w:w="4900" w:type="dxa"/>
            <w:vAlign w:val="bottom"/>
            <w:shd w:val="clear" w:color="auto" w:fill="D8D8D8"/>
          </w:tcPr>
          <w:p>
            <w:pPr>
              <w:ind w:left="880"/>
              <w:spacing w:after="0" w:line="135" w:lineRule="exact"/>
              <w:rPr>
                <w:sz w:val="20"/>
                <w:szCs w:val="20"/>
                <w:color w:val="auto"/>
              </w:rPr>
            </w:pPr>
            <w:r>
              <w:rPr>
                <w:rFonts w:ascii="Arial" w:cs="Arial" w:eastAsia="Arial" w:hAnsi="Arial"/>
                <w:sz w:val="12"/>
                <w:szCs w:val="12"/>
                <w:color w:val="auto"/>
              </w:rPr>
              <w:t>• American Heart Association CEO Roundtable</w:t>
            </w:r>
          </w:p>
        </w:tc>
        <w:tc>
          <w:tcPr>
            <w:tcW w:w="0" w:type="dxa"/>
            <w:vAlign w:val="bottom"/>
          </w:tcPr>
          <w:p>
            <w:pPr>
              <w:spacing w:after="0"/>
              <w:rPr>
                <w:sz w:val="1"/>
                <w:szCs w:val="1"/>
                <w:color w:val="auto"/>
              </w:rPr>
            </w:pPr>
          </w:p>
        </w:tc>
      </w:tr>
      <w:tr>
        <w:trPr>
          <w:trHeight w:val="150"/>
        </w:trPr>
        <w:tc>
          <w:tcPr>
            <w:tcW w:w="3140" w:type="dxa"/>
            <w:vAlign w:val="bottom"/>
            <w:shd w:val="clear" w:color="auto" w:fill="D8D8D8"/>
          </w:tcPr>
          <w:p>
            <w:pPr>
              <w:ind w:left="60"/>
              <w:spacing w:after="0"/>
              <w:rPr>
                <w:sz w:val="20"/>
                <w:szCs w:val="20"/>
                <w:color w:val="auto"/>
              </w:rPr>
            </w:pPr>
            <w:r>
              <w:rPr>
                <w:rFonts w:ascii="Arial" w:cs="Arial" w:eastAsia="Arial" w:hAnsi="Arial"/>
                <w:sz w:val="12"/>
                <w:szCs w:val="12"/>
                <w:b w:val="1"/>
                <w:bCs w:val="1"/>
                <w:color w:val="auto"/>
              </w:rPr>
              <w:t>Chevron Committees:</w:t>
            </w:r>
          </w:p>
        </w:tc>
        <w:tc>
          <w:tcPr>
            <w:tcW w:w="4900" w:type="dxa"/>
            <w:vAlign w:val="bottom"/>
            <w:shd w:val="clear" w:color="auto" w:fill="D8D8D8"/>
          </w:tcPr>
          <w:p>
            <w:pPr>
              <w:ind w:left="880"/>
              <w:spacing w:after="0"/>
              <w:rPr>
                <w:sz w:val="20"/>
                <w:szCs w:val="20"/>
                <w:color w:val="auto"/>
              </w:rPr>
            </w:pPr>
            <w:r>
              <w:rPr>
                <w:rFonts w:ascii="Arial" w:cs="Arial" w:eastAsia="Arial" w:hAnsi="Arial"/>
                <w:sz w:val="12"/>
                <w:szCs w:val="12"/>
                <w:color w:val="auto"/>
              </w:rPr>
              <w:t>• American Petroleum Institute</w:t>
            </w:r>
          </w:p>
        </w:tc>
        <w:tc>
          <w:tcPr>
            <w:tcW w:w="0" w:type="dxa"/>
            <w:vAlign w:val="bottom"/>
          </w:tcPr>
          <w:p>
            <w:pPr>
              <w:spacing w:after="0"/>
              <w:rPr>
                <w:sz w:val="1"/>
                <w:szCs w:val="1"/>
                <w:color w:val="auto"/>
              </w:rPr>
            </w:pPr>
          </w:p>
        </w:tc>
      </w:tr>
      <w:tr>
        <w:trPr>
          <w:trHeight w:val="135"/>
        </w:trPr>
        <w:tc>
          <w:tcPr>
            <w:tcW w:w="3140" w:type="dxa"/>
            <w:vAlign w:val="bottom"/>
            <w:shd w:val="clear" w:color="auto" w:fill="D8D8D8"/>
          </w:tcPr>
          <w:p>
            <w:pPr>
              <w:ind w:left="60"/>
              <w:spacing w:after="0" w:line="135" w:lineRule="exact"/>
              <w:rPr>
                <w:sz w:val="20"/>
                <w:szCs w:val="20"/>
                <w:color w:val="auto"/>
              </w:rPr>
            </w:pPr>
            <w:r>
              <w:rPr>
                <w:rFonts w:ascii="Arial" w:cs="Arial" w:eastAsia="Arial" w:hAnsi="Arial"/>
                <w:sz w:val="12"/>
                <w:szCs w:val="12"/>
                <w:color w:val="auto"/>
              </w:rPr>
              <w:t>• None</w:t>
            </w:r>
          </w:p>
        </w:tc>
        <w:tc>
          <w:tcPr>
            <w:tcW w:w="4900" w:type="dxa"/>
            <w:vAlign w:val="bottom"/>
            <w:shd w:val="clear" w:color="auto" w:fill="D8D8D8"/>
          </w:tcPr>
          <w:p>
            <w:pPr>
              <w:ind w:left="880"/>
              <w:spacing w:after="0" w:line="135" w:lineRule="exact"/>
              <w:rPr>
                <w:sz w:val="20"/>
                <w:szCs w:val="20"/>
                <w:color w:val="auto"/>
              </w:rPr>
            </w:pPr>
            <w:r>
              <w:rPr>
                <w:rFonts w:ascii="Arial" w:cs="Arial" w:eastAsia="Arial" w:hAnsi="Arial"/>
                <w:sz w:val="12"/>
                <w:szCs w:val="12"/>
                <w:color w:val="auto"/>
              </w:rPr>
              <w:t>• American Society of Corporate Executives</w:t>
            </w:r>
          </w:p>
        </w:tc>
        <w:tc>
          <w:tcPr>
            <w:tcW w:w="0" w:type="dxa"/>
            <w:vAlign w:val="bottom"/>
          </w:tcPr>
          <w:p>
            <w:pPr>
              <w:spacing w:after="0"/>
              <w:rPr>
                <w:sz w:val="1"/>
                <w:szCs w:val="1"/>
                <w:color w:val="auto"/>
              </w:rPr>
            </w:pPr>
          </w:p>
        </w:tc>
      </w:tr>
      <w:tr>
        <w:trPr>
          <w:trHeight w:val="135"/>
        </w:trPr>
        <w:tc>
          <w:tcPr>
            <w:tcW w:w="3140" w:type="dxa"/>
            <w:vAlign w:val="bottom"/>
            <w:vMerge w:val="restart"/>
            <w:shd w:val="clear" w:color="auto" w:fill="D8D8D8"/>
          </w:tcPr>
          <w:p>
            <w:pPr>
              <w:ind w:left="60"/>
              <w:spacing w:after="0"/>
              <w:rPr>
                <w:sz w:val="20"/>
                <w:szCs w:val="20"/>
                <w:color w:val="auto"/>
              </w:rPr>
            </w:pPr>
            <w:r>
              <w:rPr>
                <w:rFonts w:ascii="Arial" w:cs="Arial" w:eastAsia="Arial" w:hAnsi="Arial"/>
                <w:sz w:val="12"/>
                <w:szCs w:val="12"/>
                <w:b w:val="1"/>
                <w:bCs w:val="1"/>
                <w:color w:val="auto"/>
              </w:rPr>
              <w:t>Current Public Company Directorships:</w:t>
            </w:r>
          </w:p>
        </w:tc>
        <w:tc>
          <w:tcPr>
            <w:tcW w:w="4900" w:type="dxa"/>
            <w:vAlign w:val="bottom"/>
            <w:shd w:val="clear" w:color="auto" w:fill="D8D8D8"/>
          </w:tcPr>
          <w:p>
            <w:pPr>
              <w:ind w:left="880"/>
              <w:spacing w:after="0" w:line="135" w:lineRule="exact"/>
              <w:rPr>
                <w:sz w:val="20"/>
                <w:szCs w:val="20"/>
                <w:color w:val="auto"/>
              </w:rPr>
            </w:pPr>
            <w:r>
              <w:rPr>
                <w:rFonts w:ascii="Arial" w:cs="Arial" w:eastAsia="Arial" w:hAnsi="Arial"/>
                <w:sz w:val="12"/>
                <w:szCs w:val="12"/>
                <w:color w:val="auto"/>
              </w:rPr>
              <w:t>• The Business Council</w:t>
            </w:r>
          </w:p>
        </w:tc>
        <w:tc>
          <w:tcPr>
            <w:tcW w:w="0" w:type="dxa"/>
            <w:vAlign w:val="bottom"/>
          </w:tcPr>
          <w:p>
            <w:pPr>
              <w:spacing w:after="0"/>
              <w:rPr>
                <w:sz w:val="1"/>
                <w:szCs w:val="1"/>
                <w:color w:val="auto"/>
              </w:rPr>
            </w:pPr>
          </w:p>
        </w:tc>
      </w:tr>
      <w:tr>
        <w:trPr>
          <w:trHeight w:val="135"/>
        </w:trPr>
        <w:tc>
          <w:tcPr>
            <w:tcW w:w="3140" w:type="dxa"/>
            <w:vAlign w:val="bottom"/>
            <w:vMerge w:val="continue"/>
            <w:shd w:val="clear" w:color="auto" w:fill="D8D8D8"/>
          </w:tcPr>
          <w:p>
            <w:pPr>
              <w:spacing w:after="0"/>
              <w:rPr>
                <w:sz w:val="11"/>
                <w:szCs w:val="11"/>
                <w:color w:val="auto"/>
              </w:rPr>
            </w:pPr>
          </w:p>
        </w:tc>
        <w:tc>
          <w:tcPr>
            <w:tcW w:w="4900" w:type="dxa"/>
            <w:vAlign w:val="bottom"/>
            <w:shd w:val="clear" w:color="auto" w:fill="D8D8D8"/>
          </w:tcPr>
          <w:p>
            <w:pPr>
              <w:ind w:left="880"/>
              <w:spacing w:after="0" w:line="135" w:lineRule="exact"/>
              <w:rPr>
                <w:sz w:val="20"/>
                <w:szCs w:val="20"/>
                <w:color w:val="auto"/>
              </w:rPr>
            </w:pPr>
            <w:r>
              <w:rPr>
                <w:rFonts w:ascii="Arial" w:cs="Arial" w:eastAsia="Arial" w:hAnsi="Arial"/>
                <w:sz w:val="12"/>
                <w:szCs w:val="12"/>
                <w:color w:val="auto"/>
              </w:rPr>
              <w:t>• Business Roundtable</w:t>
            </w:r>
          </w:p>
        </w:tc>
        <w:tc>
          <w:tcPr>
            <w:tcW w:w="0" w:type="dxa"/>
            <w:vAlign w:val="bottom"/>
          </w:tcPr>
          <w:p>
            <w:pPr>
              <w:spacing w:after="0"/>
              <w:rPr>
                <w:sz w:val="1"/>
                <w:szCs w:val="1"/>
                <w:color w:val="auto"/>
              </w:rPr>
            </w:pPr>
          </w:p>
        </w:tc>
      </w:tr>
      <w:tr>
        <w:trPr>
          <w:trHeight w:val="135"/>
        </w:trPr>
        <w:tc>
          <w:tcPr>
            <w:tcW w:w="3140" w:type="dxa"/>
            <w:vAlign w:val="bottom"/>
            <w:shd w:val="clear" w:color="auto" w:fill="D8D8D8"/>
          </w:tcPr>
          <w:p>
            <w:pPr>
              <w:ind w:left="60"/>
              <w:spacing w:after="0" w:line="135" w:lineRule="exact"/>
              <w:rPr>
                <w:sz w:val="20"/>
                <w:szCs w:val="20"/>
                <w:color w:val="auto"/>
              </w:rPr>
            </w:pPr>
            <w:r>
              <w:rPr>
                <w:rFonts w:ascii="Arial" w:cs="Arial" w:eastAsia="Arial" w:hAnsi="Arial"/>
                <w:sz w:val="12"/>
                <w:szCs w:val="12"/>
                <w:color w:val="auto"/>
              </w:rPr>
              <w:t>• None</w:t>
            </w:r>
          </w:p>
        </w:tc>
        <w:tc>
          <w:tcPr>
            <w:tcW w:w="4900" w:type="dxa"/>
            <w:vAlign w:val="bottom"/>
            <w:shd w:val="clear" w:color="auto" w:fill="D8D8D8"/>
          </w:tcPr>
          <w:p>
            <w:pPr>
              <w:ind w:left="880"/>
              <w:spacing w:after="0" w:line="135" w:lineRule="exact"/>
              <w:rPr>
                <w:sz w:val="20"/>
                <w:szCs w:val="20"/>
                <w:color w:val="auto"/>
              </w:rPr>
            </w:pPr>
            <w:r>
              <w:rPr>
                <w:rFonts w:ascii="Arial" w:cs="Arial" w:eastAsia="Arial" w:hAnsi="Arial"/>
                <w:sz w:val="12"/>
                <w:szCs w:val="12"/>
                <w:color w:val="auto"/>
              </w:rPr>
              <w:t>• Catalyst</w:t>
            </w:r>
          </w:p>
        </w:tc>
        <w:tc>
          <w:tcPr>
            <w:tcW w:w="0" w:type="dxa"/>
            <w:vAlign w:val="bottom"/>
          </w:tcPr>
          <w:p>
            <w:pPr>
              <w:spacing w:after="0"/>
              <w:rPr>
                <w:sz w:val="1"/>
                <w:szCs w:val="1"/>
                <w:color w:val="auto"/>
              </w:rPr>
            </w:pPr>
          </w:p>
        </w:tc>
      </w:tr>
      <w:tr>
        <w:trPr>
          <w:trHeight w:val="135"/>
        </w:trPr>
        <w:tc>
          <w:tcPr>
            <w:tcW w:w="3140" w:type="dxa"/>
            <w:vAlign w:val="bottom"/>
            <w:shd w:val="clear" w:color="auto" w:fill="D8D8D8"/>
          </w:tcPr>
          <w:p>
            <w:pPr>
              <w:spacing w:after="0"/>
              <w:rPr>
                <w:sz w:val="11"/>
                <w:szCs w:val="11"/>
                <w:color w:val="auto"/>
              </w:rPr>
            </w:pPr>
          </w:p>
        </w:tc>
        <w:tc>
          <w:tcPr>
            <w:tcW w:w="4900" w:type="dxa"/>
            <w:vAlign w:val="bottom"/>
            <w:shd w:val="clear" w:color="auto" w:fill="D8D8D8"/>
          </w:tcPr>
          <w:p>
            <w:pPr>
              <w:ind w:left="880"/>
              <w:spacing w:after="0" w:line="135" w:lineRule="exact"/>
              <w:rPr>
                <w:sz w:val="20"/>
                <w:szCs w:val="20"/>
                <w:color w:val="auto"/>
              </w:rPr>
            </w:pPr>
            <w:r>
              <w:rPr>
                <w:rFonts w:ascii="Arial" w:cs="Arial" w:eastAsia="Arial" w:hAnsi="Arial"/>
                <w:sz w:val="12"/>
                <w:szCs w:val="12"/>
                <w:color w:val="auto"/>
              </w:rPr>
              <w:t>• International Business Council of the World Economic Forum</w:t>
            </w:r>
          </w:p>
        </w:tc>
        <w:tc>
          <w:tcPr>
            <w:tcW w:w="0" w:type="dxa"/>
            <w:vAlign w:val="bottom"/>
          </w:tcPr>
          <w:p>
            <w:pPr>
              <w:spacing w:after="0"/>
              <w:rPr>
                <w:sz w:val="1"/>
                <w:szCs w:val="1"/>
                <w:color w:val="auto"/>
              </w:rPr>
            </w:pPr>
          </w:p>
        </w:tc>
      </w:tr>
      <w:tr>
        <w:trPr>
          <w:trHeight w:val="152"/>
        </w:trPr>
        <w:tc>
          <w:tcPr>
            <w:tcW w:w="3140" w:type="dxa"/>
            <w:vAlign w:val="bottom"/>
            <w:shd w:val="clear" w:color="auto" w:fill="D8D8D8"/>
          </w:tcPr>
          <w:p>
            <w:pPr>
              <w:spacing w:after="0"/>
              <w:rPr>
                <w:sz w:val="13"/>
                <w:szCs w:val="13"/>
                <w:color w:val="auto"/>
              </w:rPr>
            </w:pPr>
          </w:p>
        </w:tc>
        <w:tc>
          <w:tcPr>
            <w:tcW w:w="4900" w:type="dxa"/>
            <w:vAlign w:val="bottom"/>
            <w:shd w:val="clear" w:color="auto" w:fill="D8D8D8"/>
          </w:tcPr>
          <w:p>
            <w:pPr>
              <w:ind w:left="880"/>
              <w:spacing w:after="0"/>
              <w:rPr>
                <w:sz w:val="20"/>
                <w:szCs w:val="20"/>
                <w:color w:val="auto"/>
              </w:rPr>
            </w:pPr>
            <w:r>
              <w:rPr>
                <w:rFonts w:ascii="Arial" w:cs="Arial" w:eastAsia="Arial" w:hAnsi="Arial"/>
                <w:sz w:val="12"/>
                <w:szCs w:val="12"/>
                <w:color w:val="auto"/>
              </w:rPr>
              <w:t>• National Petroleum Council</w:t>
            </w:r>
          </w:p>
        </w:tc>
        <w:tc>
          <w:tcPr>
            <w:tcW w:w="0" w:type="dxa"/>
            <w:vAlign w:val="bottom"/>
          </w:tcPr>
          <w:p>
            <w:pPr>
              <w:spacing w:after="0"/>
              <w:rPr>
                <w:sz w:val="1"/>
                <w:szCs w:val="1"/>
                <w:color w:val="auto"/>
              </w:rPr>
            </w:pPr>
          </w:p>
        </w:tc>
      </w:tr>
      <w:tr>
        <w:trPr>
          <w:trHeight w:val="653"/>
        </w:trPr>
        <w:tc>
          <w:tcPr>
            <w:tcW w:w="3140" w:type="dxa"/>
            <w:vAlign w:val="bottom"/>
            <w:shd w:val="clear" w:color="auto" w:fill="D8D8D8"/>
          </w:tcPr>
          <w:p>
            <w:pPr>
              <w:spacing w:after="0"/>
              <w:rPr>
                <w:sz w:val="24"/>
                <w:szCs w:val="24"/>
                <w:color w:val="auto"/>
              </w:rPr>
            </w:pPr>
          </w:p>
        </w:tc>
        <w:tc>
          <w:tcPr>
            <w:tcW w:w="49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-1696720</wp:posOffset>
            </wp:positionV>
            <wp:extent cx="17145" cy="16973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 cy="16973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-1696720</wp:posOffset>
            </wp:positionV>
            <wp:extent cx="1903095" cy="16973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03095" cy="1697355"/>
                    </a:xfrm>
                    <a:prstGeom prst="rect">
                      <a:avLst/>
                    </a:prstGeom>
                    <a:noFill/>
                  </pic:spPr>
                </pic:pic>
              </a:graphicData>
            </a:graphic>
          </wp:anchor>
        </w:drawing>
      </w:r>
    </w:p>
    <w:p>
      <w:pPr>
        <w:spacing w:after="0" w:line="74"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b w:val="1"/>
          <w:bCs w:val="1"/>
          <w:color w:val="auto"/>
        </w:rPr>
        <w:t xml:space="preserve">Mr. Wirth </w:t>
      </w:r>
      <w:r>
        <w:rPr>
          <w:rFonts w:ascii="Arial" w:cs="Arial" w:eastAsia="Arial" w:hAnsi="Arial"/>
          <w:sz w:val="16"/>
          <w:szCs w:val="16"/>
          <w:color w:val="auto"/>
        </w:rPr>
        <w:t>has been Chairman and Chief Executive Officer of Chevron since February 2018. He was Vice Chairman in 2017 and Executive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of Midstream &amp; Development from 2016 until 2018, where he was responsible for supply and trading, shipping, pipeline, and power operating units; corporate strategy; business development; and policy, government, and public affairs. He served as Executive Vice President of Downstream &amp; Chemicals from 2006 to 2015. From 2003 until 2006, Mr. Wirth was President of Global Supply &amp; Trading. Mr. Wirth joined Chevron in 1982.</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Skills and qualifications</w:t>
      </w:r>
    </w:p>
    <w:p>
      <w:pPr>
        <w:spacing w:after="0" w:line="58"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b w:val="1"/>
          <w:bCs w:val="1"/>
          <w:color w:val="auto"/>
        </w:rPr>
        <w:t xml:space="preserve">Business Leadership/Operations: </w:t>
      </w:r>
      <w:r>
        <w:rPr>
          <w:rFonts w:ascii="Arial" w:cs="Arial" w:eastAsia="Arial" w:hAnsi="Arial"/>
          <w:sz w:val="16"/>
          <w:szCs w:val="16"/>
          <w:color w:val="auto"/>
        </w:rPr>
        <w:t>Chairman and CEO of Chevron. Twelve years as Executive Vice President of Chevron. More than three decades of</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in senior management and executive positions at Chevron.</w:t>
      </w:r>
    </w:p>
    <w:p>
      <w:pPr>
        <w:spacing w:after="0" w:line="48" w:lineRule="exact"/>
        <w:rPr>
          <w:sz w:val="20"/>
          <w:szCs w:val="20"/>
          <w:color w:val="auto"/>
        </w:rPr>
      </w:pPr>
    </w:p>
    <w:p>
      <w:pPr>
        <w:ind w:left="120" w:right="800"/>
        <w:spacing w:after="0" w:line="286" w:lineRule="auto"/>
        <w:rPr>
          <w:sz w:val="20"/>
          <w:szCs w:val="20"/>
          <w:color w:val="auto"/>
        </w:rPr>
      </w:pPr>
      <w:r>
        <w:rPr>
          <w:rFonts w:ascii="Arial" w:cs="Arial" w:eastAsia="Arial" w:hAnsi="Arial"/>
          <w:sz w:val="16"/>
          <w:szCs w:val="16"/>
          <w:b w:val="1"/>
          <w:bCs w:val="1"/>
          <w:color w:val="auto"/>
        </w:rPr>
        <w:t xml:space="preserve">Environmental Affairs: </w:t>
      </w:r>
      <w:r>
        <w:rPr>
          <w:rFonts w:ascii="Arial" w:cs="Arial" w:eastAsia="Arial" w:hAnsi="Arial"/>
          <w:sz w:val="16"/>
          <w:szCs w:val="16"/>
          <w:color w:val="auto"/>
        </w:rPr>
        <w:t>As Chairman and CEO of Chevron, oversees all aspects of Chevron’s environmental policies and strategies. Oversaw</w:t>
      </w:r>
      <w:r>
        <w:rPr>
          <w:rFonts w:ascii="Arial" w:cs="Arial" w:eastAsia="Arial" w:hAnsi="Arial"/>
          <w:sz w:val="16"/>
          <w:szCs w:val="16"/>
          <w:b w:val="1"/>
          <w:bCs w:val="1"/>
          <w:color w:val="auto"/>
        </w:rPr>
        <w:t xml:space="preserve"> </w:t>
      </w:r>
      <w:r>
        <w:rPr>
          <w:rFonts w:ascii="Arial" w:cs="Arial" w:eastAsia="Arial" w:hAnsi="Arial"/>
          <w:sz w:val="16"/>
          <w:szCs w:val="16"/>
          <w:color w:val="auto"/>
        </w:rPr>
        <w:t>environmental policies and strategies of Chevron’s Downstream &amp; Chemicals and shipping and pipeline operations.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Finance: </w:t>
      </w:r>
      <w:r>
        <w:rPr>
          <w:rFonts w:ascii="Arial" w:cs="Arial" w:eastAsia="Arial" w:hAnsi="Arial"/>
          <w:sz w:val="16"/>
          <w:szCs w:val="16"/>
          <w:color w:val="auto"/>
        </w:rPr>
        <w:t>CEO of Fortune 100 company. More than a decade of financial responsibility and experience at Chevron.</w:t>
      </w:r>
    </w:p>
    <w:p>
      <w:pPr>
        <w:spacing w:after="0" w:line="113"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b w:val="1"/>
          <w:bCs w:val="1"/>
          <w:color w:val="auto"/>
        </w:rPr>
        <w:t xml:space="preserve">Global Business/International Affairs: </w:t>
      </w:r>
      <w:r>
        <w:rPr>
          <w:rFonts w:ascii="Arial" w:cs="Arial" w:eastAsia="Arial" w:hAnsi="Arial"/>
          <w:sz w:val="16"/>
          <w:szCs w:val="16"/>
          <w:color w:val="auto"/>
        </w:rPr>
        <w:t>Chairman and CEO of Fortune 100 company with extensive international operations. Served as President of</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for Chevron’s Asia/Middle East/Africa marketing business based in Singapore and served as director of Caltex Australia Ltd. and GS Caltex in South Korea.</w:t>
      </w:r>
    </w:p>
    <w:p>
      <w:pPr>
        <w:spacing w:after="0" w:line="63" w:lineRule="exact"/>
        <w:rPr>
          <w:sz w:val="20"/>
          <w:szCs w:val="20"/>
          <w:color w:val="auto"/>
        </w:rPr>
      </w:pPr>
    </w:p>
    <w:p>
      <w:pPr>
        <w:ind w:left="120" w:right="620"/>
        <w:spacing w:after="0" w:line="286" w:lineRule="auto"/>
        <w:rPr>
          <w:sz w:val="20"/>
          <w:szCs w:val="20"/>
          <w:color w:val="auto"/>
        </w:rPr>
      </w:pPr>
      <w:r>
        <w:rPr>
          <w:rFonts w:ascii="Arial" w:cs="Arial" w:eastAsia="Arial" w:hAnsi="Arial"/>
          <w:sz w:val="16"/>
          <w:szCs w:val="16"/>
          <w:b w:val="1"/>
          <w:bCs w:val="1"/>
          <w:color w:val="auto"/>
        </w:rPr>
        <w:t xml:space="preserve">Government/Regulatory/Public Policy: </w:t>
      </w:r>
      <w:r>
        <w:rPr>
          <w:rFonts w:ascii="Arial" w:cs="Arial" w:eastAsia="Arial" w:hAnsi="Arial"/>
          <w:sz w:val="16"/>
          <w:szCs w:val="16"/>
          <w:color w:val="auto"/>
        </w:rPr>
        <w:t>More than three decades of experience in highly regulated industry. As Chairman and CEO of Chevron,</w:t>
      </w:r>
      <w:r>
        <w:rPr>
          <w:rFonts w:ascii="Arial" w:cs="Arial" w:eastAsia="Arial" w:hAnsi="Arial"/>
          <w:sz w:val="16"/>
          <w:szCs w:val="16"/>
          <w:b w:val="1"/>
          <w:bCs w:val="1"/>
          <w:color w:val="auto"/>
        </w:rPr>
        <w:t xml:space="preserve"> </w:t>
      </w:r>
      <w:r>
        <w:rPr>
          <w:rFonts w:ascii="Arial" w:cs="Arial" w:eastAsia="Arial" w:hAnsi="Arial"/>
          <w:sz w:val="16"/>
          <w:szCs w:val="16"/>
          <w:color w:val="auto"/>
        </w:rPr>
        <w:t>oversees all aspects of Chevron’s government, regulatory, and public policy affairs.</w:t>
      </w:r>
    </w:p>
    <w:p>
      <w:pPr>
        <w:spacing w:after="0" w:line="48"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b w:val="1"/>
          <w:bCs w:val="1"/>
          <w:color w:val="auto"/>
        </w:rPr>
        <w:t xml:space="preserve">Leading Business Transformation: </w:t>
      </w:r>
      <w:r>
        <w:rPr>
          <w:rFonts w:ascii="Arial" w:cs="Arial" w:eastAsia="Arial" w:hAnsi="Arial"/>
          <w:sz w:val="16"/>
          <w:szCs w:val="16"/>
          <w:color w:val="auto"/>
        </w:rPr>
        <w:t>In 2010-2012 led major turnaround of Chevron’s global Downstream &amp; Chemicals business, including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portfolio rationalization, new supply chain processes, manufacturing improvements and comprehensive organizational restructuring. Cost savings, margin growth and execution improvement drove significant shift in relative competitive performance on safety, reliability and profitability. In 2019-2020 led transformation of Chevron Corporation, including the largest corporate restructuring in more than two decades. Approach was comprehensive and addressed strategy, portfolio business model, culture and efficiency. Completed a major acquisition at same time.</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Science/Technology/Engineering: </w:t>
      </w:r>
      <w:r>
        <w:rPr>
          <w:rFonts w:ascii="Arial" w:cs="Arial" w:eastAsia="Arial" w:hAnsi="Arial"/>
          <w:sz w:val="16"/>
          <w:szCs w:val="16"/>
          <w:color w:val="auto"/>
        </w:rPr>
        <w:t>B.S. in Chemical Engineering from the University of Colorado. More than three decades of experience at Chevron.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Joined as a design engineer and advanced through a number of engineering, construction, marketing, and operations roles.</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0B2D71"/>
        </w:rPr>
        <w:t>Vote required</w:t>
      </w:r>
    </w:p>
    <w:p>
      <w:pPr>
        <w:spacing w:after="0" w:line="134"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Each Director nominee who receives a majority of the votes cast (i.e., the number of shares voted FOR a Director nominee must exceed the number of shares voted AGAINST that Director nominee, excluding abstentions) will be elected a Director in an uncontested election. Any shares not voted (whether by abstention or otherwise) will have no impact on the elections. If you are a street name stockholder and do not vote your shares, your bank, broker, or other holder of record cannot vote your shares at its discretion in these elections.</w:t>
      </w:r>
    </w:p>
    <w:p>
      <w:pPr>
        <w:spacing w:after="0" w:line="70" w:lineRule="exact"/>
        <w:rPr>
          <w:sz w:val="20"/>
          <w:szCs w:val="20"/>
          <w:color w:val="auto"/>
        </w:rPr>
      </w:pPr>
    </w:p>
    <w:p>
      <w:pPr>
        <w:jc w:val="both"/>
        <w:ind w:left="120" w:right="120"/>
        <w:spacing w:after="0" w:line="266" w:lineRule="auto"/>
        <w:rPr>
          <w:sz w:val="20"/>
          <w:szCs w:val="20"/>
          <w:color w:val="auto"/>
        </w:rPr>
      </w:pPr>
      <w:r>
        <w:rPr>
          <w:rFonts w:ascii="Arial" w:cs="Arial" w:eastAsia="Arial" w:hAnsi="Arial"/>
          <w:sz w:val="16"/>
          <w:szCs w:val="16"/>
          <w:color w:val="auto"/>
        </w:rPr>
        <w:t>If the number of Director nominees exceeds the number of Directors to be elected – a circumstance we do not anticipate – the Directors shall be elected by a plurality of the shares present in person or by proxy at the Annual Meeting, or any adjournment or postponement thereof, and entitled to vote on the election of Directors.</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0B2D71"/>
        </w:rPr>
        <w:t>Your board’s recommendation</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22"/>
          <w:szCs w:val="22"/>
          <w:color w:val="0B2D71"/>
        </w:rPr>
        <w:t xml:space="preserve">Your Board recommends that you vote </w:t>
      </w:r>
      <w:r>
        <w:rPr>
          <w:rFonts w:ascii="Arial" w:cs="Arial" w:eastAsia="Arial" w:hAnsi="Arial"/>
          <w:sz w:val="22"/>
          <w:szCs w:val="22"/>
          <w:b w:val="1"/>
          <w:bCs w:val="1"/>
          <w:color w:val="0B2D71"/>
        </w:rPr>
        <w:t>for</w:t>
      </w:r>
      <w:r>
        <w:rPr>
          <w:rFonts w:ascii="Arial" w:cs="Arial" w:eastAsia="Arial" w:hAnsi="Arial"/>
          <w:sz w:val="22"/>
          <w:szCs w:val="22"/>
          <w:color w:val="0B2D71"/>
        </w:rPr>
        <w:t xml:space="preserve"> each of the 12 Director nominees named in this Proxy Statement.</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140"/>
          </w:cols>
          <w:pgMar w:left="320" w:top="455" w:right="4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0B2D71"/>
        </w:rPr>
        <w:t>Director compensation</w:t>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Objectives</w:t>
      </w:r>
    </w:p>
    <w:p>
      <w:pPr>
        <w:spacing w:after="0" w:line="112"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Compensation for our non-employee Directors is designed to be competitive with compensation for directors of other large, global energy companies and other large, capital-intensive, international companies; to link rewards to business results and stockholder returns; and to align stockholder and Director interests through Director ownership of Chevron common stock.</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Overview</w:t>
      </w:r>
    </w:p>
    <w:p>
      <w:pPr>
        <w:spacing w:after="0" w:line="112"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Under the Chevron Corporation Non-Employee Directors’ Equity Compensation and Deferral Plan, as amended, and Plan Rules, as amended (together, the “NED Plan”), Chevron’s Annual Compensation Cycle for its non-employee Directors is the period commencing on the day of the Annual Meeting at which the non-employee Director is elected through the day immediately preceding the next Annual Meeting.</w:t>
      </w:r>
    </w:p>
    <w:p>
      <w:pPr>
        <w:spacing w:after="0" w:line="74"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Our non-employee Director compensation program consists primarily of a cash component and an equity component. Non-employee Directors do not receive fees for attending Board or Board Committee meetings, nor do they receive fees for meeting with stockholders. We do not provide non-equity incentive awards, nor do we provide a retirement plan for non-employee Directors.</w:t>
      </w:r>
    </w:p>
    <w:p>
      <w:pPr>
        <w:spacing w:after="0" w:line="74" w:lineRule="exact"/>
        <w:rPr>
          <w:sz w:val="20"/>
          <w:szCs w:val="20"/>
          <w:color w:val="auto"/>
        </w:rPr>
      </w:pPr>
    </w:p>
    <w:p>
      <w:pPr>
        <w:ind w:left="120" w:right="500"/>
        <w:spacing w:after="0" w:line="286" w:lineRule="auto"/>
        <w:rPr>
          <w:sz w:val="20"/>
          <w:szCs w:val="20"/>
          <w:color w:val="auto"/>
        </w:rPr>
      </w:pPr>
      <w:r>
        <w:rPr>
          <w:rFonts w:ascii="Arial" w:cs="Arial" w:eastAsia="Arial" w:hAnsi="Arial"/>
          <w:sz w:val="16"/>
          <w:szCs w:val="16"/>
          <w:color w:val="auto"/>
        </w:rPr>
        <w:t>Our Chief Executive Officer is not paid additional compensation for service as a Director.</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Cash retainer</w:t>
      </w:r>
    </w:p>
    <w:p>
      <w:pPr>
        <w:spacing w:after="0" w:line="112"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No changes were made to non-employee Director compensation in 2021. In 2021, each non-employee Director received annual compensation of $375,000, with 40%, or $150,000, paid in cash (or stock options, at the non-employee Director’s election) and 60%, or $225,000, paid in restricted stock units (“RSUs”). In line with historical practice, an additional cash retainer was paid to the independent Lead Director and each Committee Chair.</w:t>
      </w:r>
    </w:p>
    <w:p>
      <w:pPr>
        <w:spacing w:after="0" w:line="73"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Each cash retainer is paid in monthly installments beginning with the date the non-employee Director is elected to the Board. Under the NED Plan, non-employee Directors can elect to defer receipt of any portion of their cash compensation. Deferral elections must be made by December 31 in the year preceding the year in which the cash to be deferred is earned. Deferrals are credited, at the non-employee Director’s election, into accounts tracked with reference to the same investment fund options available to participants in the Chevron Deferred Compensation Plan II, including a Chevron Common Stock Fund. None of the earnings under the NED Plan are above market or preferential. Distribution of deferred amounts is in cash except for amounts valued with reference to the Chevron Common Stock Fund, which are distributed in shares of Chevron common stock.</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0B2D71"/>
        </w:rPr>
        <w:t>Equity compensation</w:t>
      </w:r>
    </w:p>
    <w:p>
      <w:pPr>
        <w:spacing w:after="0" w:line="11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RSUs are granted on the date of the Annual Meeting at which the non-employee Director is elected. If a non-employee Director is elected to the Board between annual meetings, a prorated grant is made. RSUs are paid out in shares of Chevron common stock unless the non-employee Director has elected to defer the payout until retirement. RSUs are subject to forfeiture (except when the non-employee Director dies, reaches mandatory retirement age of 74, becomes disabled, changes primary occupation, or enters government service) until the earlier of 12 months or the day preceding the first Annual Meeting following the date of the grant, at which time they vest.</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0B2D71"/>
        </w:rPr>
        <w:t>Expenses and charitable matching gift program</w:t>
      </w:r>
    </w:p>
    <w:p>
      <w:pPr>
        <w:spacing w:after="0" w:line="11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Non-employee Directors are reimbursed for out-of-pocket expenses incurred in connection with the business and affairs of Chevron. Non-employee Directors are eligible to participate in Chevron Humankind, our charitable matching gift and community involvement program, which is available to any employee, retiree, or Director. For active employees and non-employee Directors, we match contributions to eligible entities and grants for volunteer time, up to a maximum of $10,000 per year.</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0B2D71"/>
        </w:rPr>
        <w:t>Governance</w:t>
      </w:r>
    </w:p>
    <w:p>
      <w:pPr>
        <w:spacing w:after="0" w:line="11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Governance Committee evaluates and recommends to the Board the compensation for non-employee Directors, and the Board approves the compensation. Our executive officers have no role in determining the amount or form of non-employee Director compensation.</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0B2D71"/>
        </w:rPr>
        <w:t>Independent compensation consultant</w:t>
      </w:r>
    </w:p>
    <w:p>
      <w:pPr>
        <w:spacing w:after="0" w:line="112"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In 2021, the Governance Committee retained the services of an independent compensation consultant, Pearl Meyer &amp; Partners, LLC (“Pearl Meyer”), to assist the Governance Committee with its periodic review of our non-employee Director compensation program relative to Chevron’s 2021 Oil Industry Peer Group and 2021 Non-Oil Industry Peer Group (excluding Marathon Oil for the 2021 Oil Industry Peer Group), as identified in “use of peer groups” in the “Compensation Discussion and Analysis” section of this Proxy Statement.</w:t>
      </w:r>
    </w:p>
    <w:p>
      <w:pPr>
        <w:spacing w:after="0" w:line="75"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Pearl Meyer and its lead consultant report directly to the Governance Committee under the terms of its engagement, but they may work cooperatively with management to develop analyses and proposals when requested to do so by the Governance Committee. Pearl Meyer does not provide any services to the Company other than as described herein.</w:t>
      </w:r>
    </w:p>
    <w:p>
      <w:pPr>
        <w:spacing w:after="0" w:line="1079" w:lineRule="exact"/>
        <w:rPr>
          <w:sz w:val="20"/>
          <w:szCs w:val="20"/>
          <w:color w:val="auto"/>
        </w:rPr>
      </w:pPr>
    </w:p>
    <w:p>
      <w:pPr>
        <w:sectPr>
          <w:pgSz w:w="11900" w:h="16838" w:orient="portrait"/>
          <w:cols w:equalWidth="0" w:num="2">
            <w:col w:w="5380" w:space="360"/>
            <w:col w:w="5300"/>
          </w:cols>
          <w:pgMar w:left="320" w:top="455" w:right="539" w:bottom="1440" w:gutter="0" w:footer="0" w:header="0"/>
          <w:type w:val="continuous"/>
        </w:sectPr>
      </w:pPr>
    </w:p>
    <w:p>
      <w:pPr>
        <w:spacing w:after="0" w:line="69"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Chevron Corporation – 2022 Proxy Statement</w:t>
      </w:r>
    </w:p>
    <w:p>
      <w:pPr>
        <w:spacing w:after="0" w:line="78"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18</w:t>
      </w:r>
    </w:p>
    <w:p>
      <w:pPr>
        <w:sectPr>
          <w:pgSz w:w="11900" w:h="16838" w:orient="portrait"/>
          <w:cols w:equalWidth="0" w:num="1">
            <w:col w:w="11040"/>
          </w:cols>
          <w:pgMar w:left="320" w:top="455" w:right="53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Looking ahead</w:t>
      </w:r>
    </w:p>
    <w:p>
      <w:pPr>
        <w:spacing w:after="0" w:line="112"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Based on Pearl Meyer’s review, as described above, the Governance Committee recommended, and the non-employee Directors of the Board agreed, that effective as of the 2022 Annual Meeting, the cash retainer for the independent Lead Director will be increased by $20,000, to a total of $50,000 annually payable in cash, in recognition of the Lead Director’s increasing duties and time commitment, as discussed in the “Independent Lead Director” section of this Proxy Statement. The non-employee Directors’ annual compensation and the additional annual cash retainer for each Board Committee Chair, in the amounts described below, will remain unchanged.</w:t>
      </w:r>
    </w:p>
    <w:p>
      <w:pPr>
        <w:spacing w:after="0" w:line="81" w:lineRule="exact"/>
        <w:rPr>
          <w:sz w:val="20"/>
          <w:szCs w:val="20"/>
          <w:color w:val="auto"/>
        </w:rPr>
      </w:pPr>
    </w:p>
    <w:p>
      <w:pPr>
        <w:ind w:left="120" w:right="80"/>
        <w:spacing w:after="0" w:line="252" w:lineRule="auto"/>
        <w:rPr>
          <w:sz w:val="20"/>
          <w:szCs w:val="20"/>
          <w:color w:val="auto"/>
        </w:rPr>
      </w:pPr>
      <w:r>
        <w:rPr>
          <w:rFonts w:ascii="Arial" w:cs="Arial" w:eastAsia="Arial" w:hAnsi="Arial"/>
          <w:sz w:val="16"/>
          <w:szCs w:val="16"/>
          <w:color w:val="auto"/>
        </w:rPr>
        <w:t>Prior to December 31, 2021, non-employee Directors could elect to receive nonstatutory/nonqualified stock options in lieu of any portion of their cash compensation. The Governance Committee approved the cessation of the ability for non-employee Directors to elect to receive stock options in lieu of all or any portion of the annual cash retainer, effective December 31, 2021. Any outstanding stock options previously granted remain outstanding under the terms of the original grant until the options are exercised or expire.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ind w:left="3460"/>
        <w:spacing w:after="0"/>
        <w:rPr>
          <w:sz w:val="20"/>
          <w:szCs w:val="20"/>
          <w:color w:val="auto"/>
        </w:rPr>
      </w:pPr>
      <w:r>
        <w:rPr>
          <w:rFonts w:ascii="Arial" w:cs="Arial" w:eastAsia="Arial" w:hAnsi="Arial"/>
          <w:sz w:val="14"/>
          <w:szCs w:val="14"/>
          <w:b w:val="1"/>
          <w:bCs w:val="1"/>
          <w:color w:val="FFFFFF"/>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-661670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-121285</wp:posOffset>
            </wp:positionV>
            <wp:extent cx="147447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74470" cy="146050"/>
                    </a:xfrm>
                    <a:prstGeom prst="rect">
                      <a:avLst/>
                    </a:prstGeom>
                    <a:noFill/>
                  </pic:spPr>
                </pic:pic>
              </a:graphicData>
            </a:graphic>
          </wp:anchor>
        </w:drawing>
      </w:r>
    </w:p>
    <w:p>
      <w:pPr>
        <w:spacing w:after="0" w:line="206"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non-employee Directors may continue to elect the deferral of all or a portion of their annual cash retainer.</w:t>
      </w:r>
    </w:p>
    <w:p>
      <w:pPr>
        <w:spacing w:after="0" w:line="4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Also, effective December 31, 2021, the Governance Committee terminated the non-employee Directors’ accidental death and dismemberment insurance, which coverage will not be replaced.</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0B2D71"/>
        </w:rPr>
        <w:t>Director stock ownership guidelines</w:t>
      </w:r>
    </w:p>
    <w:p>
      <w:pPr>
        <w:spacing w:after="0" w:line="11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Under the Corporate Governance Guidelines, each non-employee Director is expected, within five years of when the individual first becomes subject to the guidelines, to own shares of Chevron common stock that have a value equal to seven times their annual cash retainer, or 15,000 shares, for serving as a Director. Shares may be owned directly by the individual, owned jointly with, or separately by, the individual’s spouse, or held in trust for the benefit of the individual, the individual’s spouse, or the individual’s children. All non-employee Directors with more than five years of service have met our stock ownership guidelines, and all non-employee Directors with less than five years of service have met or are on target to meet our stock ownership guidelines within the expected time.</w:t>
      </w:r>
    </w:p>
    <w:p>
      <w:pPr>
        <w:spacing w:after="0" w:line="474" w:lineRule="exact"/>
        <w:rPr>
          <w:sz w:val="20"/>
          <w:szCs w:val="20"/>
          <w:color w:val="auto"/>
        </w:rPr>
      </w:pPr>
    </w:p>
    <w:p>
      <w:pPr>
        <w:sectPr>
          <w:pgSz w:w="11900" w:h="16838" w:orient="portrait"/>
          <w:cols w:equalWidth="0" w:num="2">
            <w:col w:w="5400" w:space="340"/>
            <w:col w:w="5400"/>
          </w:cols>
          <w:pgMar w:left="320" w:top="455" w:right="439" w:bottom="1440" w:gutter="0" w:footer="0" w:header="0"/>
        </w:sectPr>
      </w:pPr>
    </w:p>
    <w:p>
      <w:pPr>
        <w:spacing w:after="0" w:line="26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0B2D71"/>
        </w:rPr>
        <w:t>2021 non-employee director compensation</w:t>
      </w:r>
    </w:p>
    <w:p>
      <w:pPr>
        <w:spacing w:after="0" w:line="134" w:lineRule="exact"/>
        <w:rPr>
          <w:sz w:val="20"/>
          <w:szCs w:val="20"/>
          <w:color w:val="auto"/>
        </w:rPr>
      </w:pPr>
    </w:p>
    <w:p>
      <w:pPr>
        <w:ind w:left="120" w:right="200"/>
        <w:spacing w:after="0" w:line="286" w:lineRule="auto"/>
        <w:rPr>
          <w:sz w:val="20"/>
          <w:szCs w:val="20"/>
          <w:color w:val="auto"/>
        </w:rPr>
      </w:pPr>
      <w:r>
        <w:rPr>
          <w:rFonts w:ascii="Arial" w:cs="Arial" w:eastAsia="Arial" w:hAnsi="Arial"/>
          <w:sz w:val="16"/>
          <w:szCs w:val="16"/>
          <w:color w:val="auto"/>
        </w:rPr>
        <w:t>The 2021 amounts for our non-employee Directors’ annual compensation, and the additional annual cash retainer for each Board Committee Chair, are described below.</w:t>
      </w:r>
    </w:p>
    <w:p>
      <w:pPr>
        <w:spacing w:after="0" w:line="75" w:lineRule="exact"/>
        <w:rPr>
          <w:sz w:val="20"/>
          <w:szCs w:val="20"/>
          <w:color w:val="auto"/>
        </w:rPr>
      </w:pPr>
    </w:p>
    <w:tbl>
      <w:tblPr>
        <w:tblLayout w:type="fixed"/>
        <w:tblInd w:w="130" w:type="dxa"/>
        <w:tblCellMar>
          <w:top w:w="0" w:type="dxa"/>
          <w:left w:w="0" w:type="dxa"/>
          <w:bottom w:w="0" w:type="dxa"/>
          <w:right w:w="0" w:type="dxa"/>
        </w:tblCellMar>
      </w:tblPr>
      <w:tr>
        <w:trPr>
          <w:trHeight w:val="230"/>
        </w:trPr>
        <w:tc>
          <w:tcPr>
            <w:tcW w:w="8100" w:type="dxa"/>
            <w:vAlign w:val="bottom"/>
            <w:tcBorders>
              <w:left w:val="single" w:sz="8" w:color="7F7F7F"/>
            </w:tcBorders>
            <w:shd w:val="clear" w:color="auto" w:fill="0066B2"/>
          </w:tcPr>
          <w:p>
            <w:pPr>
              <w:ind w:left="160"/>
              <w:spacing w:after="0"/>
              <w:rPr>
                <w:sz w:val="20"/>
                <w:szCs w:val="20"/>
                <w:color w:val="auto"/>
              </w:rPr>
            </w:pPr>
            <w:r>
              <w:rPr>
                <w:rFonts w:ascii="Arial" w:cs="Arial" w:eastAsia="Arial" w:hAnsi="Arial"/>
                <w:sz w:val="16"/>
                <w:szCs w:val="16"/>
                <w:b w:val="1"/>
                <w:bCs w:val="1"/>
                <w:color w:val="FFFFFF"/>
              </w:rPr>
              <w:t>Position</w:t>
            </w:r>
          </w:p>
        </w:tc>
        <w:tc>
          <w:tcPr>
            <w:tcW w:w="1900" w:type="dxa"/>
            <w:vAlign w:val="bottom"/>
            <w:gridSpan w:val="2"/>
            <w:shd w:val="clear" w:color="auto" w:fill="0066B2"/>
          </w:tcPr>
          <w:p>
            <w:pPr>
              <w:jc w:val="right"/>
              <w:ind w:right="199"/>
              <w:spacing w:after="0"/>
              <w:rPr>
                <w:sz w:val="20"/>
                <w:szCs w:val="20"/>
                <w:color w:val="auto"/>
              </w:rPr>
            </w:pPr>
            <w:r>
              <w:rPr>
                <w:rFonts w:ascii="Arial" w:cs="Arial" w:eastAsia="Arial" w:hAnsi="Arial"/>
                <w:sz w:val="16"/>
                <w:szCs w:val="16"/>
                <w:b w:val="1"/>
                <w:bCs w:val="1"/>
                <w:color w:val="FFFFFF"/>
              </w:rPr>
              <w:t>Cash Retainer</w:t>
            </w:r>
          </w:p>
        </w:tc>
        <w:tc>
          <w:tcPr>
            <w:tcW w:w="1040" w:type="dxa"/>
            <w:vAlign w:val="bottom"/>
            <w:tcBorders>
              <w:right w:val="single" w:sz="8" w:color="7F7F7F"/>
            </w:tcBorders>
            <w:shd w:val="clear" w:color="auto" w:fill="0066B2"/>
          </w:tcPr>
          <w:p>
            <w:pPr>
              <w:ind w:left="400"/>
              <w:spacing w:after="0"/>
              <w:rPr>
                <w:sz w:val="20"/>
                <w:szCs w:val="20"/>
                <w:color w:val="auto"/>
              </w:rPr>
            </w:pPr>
            <w:r>
              <w:rPr>
                <w:rFonts w:ascii="Arial" w:cs="Arial" w:eastAsia="Arial" w:hAnsi="Arial"/>
                <w:sz w:val="16"/>
                <w:szCs w:val="16"/>
                <w:b w:val="1"/>
                <w:bCs w:val="1"/>
                <w:color w:val="FFFFFF"/>
              </w:rPr>
              <w:t>RSUs</w:t>
            </w:r>
          </w:p>
        </w:tc>
      </w:tr>
      <w:tr>
        <w:trPr>
          <w:trHeight w:val="230"/>
        </w:trPr>
        <w:tc>
          <w:tcPr>
            <w:tcW w:w="810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Non-Employee Director</w:t>
            </w:r>
          </w:p>
        </w:tc>
        <w:tc>
          <w:tcPr>
            <w:tcW w:w="9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D8D8D8"/>
          </w:tcPr>
          <w:p>
            <w:pPr>
              <w:jc w:val="right"/>
              <w:ind w:right="279"/>
              <w:spacing w:after="0"/>
              <w:rPr>
                <w:sz w:val="20"/>
                <w:szCs w:val="20"/>
                <w:color w:val="auto"/>
              </w:rPr>
            </w:pPr>
            <w:r>
              <w:rPr>
                <w:rFonts w:ascii="Arial" w:cs="Arial" w:eastAsia="Arial" w:hAnsi="Arial"/>
                <w:sz w:val="16"/>
                <w:szCs w:val="16"/>
                <w:color w:val="auto"/>
                <w:w w:val="96"/>
              </w:rPr>
              <w:t>150,000</w:t>
            </w:r>
          </w:p>
        </w:tc>
        <w:tc>
          <w:tcPr>
            <w:tcW w:w="1040" w:type="dxa"/>
            <w:vAlign w:val="bottom"/>
            <w:tcBorders>
              <w:right w:val="single" w:sz="8" w:color="7F7F7F"/>
            </w:tcBorders>
            <w:shd w:val="clear" w:color="auto" w:fill="D8D8D8"/>
          </w:tcPr>
          <w:p>
            <w:pPr>
              <w:jc w:val="center"/>
              <w:ind w:left="99"/>
              <w:spacing w:after="0"/>
              <w:rPr>
                <w:sz w:val="20"/>
                <w:szCs w:val="20"/>
                <w:color w:val="auto"/>
              </w:rPr>
            </w:pPr>
            <w:r>
              <w:rPr>
                <w:rFonts w:ascii="Arial" w:cs="Arial" w:eastAsia="Arial" w:hAnsi="Arial"/>
                <w:sz w:val="16"/>
                <w:szCs w:val="16"/>
                <w:color w:val="auto"/>
                <w:w w:val="98"/>
              </w:rPr>
              <w:t>$225,000</w:t>
            </w:r>
          </w:p>
        </w:tc>
      </w:tr>
      <w:tr>
        <w:trPr>
          <w:trHeight w:val="229"/>
        </w:trPr>
        <w:tc>
          <w:tcPr>
            <w:tcW w:w="810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Independent Lead Director</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79"/>
              <w:spacing w:after="0"/>
              <w:rPr>
                <w:sz w:val="20"/>
                <w:szCs w:val="20"/>
                <w:color w:val="auto"/>
              </w:rPr>
            </w:pPr>
            <w:r>
              <w:rPr>
                <w:rFonts w:ascii="Arial" w:cs="Arial" w:eastAsia="Arial" w:hAnsi="Arial"/>
                <w:sz w:val="16"/>
                <w:szCs w:val="16"/>
                <w:color w:val="auto"/>
              </w:rPr>
              <w:t>30,000</w:t>
            </w:r>
          </w:p>
        </w:tc>
        <w:tc>
          <w:tcPr>
            <w:tcW w:w="1040" w:type="dxa"/>
            <w:vAlign w:val="bottom"/>
            <w:tcBorders>
              <w:right w:val="single" w:sz="8" w:color="7F7F7F"/>
            </w:tcBorders>
          </w:tcPr>
          <w:p>
            <w:pPr>
              <w:jc w:val="center"/>
              <w:ind w:left="99"/>
              <w:spacing w:after="0"/>
              <w:rPr>
                <w:sz w:val="20"/>
                <w:szCs w:val="20"/>
                <w:color w:val="auto"/>
              </w:rPr>
            </w:pPr>
            <w:r>
              <w:rPr>
                <w:rFonts w:ascii="Arial" w:cs="Arial" w:eastAsia="Arial" w:hAnsi="Arial"/>
                <w:sz w:val="16"/>
                <w:szCs w:val="16"/>
                <w:color w:val="auto"/>
              </w:rPr>
              <w:t>–</w:t>
            </w:r>
          </w:p>
        </w:tc>
      </w:tr>
      <w:tr>
        <w:trPr>
          <w:trHeight w:val="230"/>
        </w:trPr>
        <w:tc>
          <w:tcPr>
            <w:tcW w:w="810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Audit Committee Chair</w:t>
            </w:r>
          </w:p>
        </w:tc>
        <w:tc>
          <w:tcPr>
            <w:tcW w:w="9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D8D8D8"/>
          </w:tcPr>
          <w:p>
            <w:pPr>
              <w:jc w:val="right"/>
              <w:ind w:right="279"/>
              <w:spacing w:after="0"/>
              <w:rPr>
                <w:sz w:val="20"/>
                <w:szCs w:val="20"/>
                <w:color w:val="auto"/>
              </w:rPr>
            </w:pPr>
            <w:r>
              <w:rPr>
                <w:rFonts w:ascii="Arial" w:cs="Arial" w:eastAsia="Arial" w:hAnsi="Arial"/>
                <w:sz w:val="16"/>
                <w:szCs w:val="16"/>
                <w:color w:val="auto"/>
              </w:rPr>
              <w:t>30,000</w:t>
            </w:r>
          </w:p>
        </w:tc>
        <w:tc>
          <w:tcPr>
            <w:tcW w:w="1040" w:type="dxa"/>
            <w:vAlign w:val="bottom"/>
            <w:tcBorders>
              <w:right w:val="single" w:sz="8" w:color="7F7F7F"/>
            </w:tcBorders>
            <w:shd w:val="clear" w:color="auto" w:fill="D8D8D8"/>
          </w:tcPr>
          <w:p>
            <w:pPr>
              <w:jc w:val="center"/>
              <w:ind w:left="99"/>
              <w:spacing w:after="0"/>
              <w:rPr>
                <w:sz w:val="20"/>
                <w:szCs w:val="20"/>
                <w:color w:val="auto"/>
              </w:rPr>
            </w:pPr>
            <w:r>
              <w:rPr>
                <w:rFonts w:ascii="Arial" w:cs="Arial" w:eastAsia="Arial" w:hAnsi="Arial"/>
                <w:sz w:val="16"/>
                <w:szCs w:val="16"/>
                <w:color w:val="auto"/>
              </w:rPr>
              <w:t>–</w:t>
            </w:r>
          </w:p>
        </w:tc>
      </w:tr>
      <w:tr>
        <w:trPr>
          <w:trHeight w:val="229"/>
        </w:trPr>
        <w:tc>
          <w:tcPr>
            <w:tcW w:w="810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Board Nominating and Governance Committee Chair</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79"/>
              <w:spacing w:after="0"/>
              <w:rPr>
                <w:sz w:val="20"/>
                <w:szCs w:val="20"/>
                <w:color w:val="auto"/>
              </w:rPr>
            </w:pPr>
            <w:r>
              <w:rPr>
                <w:rFonts w:ascii="Arial" w:cs="Arial" w:eastAsia="Arial" w:hAnsi="Arial"/>
                <w:sz w:val="16"/>
                <w:szCs w:val="16"/>
                <w:color w:val="auto"/>
              </w:rPr>
              <w:t>20,000</w:t>
            </w:r>
          </w:p>
        </w:tc>
        <w:tc>
          <w:tcPr>
            <w:tcW w:w="1040" w:type="dxa"/>
            <w:vAlign w:val="bottom"/>
            <w:tcBorders>
              <w:right w:val="single" w:sz="8" w:color="7F7F7F"/>
            </w:tcBorders>
          </w:tcPr>
          <w:p>
            <w:pPr>
              <w:jc w:val="center"/>
              <w:ind w:left="99"/>
              <w:spacing w:after="0"/>
              <w:rPr>
                <w:sz w:val="20"/>
                <w:szCs w:val="20"/>
                <w:color w:val="auto"/>
              </w:rPr>
            </w:pPr>
            <w:r>
              <w:rPr>
                <w:rFonts w:ascii="Arial" w:cs="Arial" w:eastAsia="Arial" w:hAnsi="Arial"/>
                <w:sz w:val="16"/>
                <w:szCs w:val="16"/>
                <w:color w:val="auto"/>
              </w:rPr>
              <w:t>–</w:t>
            </w:r>
          </w:p>
        </w:tc>
      </w:tr>
      <w:tr>
        <w:trPr>
          <w:trHeight w:val="230"/>
        </w:trPr>
        <w:tc>
          <w:tcPr>
            <w:tcW w:w="810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Management Compensation Committee Chair</w:t>
            </w:r>
          </w:p>
        </w:tc>
        <w:tc>
          <w:tcPr>
            <w:tcW w:w="9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D8D8D8"/>
          </w:tcPr>
          <w:p>
            <w:pPr>
              <w:jc w:val="right"/>
              <w:ind w:right="279"/>
              <w:spacing w:after="0"/>
              <w:rPr>
                <w:sz w:val="20"/>
                <w:szCs w:val="20"/>
                <w:color w:val="auto"/>
              </w:rPr>
            </w:pPr>
            <w:r>
              <w:rPr>
                <w:rFonts w:ascii="Arial" w:cs="Arial" w:eastAsia="Arial" w:hAnsi="Arial"/>
                <w:sz w:val="16"/>
                <w:szCs w:val="16"/>
                <w:color w:val="auto"/>
              </w:rPr>
              <w:t>25,000</w:t>
            </w:r>
          </w:p>
        </w:tc>
        <w:tc>
          <w:tcPr>
            <w:tcW w:w="1040" w:type="dxa"/>
            <w:vAlign w:val="bottom"/>
            <w:tcBorders>
              <w:right w:val="single" w:sz="8" w:color="7F7F7F"/>
            </w:tcBorders>
            <w:shd w:val="clear" w:color="auto" w:fill="D8D8D8"/>
          </w:tcPr>
          <w:p>
            <w:pPr>
              <w:jc w:val="center"/>
              <w:ind w:left="99"/>
              <w:spacing w:after="0"/>
              <w:rPr>
                <w:sz w:val="20"/>
                <w:szCs w:val="20"/>
                <w:color w:val="auto"/>
              </w:rPr>
            </w:pPr>
            <w:r>
              <w:rPr>
                <w:rFonts w:ascii="Arial" w:cs="Arial" w:eastAsia="Arial" w:hAnsi="Arial"/>
                <w:sz w:val="16"/>
                <w:szCs w:val="16"/>
                <w:color w:val="auto"/>
              </w:rPr>
              <w:t>–</w:t>
            </w:r>
          </w:p>
        </w:tc>
      </w:tr>
      <w:tr>
        <w:trPr>
          <w:trHeight w:val="228"/>
        </w:trPr>
        <w:tc>
          <w:tcPr>
            <w:tcW w:w="8100" w:type="dxa"/>
            <w:vAlign w:val="bottom"/>
            <w:tcBorders>
              <w:left w:val="single" w:sz="8" w:color="7F7F7F"/>
              <w:bottom w:val="single" w:sz="8" w:color="7F7F7F"/>
            </w:tcBorders>
          </w:tcPr>
          <w:p>
            <w:pPr>
              <w:ind w:left="160"/>
              <w:spacing w:after="0"/>
              <w:rPr>
                <w:sz w:val="20"/>
                <w:szCs w:val="20"/>
                <w:color w:val="auto"/>
              </w:rPr>
            </w:pPr>
            <w:r>
              <w:rPr>
                <w:rFonts w:ascii="Arial" w:cs="Arial" w:eastAsia="Arial" w:hAnsi="Arial"/>
                <w:sz w:val="16"/>
                <w:szCs w:val="16"/>
                <w:color w:val="auto"/>
              </w:rPr>
              <w:t>Public Policy and Sustainability Committee Chair</w:t>
            </w:r>
          </w:p>
        </w:tc>
        <w:tc>
          <w:tcPr>
            <w:tcW w:w="9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279"/>
              <w:spacing w:after="0"/>
              <w:rPr>
                <w:sz w:val="20"/>
                <w:szCs w:val="20"/>
                <w:color w:val="auto"/>
              </w:rPr>
            </w:pPr>
            <w:r>
              <w:rPr>
                <w:rFonts w:ascii="Arial" w:cs="Arial" w:eastAsia="Arial" w:hAnsi="Arial"/>
                <w:sz w:val="16"/>
                <w:szCs w:val="16"/>
                <w:color w:val="auto"/>
              </w:rPr>
              <w:t>20,000</w:t>
            </w:r>
          </w:p>
        </w:tc>
        <w:tc>
          <w:tcPr>
            <w:tcW w:w="1040" w:type="dxa"/>
            <w:vAlign w:val="bottom"/>
            <w:tcBorders>
              <w:bottom w:val="single" w:sz="8" w:color="7F7F7F"/>
              <w:right w:val="single" w:sz="8" w:color="7F7F7F"/>
            </w:tcBorders>
          </w:tcPr>
          <w:p>
            <w:pPr>
              <w:jc w:val="center"/>
              <w:ind w:left="99"/>
              <w:spacing w:after="0"/>
              <w:rPr>
                <w:sz w:val="20"/>
                <w:szCs w:val="20"/>
                <w:color w:val="auto"/>
              </w:rPr>
            </w:pPr>
            <w:r>
              <w:rPr>
                <w:rFonts w:ascii="Arial" w:cs="Arial" w:eastAsia="Arial" w:hAnsi="Arial"/>
                <w:sz w:val="16"/>
                <w:szCs w:val="16"/>
                <w:color w:val="auto"/>
              </w:rPr>
              <w:t>–</w:t>
            </w:r>
          </w:p>
        </w:tc>
      </w:tr>
    </w:tbl>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140"/>
          </w:cols>
          <w:pgMar w:left="320" w:top="455" w:right="4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40589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05890" cy="146050"/>
                    </a:xfrm>
                    <a:prstGeom prst="rect">
                      <a:avLst/>
                    </a:prstGeom>
                    <a:noFill/>
                  </pic:spPr>
                </pic:pic>
              </a:graphicData>
            </a:graphic>
          </wp:anchor>
        </w:drawing>
      </w:r>
    </w:p>
    <w:p>
      <w:pPr>
        <w:spacing w:after="0" w:line="339"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FFFFFF"/>
        </w:rPr>
        <w:t>Director compensation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Compensation during the fiscal year ended December 31, 2021</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B2D71"/>
        </w:rPr>
        <w:t>The following table sets forth the compensation of our non-employee Directors for the fiscal year ended December 31, 2021.</w:t>
      </w:r>
    </w:p>
    <w:p>
      <w:pPr>
        <w:spacing w:after="0" w:line="141" w:lineRule="exact"/>
        <w:rPr>
          <w:sz w:val="20"/>
          <w:szCs w:val="20"/>
          <w:color w:val="auto"/>
        </w:rPr>
      </w:pPr>
    </w:p>
    <w:tbl>
      <w:tblPr>
        <w:tblLayout w:type="fixed"/>
        <w:tblInd w:w="130" w:type="dxa"/>
        <w:tblCellMar>
          <w:top w:w="0" w:type="dxa"/>
          <w:left w:w="0" w:type="dxa"/>
          <w:bottom w:w="0" w:type="dxa"/>
          <w:right w:w="0" w:type="dxa"/>
        </w:tblCellMar>
      </w:tblPr>
      <w:tr>
        <w:trPr>
          <w:trHeight w:val="188"/>
        </w:trPr>
        <w:tc>
          <w:tcPr>
            <w:tcW w:w="5380" w:type="dxa"/>
            <w:vAlign w:val="bottom"/>
            <w:tcBorders>
              <w:left w:val="single" w:sz="8" w:color="7F7F7F"/>
            </w:tcBorders>
            <w:shd w:val="clear" w:color="auto" w:fill="0066B2"/>
          </w:tcPr>
          <w:p>
            <w:pPr>
              <w:spacing w:after="0"/>
              <w:rPr>
                <w:sz w:val="16"/>
                <w:szCs w:val="16"/>
                <w:color w:val="auto"/>
              </w:rPr>
            </w:pPr>
          </w:p>
        </w:tc>
        <w:tc>
          <w:tcPr>
            <w:tcW w:w="260" w:type="dxa"/>
            <w:vAlign w:val="bottom"/>
            <w:shd w:val="clear" w:color="auto" w:fill="0066B2"/>
          </w:tcPr>
          <w:p>
            <w:pPr>
              <w:spacing w:after="0"/>
              <w:rPr>
                <w:sz w:val="16"/>
                <w:szCs w:val="16"/>
                <w:color w:val="auto"/>
              </w:rPr>
            </w:pPr>
          </w:p>
        </w:tc>
        <w:tc>
          <w:tcPr>
            <w:tcW w:w="1400" w:type="dxa"/>
            <w:vAlign w:val="bottom"/>
            <w:shd w:val="clear" w:color="auto" w:fill="0066B2"/>
          </w:tcPr>
          <w:p>
            <w:pPr>
              <w:jc w:val="center"/>
              <w:ind w:right="140"/>
              <w:spacing w:after="0"/>
              <w:rPr>
                <w:sz w:val="20"/>
                <w:szCs w:val="20"/>
                <w:color w:val="auto"/>
              </w:rPr>
            </w:pPr>
            <w:r>
              <w:rPr>
                <w:rFonts w:ascii="Arial" w:cs="Arial" w:eastAsia="Arial" w:hAnsi="Arial"/>
                <w:sz w:val="16"/>
                <w:szCs w:val="16"/>
                <w:b w:val="1"/>
                <w:bCs w:val="1"/>
                <w:color w:val="FFFFFF"/>
              </w:rPr>
              <w:t>Fees earned or</w:t>
            </w:r>
          </w:p>
        </w:tc>
        <w:tc>
          <w:tcPr>
            <w:tcW w:w="200" w:type="dxa"/>
            <w:vAlign w:val="bottom"/>
            <w:shd w:val="clear" w:color="auto" w:fill="0066B2"/>
          </w:tcPr>
          <w:p>
            <w:pPr>
              <w:spacing w:after="0"/>
              <w:rPr>
                <w:sz w:val="16"/>
                <w:szCs w:val="16"/>
                <w:color w:val="auto"/>
              </w:rPr>
            </w:pPr>
          </w:p>
        </w:tc>
        <w:tc>
          <w:tcPr>
            <w:tcW w:w="820" w:type="dxa"/>
            <w:vAlign w:val="bottom"/>
            <w:shd w:val="clear" w:color="auto" w:fill="0066B2"/>
          </w:tcPr>
          <w:p>
            <w:pPr>
              <w:jc w:val="center"/>
              <w:ind w:right="139"/>
              <w:spacing w:after="0"/>
              <w:rPr>
                <w:sz w:val="20"/>
                <w:szCs w:val="20"/>
                <w:color w:val="auto"/>
              </w:rPr>
            </w:pPr>
            <w:r>
              <w:rPr>
                <w:rFonts w:ascii="Arial" w:cs="Arial" w:eastAsia="Arial" w:hAnsi="Arial"/>
                <w:sz w:val="16"/>
                <w:szCs w:val="16"/>
                <w:b w:val="1"/>
                <w:bCs w:val="1"/>
                <w:color w:val="FFFFFF"/>
              </w:rPr>
              <w:t>Stock</w:t>
            </w:r>
          </w:p>
        </w:tc>
        <w:tc>
          <w:tcPr>
            <w:tcW w:w="760" w:type="dxa"/>
            <w:vAlign w:val="bottom"/>
            <w:shd w:val="clear" w:color="auto" w:fill="0066B2"/>
          </w:tcPr>
          <w:p>
            <w:pPr>
              <w:ind w:left="120"/>
              <w:spacing w:after="0"/>
              <w:rPr>
                <w:sz w:val="20"/>
                <w:szCs w:val="20"/>
                <w:color w:val="auto"/>
              </w:rPr>
            </w:pPr>
            <w:r>
              <w:rPr>
                <w:rFonts w:ascii="Arial" w:cs="Arial" w:eastAsia="Arial" w:hAnsi="Arial"/>
                <w:sz w:val="16"/>
                <w:szCs w:val="16"/>
                <w:b w:val="1"/>
                <w:bCs w:val="1"/>
                <w:color w:val="FFFFFF"/>
              </w:rPr>
              <w:t>Option</w:t>
            </w:r>
          </w:p>
        </w:tc>
        <w:tc>
          <w:tcPr>
            <w:tcW w:w="1220" w:type="dxa"/>
            <w:vAlign w:val="bottom"/>
            <w:gridSpan w:val="2"/>
            <w:shd w:val="clear" w:color="auto" w:fill="0066B2"/>
          </w:tcPr>
          <w:p>
            <w:pPr>
              <w:jc w:val="center"/>
              <w:spacing w:after="0"/>
              <w:rPr>
                <w:sz w:val="20"/>
                <w:szCs w:val="20"/>
                <w:color w:val="auto"/>
              </w:rPr>
            </w:pPr>
            <w:r>
              <w:rPr>
                <w:rFonts w:ascii="Arial" w:cs="Arial" w:eastAsia="Arial" w:hAnsi="Arial"/>
                <w:sz w:val="16"/>
                <w:szCs w:val="16"/>
                <w:b w:val="1"/>
                <w:bCs w:val="1"/>
                <w:color w:val="FFFFFF"/>
                <w:w w:val="98"/>
              </w:rPr>
              <w:t>All other</w:t>
            </w:r>
          </w:p>
        </w:tc>
        <w:tc>
          <w:tcPr>
            <w:tcW w:w="240" w:type="dxa"/>
            <w:vAlign w:val="bottom"/>
            <w:shd w:val="clear" w:color="auto" w:fill="0066B2"/>
          </w:tcPr>
          <w:p>
            <w:pPr>
              <w:spacing w:after="0"/>
              <w:rPr>
                <w:sz w:val="16"/>
                <w:szCs w:val="16"/>
                <w:color w:val="auto"/>
              </w:rPr>
            </w:pPr>
          </w:p>
        </w:tc>
        <w:tc>
          <w:tcPr>
            <w:tcW w:w="760" w:type="dxa"/>
            <w:vAlign w:val="bottom"/>
            <w:tcBorders>
              <w:right w:val="single" w:sz="8" w:color="7F7F7F"/>
            </w:tcBorders>
            <w:shd w:val="clear" w:color="auto" w:fill="0066B2"/>
          </w:tcPr>
          <w:p>
            <w:pPr>
              <w:spacing w:after="0"/>
              <w:rPr>
                <w:sz w:val="16"/>
                <w:szCs w:val="16"/>
                <w:color w:val="auto"/>
              </w:rPr>
            </w:pPr>
          </w:p>
        </w:tc>
      </w:tr>
      <w:tr>
        <w:trPr>
          <w:trHeight w:val="186"/>
        </w:trPr>
        <w:tc>
          <w:tcPr>
            <w:tcW w:w="5380" w:type="dxa"/>
            <w:vAlign w:val="bottom"/>
            <w:tcBorders>
              <w:left w:val="single" w:sz="8" w:color="7F7F7F"/>
            </w:tcBorders>
            <w:shd w:val="clear" w:color="auto" w:fill="0066B2"/>
          </w:tcPr>
          <w:p>
            <w:pPr>
              <w:spacing w:after="0"/>
              <w:rPr>
                <w:sz w:val="16"/>
                <w:szCs w:val="16"/>
                <w:color w:val="auto"/>
              </w:rPr>
            </w:pPr>
          </w:p>
        </w:tc>
        <w:tc>
          <w:tcPr>
            <w:tcW w:w="260" w:type="dxa"/>
            <w:vAlign w:val="bottom"/>
            <w:shd w:val="clear" w:color="auto" w:fill="0066B2"/>
          </w:tcPr>
          <w:p>
            <w:pPr>
              <w:spacing w:after="0"/>
              <w:rPr>
                <w:sz w:val="16"/>
                <w:szCs w:val="16"/>
                <w:color w:val="auto"/>
              </w:rPr>
            </w:pPr>
          </w:p>
        </w:tc>
        <w:tc>
          <w:tcPr>
            <w:tcW w:w="1400" w:type="dxa"/>
            <w:vAlign w:val="bottom"/>
            <w:shd w:val="clear" w:color="auto" w:fill="0066B2"/>
          </w:tcPr>
          <w:p>
            <w:pPr>
              <w:jc w:val="center"/>
              <w:ind w:right="140"/>
              <w:spacing w:after="0"/>
              <w:rPr>
                <w:sz w:val="20"/>
                <w:szCs w:val="20"/>
                <w:color w:val="auto"/>
              </w:rPr>
            </w:pPr>
            <w:r>
              <w:rPr>
                <w:rFonts w:ascii="Arial" w:cs="Arial" w:eastAsia="Arial" w:hAnsi="Arial"/>
                <w:sz w:val="16"/>
                <w:szCs w:val="16"/>
                <w:b w:val="1"/>
                <w:bCs w:val="1"/>
                <w:color w:val="FFFFFF"/>
              </w:rPr>
              <w:t>paid in cash</w:t>
            </w:r>
          </w:p>
        </w:tc>
        <w:tc>
          <w:tcPr>
            <w:tcW w:w="200" w:type="dxa"/>
            <w:vAlign w:val="bottom"/>
            <w:shd w:val="clear" w:color="auto" w:fill="0066B2"/>
          </w:tcPr>
          <w:p>
            <w:pPr>
              <w:spacing w:after="0"/>
              <w:rPr>
                <w:sz w:val="16"/>
                <w:szCs w:val="16"/>
                <w:color w:val="auto"/>
              </w:rPr>
            </w:pPr>
          </w:p>
        </w:tc>
        <w:tc>
          <w:tcPr>
            <w:tcW w:w="820" w:type="dxa"/>
            <w:vAlign w:val="bottom"/>
            <w:shd w:val="clear" w:color="auto" w:fill="0066B2"/>
          </w:tcPr>
          <w:p>
            <w:pPr>
              <w:jc w:val="center"/>
              <w:ind w:right="139"/>
              <w:spacing w:after="0"/>
              <w:rPr>
                <w:sz w:val="20"/>
                <w:szCs w:val="20"/>
                <w:color w:val="auto"/>
              </w:rPr>
            </w:pPr>
            <w:r>
              <w:rPr>
                <w:rFonts w:ascii="Arial" w:cs="Arial" w:eastAsia="Arial" w:hAnsi="Arial"/>
                <w:sz w:val="16"/>
                <w:szCs w:val="16"/>
                <w:b w:val="1"/>
                <w:bCs w:val="1"/>
                <w:color w:val="FFFFFF"/>
              </w:rPr>
              <w:t>awards</w:t>
            </w:r>
          </w:p>
        </w:tc>
        <w:tc>
          <w:tcPr>
            <w:tcW w:w="760" w:type="dxa"/>
            <w:vAlign w:val="bottom"/>
            <w:shd w:val="clear" w:color="auto" w:fill="0066B2"/>
          </w:tcPr>
          <w:p>
            <w:pPr>
              <w:ind w:left="100"/>
              <w:spacing w:after="0"/>
              <w:rPr>
                <w:sz w:val="20"/>
                <w:szCs w:val="20"/>
                <w:color w:val="auto"/>
              </w:rPr>
            </w:pPr>
            <w:r>
              <w:rPr>
                <w:rFonts w:ascii="Arial" w:cs="Arial" w:eastAsia="Arial" w:hAnsi="Arial"/>
                <w:sz w:val="16"/>
                <w:szCs w:val="16"/>
                <w:b w:val="1"/>
                <w:bCs w:val="1"/>
                <w:color w:val="FFFFFF"/>
              </w:rPr>
              <w:t>awards</w:t>
            </w:r>
          </w:p>
        </w:tc>
        <w:tc>
          <w:tcPr>
            <w:tcW w:w="1220" w:type="dxa"/>
            <w:vAlign w:val="bottom"/>
            <w:gridSpan w:val="2"/>
            <w:shd w:val="clear" w:color="auto" w:fill="0066B2"/>
          </w:tcPr>
          <w:p>
            <w:pPr>
              <w:jc w:val="center"/>
              <w:spacing w:after="0"/>
              <w:rPr>
                <w:sz w:val="20"/>
                <w:szCs w:val="20"/>
                <w:color w:val="auto"/>
              </w:rPr>
            </w:pPr>
            <w:r>
              <w:rPr>
                <w:rFonts w:ascii="Arial" w:cs="Arial" w:eastAsia="Arial" w:hAnsi="Arial"/>
                <w:sz w:val="16"/>
                <w:szCs w:val="16"/>
                <w:b w:val="1"/>
                <w:bCs w:val="1"/>
                <w:color w:val="FFFFFF"/>
                <w:w w:val="99"/>
              </w:rPr>
              <w:t>compensation</w:t>
            </w:r>
          </w:p>
        </w:tc>
        <w:tc>
          <w:tcPr>
            <w:tcW w:w="240" w:type="dxa"/>
            <w:vAlign w:val="bottom"/>
            <w:shd w:val="clear" w:color="auto" w:fill="0066B2"/>
          </w:tcPr>
          <w:p>
            <w:pPr>
              <w:spacing w:after="0"/>
              <w:rPr>
                <w:sz w:val="16"/>
                <w:szCs w:val="16"/>
                <w:color w:val="auto"/>
              </w:rPr>
            </w:pPr>
          </w:p>
        </w:tc>
        <w:tc>
          <w:tcPr>
            <w:tcW w:w="760" w:type="dxa"/>
            <w:vAlign w:val="bottom"/>
            <w:tcBorders>
              <w:right w:val="single" w:sz="8" w:color="7F7F7F"/>
            </w:tcBorders>
            <w:shd w:val="clear" w:color="auto" w:fill="0066B2"/>
          </w:tcPr>
          <w:p>
            <w:pPr>
              <w:jc w:val="right"/>
              <w:ind w:right="239"/>
              <w:spacing w:after="0"/>
              <w:rPr>
                <w:sz w:val="20"/>
                <w:szCs w:val="20"/>
                <w:color w:val="auto"/>
              </w:rPr>
            </w:pPr>
            <w:r>
              <w:rPr>
                <w:rFonts w:ascii="Arial" w:cs="Arial" w:eastAsia="Arial" w:hAnsi="Arial"/>
                <w:sz w:val="16"/>
                <w:szCs w:val="16"/>
                <w:b w:val="1"/>
                <w:bCs w:val="1"/>
                <w:color w:val="FFFFFF"/>
              </w:rPr>
              <w:t>Total</w:t>
            </w:r>
          </w:p>
        </w:tc>
      </w:tr>
      <w:tr>
        <w:trPr>
          <w:trHeight w:val="260"/>
        </w:trPr>
        <w:tc>
          <w:tcPr>
            <w:tcW w:w="5380" w:type="dxa"/>
            <w:vAlign w:val="bottom"/>
            <w:tcBorders>
              <w:left w:val="single" w:sz="8" w:color="7F7F7F"/>
            </w:tcBorders>
            <w:shd w:val="clear" w:color="auto" w:fill="0066B2"/>
          </w:tcPr>
          <w:p>
            <w:pPr>
              <w:ind w:left="160"/>
              <w:spacing w:after="0"/>
              <w:rPr>
                <w:sz w:val="20"/>
                <w:szCs w:val="20"/>
                <w:color w:val="auto"/>
              </w:rPr>
            </w:pPr>
            <w:r>
              <w:rPr>
                <w:rFonts w:ascii="Arial" w:cs="Arial" w:eastAsia="Arial" w:hAnsi="Arial"/>
                <w:sz w:val="16"/>
                <w:szCs w:val="16"/>
                <w:b w:val="1"/>
                <w:bCs w:val="1"/>
                <w:color w:val="FFFFFF"/>
              </w:rPr>
              <w:t>Name</w:t>
            </w:r>
          </w:p>
        </w:tc>
        <w:tc>
          <w:tcPr>
            <w:tcW w:w="260" w:type="dxa"/>
            <w:vAlign w:val="bottom"/>
            <w:shd w:val="clear" w:color="auto" w:fill="0066B2"/>
          </w:tcPr>
          <w:p>
            <w:pPr>
              <w:spacing w:after="0"/>
              <w:rPr>
                <w:sz w:val="22"/>
                <w:szCs w:val="22"/>
                <w:color w:val="auto"/>
              </w:rPr>
            </w:pPr>
          </w:p>
        </w:tc>
        <w:tc>
          <w:tcPr>
            <w:tcW w:w="1400" w:type="dxa"/>
            <w:vAlign w:val="bottom"/>
            <w:shd w:val="clear" w:color="auto" w:fill="0066B2"/>
          </w:tcPr>
          <w:p>
            <w:pPr>
              <w:jc w:val="center"/>
              <w:ind w:right="120"/>
              <w:spacing w:after="0" w:line="261" w:lineRule="exact"/>
              <w:rPr>
                <w:sz w:val="20"/>
                <w:szCs w:val="20"/>
                <w:color w:val="auto"/>
              </w:rPr>
            </w:pPr>
            <w:r>
              <w:rPr>
                <w:rFonts w:ascii="Arial" w:cs="Arial" w:eastAsia="Arial" w:hAnsi="Arial"/>
                <w:sz w:val="16"/>
                <w:szCs w:val="16"/>
                <w:b w:val="1"/>
                <w:bCs w:val="1"/>
                <w:color w:val="FFFFFF"/>
                <w:w w:val="86"/>
              </w:rPr>
              <w:t>($)</w:t>
            </w:r>
            <w:r>
              <w:rPr>
                <w:rFonts w:ascii="Arial" w:cs="Arial" w:eastAsia="Arial" w:hAnsi="Arial"/>
                <w:sz w:val="27"/>
                <w:szCs w:val="27"/>
                <w:b w:val="1"/>
                <w:bCs w:val="1"/>
                <w:color w:val="FFFFFF"/>
                <w:w w:val="86"/>
                <w:vertAlign w:val="superscript"/>
              </w:rPr>
              <w:t>(1)</w:t>
            </w:r>
          </w:p>
        </w:tc>
        <w:tc>
          <w:tcPr>
            <w:tcW w:w="200" w:type="dxa"/>
            <w:vAlign w:val="bottom"/>
            <w:shd w:val="clear" w:color="auto" w:fill="0066B2"/>
          </w:tcPr>
          <w:p>
            <w:pPr>
              <w:spacing w:after="0"/>
              <w:rPr>
                <w:sz w:val="22"/>
                <w:szCs w:val="22"/>
                <w:color w:val="auto"/>
              </w:rPr>
            </w:pPr>
          </w:p>
        </w:tc>
        <w:tc>
          <w:tcPr>
            <w:tcW w:w="820" w:type="dxa"/>
            <w:vAlign w:val="bottom"/>
            <w:shd w:val="clear" w:color="auto" w:fill="0066B2"/>
          </w:tcPr>
          <w:p>
            <w:pPr>
              <w:jc w:val="center"/>
              <w:ind w:right="139"/>
              <w:spacing w:after="0" w:line="261" w:lineRule="exact"/>
              <w:rPr>
                <w:sz w:val="20"/>
                <w:szCs w:val="20"/>
                <w:color w:val="auto"/>
              </w:rPr>
            </w:pPr>
            <w:r>
              <w:rPr>
                <w:rFonts w:ascii="Arial" w:cs="Arial" w:eastAsia="Arial" w:hAnsi="Arial"/>
                <w:sz w:val="16"/>
                <w:szCs w:val="16"/>
                <w:b w:val="1"/>
                <w:bCs w:val="1"/>
                <w:color w:val="FFFFFF"/>
                <w:w w:val="86"/>
              </w:rPr>
              <w:t>($)</w:t>
            </w:r>
            <w:r>
              <w:rPr>
                <w:rFonts w:ascii="Arial" w:cs="Arial" w:eastAsia="Arial" w:hAnsi="Arial"/>
                <w:sz w:val="27"/>
                <w:szCs w:val="27"/>
                <w:b w:val="1"/>
                <w:bCs w:val="1"/>
                <w:color w:val="FFFFFF"/>
                <w:w w:val="86"/>
                <w:vertAlign w:val="superscript"/>
              </w:rPr>
              <w:t>(2)</w:t>
            </w:r>
          </w:p>
        </w:tc>
        <w:tc>
          <w:tcPr>
            <w:tcW w:w="760" w:type="dxa"/>
            <w:vAlign w:val="bottom"/>
            <w:shd w:val="clear" w:color="auto" w:fill="0066B2"/>
          </w:tcPr>
          <w:p>
            <w:pPr>
              <w:jc w:val="center"/>
              <w:spacing w:after="0" w:line="261" w:lineRule="exact"/>
              <w:rPr>
                <w:sz w:val="20"/>
                <w:szCs w:val="20"/>
                <w:color w:val="auto"/>
              </w:rPr>
            </w:pPr>
            <w:r>
              <w:rPr>
                <w:rFonts w:ascii="Arial" w:cs="Arial" w:eastAsia="Arial" w:hAnsi="Arial"/>
                <w:sz w:val="16"/>
                <w:szCs w:val="16"/>
                <w:b w:val="1"/>
                <w:bCs w:val="1"/>
                <w:color w:val="FFFFFF"/>
                <w:w w:val="86"/>
              </w:rPr>
              <w:t>($)</w:t>
            </w:r>
            <w:r>
              <w:rPr>
                <w:rFonts w:ascii="Arial" w:cs="Arial" w:eastAsia="Arial" w:hAnsi="Arial"/>
                <w:sz w:val="27"/>
                <w:szCs w:val="27"/>
                <w:b w:val="1"/>
                <w:bCs w:val="1"/>
                <w:color w:val="FFFFFF"/>
                <w:w w:val="86"/>
                <w:vertAlign w:val="superscript"/>
              </w:rPr>
              <w:t>(3)</w:t>
            </w:r>
          </w:p>
        </w:tc>
        <w:tc>
          <w:tcPr>
            <w:tcW w:w="1220" w:type="dxa"/>
            <w:vAlign w:val="bottom"/>
            <w:gridSpan w:val="2"/>
            <w:shd w:val="clear" w:color="auto" w:fill="0066B2"/>
          </w:tcPr>
          <w:p>
            <w:pPr>
              <w:jc w:val="center"/>
              <w:spacing w:after="0" w:line="261" w:lineRule="exact"/>
              <w:rPr>
                <w:sz w:val="20"/>
                <w:szCs w:val="20"/>
                <w:color w:val="auto"/>
              </w:rPr>
            </w:pPr>
            <w:r>
              <w:rPr>
                <w:rFonts w:ascii="Arial" w:cs="Arial" w:eastAsia="Arial" w:hAnsi="Arial"/>
                <w:sz w:val="16"/>
                <w:szCs w:val="16"/>
                <w:b w:val="1"/>
                <w:bCs w:val="1"/>
                <w:color w:val="FFFFFF"/>
                <w:w w:val="86"/>
              </w:rPr>
              <w:t>($)</w:t>
            </w:r>
            <w:r>
              <w:rPr>
                <w:rFonts w:ascii="Arial" w:cs="Arial" w:eastAsia="Arial" w:hAnsi="Arial"/>
                <w:sz w:val="27"/>
                <w:szCs w:val="27"/>
                <w:b w:val="1"/>
                <w:bCs w:val="1"/>
                <w:color w:val="FFFFFF"/>
                <w:w w:val="86"/>
                <w:vertAlign w:val="superscript"/>
              </w:rPr>
              <w:t>(4)</w:t>
            </w:r>
          </w:p>
        </w:tc>
        <w:tc>
          <w:tcPr>
            <w:tcW w:w="240" w:type="dxa"/>
            <w:vAlign w:val="bottom"/>
            <w:shd w:val="clear" w:color="auto" w:fill="0066B2"/>
          </w:tcPr>
          <w:p>
            <w:pPr>
              <w:spacing w:after="0"/>
              <w:rPr>
                <w:sz w:val="22"/>
                <w:szCs w:val="22"/>
                <w:color w:val="auto"/>
              </w:rPr>
            </w:pPr>
          </w:p>
        </w:tc>
        <w:tc>
          <w:tcPr>
            <w:tcW w:w="760" w:type="dxa"/>
            <w:vAlign w:val="bottom"/>
            <w:tcBorders>
              <w:right w:val="single" w:sz="8" w:color="7F7F7F"/>
            </w:tcBorders>
            <w:shd w:val="clear" w:color="auto" w:fill="0066B2"/>
          </w:tcPr>
          <w:p>
            <w:pPr>
              <w:jc w:val="right"/>
              <w:ind w:right="319"/>
              <w:spacing w:after="0"/>
              <w:rPr>
                <w:sz w:val="20"/>
                <w:szCs w:val="20"/>
                <w:color w:val="auto"/>
              </w:rPr>
            </w:pPr>
            <w:r>
              <w:rPr>
                <w:rFonts w:ascii="Arial" w:cs="Arial" w:eastAsia="Arial" w:hAnsi="Arial"/>
                <w:sz w:val="16"/>
                <w:szCs w:val="16"/>
                <w:b w:val="1"/>
                <w:bCs w:val="1"/>
                <w:color w:val="FFFFFF"/>
              </w:rPr>
              <w:t>($)</w:t>
            </w:r>
          </w:p>
        </w:tc>
      </w:tr>
      <w:tr>
        <w:trPr>
          <w:trHeight w:val="229"/>
        </w:trPr>
        <w:tc>
          <w:tcPr>
            <w:tcW w:w="538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Wanda M. Austin</w:t>
            </w:r>
          </w:p>
        </w:tc>
        <w:tc>
          <w:tcPr>
            <w:tcW w:w="2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D8D8D8"/>
          </w:tcPr>
          <w:p>
            <w:pPr>
              <w:ind w:left="240"/>
              <w:spacing w:after="0"/>
              <w:rPr>
                <w:sz w:val="20"/>
                <w:szCs w:val="20"/>
                <w:color w:val="auto"/>
              </w:rPr>
            </w:pPr>
            <w:r>
              <w:rPr>
                <w:rFonts w:ascii="Arial" w:cs="Arial" w:eastAsia="Arial" w:hAnsi="Arial"/>
                <w:sz w:val="16"/>
                <w:szCs w:val="16"/>
                <w:color w:val="auto"/>
              </w:rPr>
              <w:t>85,000</w:t>
            </w:r>
            <w:r>
              <w:rPr>
                <w:rFonts w:ascii="Arial" w:cs="Arial" w:eastAsia="Arial" w:hAnsi="Arial"/>
                <w:sz w:val="13"/>
                <w:szCs w:val="13"/>
                <w:color w:val="auto"/>
              </w:rPr>
              <w:t>(5)(7)(8)</w:t>
            </w:r>
          </w:p>
        </w:tc>
        <w:tc>
          <w:tcPr>
            <w:tcW w:w="2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225,000</w:t>
            </w:r>
          </w:p>
        </w:tc>
        <w:tc>
          <w:tcPr>
            <w:tcW w:w="76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10,492</w:t>
            </w:r>
          </w:p>
        </w:tc>
        <w:tc>
          <w:tcPr>
            <w:tcW w:w="2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320,492</w:t>
            </w:r>
          </w:p>
        </w:tc>
      </w:tr>
      <w:tr>
        <w:trPr>
          <w:trHeight w:val="230"/>
        </w:trPr>
        <w:tc>
          <w:tcPr>
            <w:tcW w:w="538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John B. Frank</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center"/>
              <w:ind w:right="100"/>
              <w:spacing w:after="0" w:line="230" w:lineRule="exact"/>
              <w:rPr>
                <w:sz w:val="20"/>
                <w:szCs w:val="20"/>
                <w:color w:val="auto"/>
              </w:rPr>
            </w:pPr>
            <w:r>
              <w:rPr>
                <w:rFonts w:ascii="Arial" w:cs="Arial" w:eastAsia="Arial" w:hAnsi="Arial"/>
                <w:sz w:val="16"/>
                <w:szCs w:val="16"/>
                <w:color w:val="auto"/>
                <w:w w:val="89"/>
              </w:rPr>
              <w:t>112,500</w:t>
            </w:r>
            <w:r>
              <w:rPr>
                <w:rFonts w:ascii="Arial" w:cs="Arial" w:eastAsia="Arial" w:hAnsi="Arial"/>
                <w:sz w:val="26"/>
                <w:szCs w:val="26"/>
                <w:color w:val="auto"/>
                <w:w w:val="89"/>
                <w:vertAlign w:val="superscript"/>
              </w:rPr>
              <w:t>(6)(7)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225,000</w:t>
            </w:r>
          </w:p>
        </w:tc>
        <w:tc>
          <w:tcPr>
            <w:tcW w:w="760" w:type="dxa"/>
            <w:vAlign w:val="bottom"/>
          </w:tcPr>
          <w:p>
            <w:pPr>
              <w:jc w:val="right"/>
              <w:spacing w:after="0"/>
              <w:rPr>
                <w:sz w:val="20"/>
                <w:szCs w:val="20"/>
                <w:color w:val="auto"/>
              </w:rPr>
            </w:pPr>
            <w:r>
              <w:rPr>
                <w:rFonts w:ascii="Arial" w:cs="Arial" w:eastAsia="Arial" w:hAnsi="Arial"/>
                <w:sz w:val="16"/>
                <w:szCs w:val="16"/>
                <w:color w:val="auto"/>
              </w:rPr>
              <w:t>$ 37,500</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10,492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7F7F7F"/>
            </w:tcBorders>
          </w:tcPr>
          <w:p>
            <w:pPr>
              <w:jc w:val="right"/>
              <w:spacing w:after="0"/>
              <w:rPr>
                <w:sz w:val="20"/>
                <w:szCs w:val="20"/>
                <w:color w:val="auto"/>
              </w:rPr>
            </w:pPr>
            <w:r>
              <w:rPr>
                <w:rFonts w:ascii="Arial" w:cs="Arial" w:eastAsia="Arial" w:hAnsi="Arial"/>
                <w:sz w:val="16"/>
                <w:szCs w:val="16"/>
                <w:color w:val="auto"/>
              </w:rPr>
              <w:t>385,492</w:t>
            </w:r>
          </w:p>
        </w:tc>
      </w:tr>
      <w:tr>
        <w:trPr>
          <w:trHeight w:val="229"/>
        </w:trPr>
        <w:tc>
          <w:tcPr>
            <w:tcW w:w="538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Alice P. Gast</w:t>
            </w:r>
          </w:p>
        </w:tc>
        <w:tc>
          <w:tcPr>
            <w:tcW w:w="2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D8D8D8"/>
          </w:tcPr>
          <w:p>
            <w:pPr>
              <w:ind w:left="140"/>
              <w:spacing w:after="0" w:line="230" w:lineRule="exact"/>
              <w:rPr>
                <w:sz w:val="20"/>
                <w:szCs w:val="20"/>
                <w:color w:val="auto"/>
              </w:rPr>
            </w:pPr>
            <w:r>
              <w:rPr>
                <w:rFonts w:ascii="Arial" w:cs="Arial" w:eastAsia="Arial" w:hAnsi="Arial"/>
                <w:sz w:val="16"/>
                <w:szCs w:val="16"/>
                <w:color w:val="auto"/>
              </w:rPr>
              <w:t>150,000</w:t>
            </w:r>
            <w:r>
              <w:rPr>
                <w:rFonts w:ascii="Arial" w:cs="Arial" w:eastAsia="Arial" w:hAnsi="Arial"/>
                <w:sz w:val="26"/>
                <w:szCs w:val="26"/>
                <w:color w:val="auto"/>
                <w:vertAlign w:val="superscript"/>
              </w:rPr>
              <w:t>(6)</w:t>
            </w:r>
          </w:p>
        </w:tc>
        <w:tc>
          <w:tcPr>
            <w:tcW w:w="2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225,000</w:t>
            </w:r>
          </w:p>
        </w:tc>
        <w:tc>
          <w:tcPr>
            <w:tcW w:w="76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4,492</w:t>
            </w:r>
          </w:p>
        </w:tc>
        <w:tc>
          <w:tcPr>
            <w:tcW w:w="2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379,492</w:t>
            </w:r>
          </w:p>
        </w:tc>
      </w:tr>
      <w:tr>
        <w:trPr>
          <w:trHeight w:val="230"/>
        </w:trPr>
        <w:tc>
          <w:tcPr>
            <w:tcW w:w="538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Enrique Hernandez, Jr.</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ind w:left="140"/>
              <w:spacing w:after="0" w:line="230" w:lineRule="exact"/>
              <w:rPr>
                <w:sz w:val="20"/>
                <w:szCs w:val="20"/>
                <w:color w:val="auto"/>
              </w:rPr>
            </w:pPr>
            <w:r>
              <w:rPr>
                <w:rFonts w:ascii="Arial" w:cs="Arial" w:eastAsia="Arial" w:hAnsi="Arial"/>
                <w:sz w:val="16"/>
                <w:szCs w:val="16"/>
                <w:color w:val="auto"/>
              </w:rPr>
              <w:t>172,500</w:t>
            </w:r>
            <w:r>
              <w:rPr>
                <w:rFonts w:ascii="Arial" w:cs="Arial" w:eastAsia="Arial" w:hAnsi="Arial"/>
                <w:sz w:val="26"/>
                <w:szCs w:val="26"/>
                <w:color w:val="auto"/>
                <w:vertAlign w:val="superscript"/>
              </w:rPr>
              <w:t>(5)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225,000</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10,492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7F7F7F"/>
            </w:tcBorders>
          </w:tcPr>
          <w:p>
            <w:pPr>
              <w:jc w:val="right"/>
              <w:spacing w:after="0"/>
              <w:rPr>
                <w:sz w:val="20"/>
                <w:szCs w:val="20"/>
                <w:color w:val="auto"/>
              </w:rPr>
            </w:pPr>
            <w:r>
              <w:rPr>
                <w:rFonts w:ascii="Arial" w:cs="Arial" w:eastAsia="Arial" w:hAnsi="Arial"/>
                <w:sz w:val="16"/>
                <w:szCs w:val="16"/>
                <w:color w:val="auto"/>
              </w:rPr>
              <w:t>407,992</w:t>
            </w:r>
          </w:p>
        </w:tc>
      </w:tr>
      <w:tr>
        <w:trPr>
          <w:trHeight w:val="229"/>
        </w:trPr>
        <w:tc>
          <w:tcPr>
            <w:tcW w:w="538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Marillyn A. Hewson</w:t>
            </w:r>
          </w:p>
        </w:tc>
        <w:tc>
          <w:tcPr>
            <w:tcW w:w="2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D8D8D8"/>
          </w:tcPr>
          <w:p>
            <w:pPr>
              <w:ind w:left="140"/>
              <w:spacing w:after="0" w:line="230" w:lineRule="exact"/>
              <w:rPr>
                <w:sz w:val="20"/>
                <w:szCs w:val="20"/>
                <w:color w:val="auto"/>
              </w:rPr>
            </w:pPr>
            <w:r>
              <w:rPr>
                <w:rFonts w:ascii="Arial" w:cs="Arial" w:eastAsia="Arial" w:hAnsi="Arial"/>
                <w:sz w:val="16"/>
                <w:szCs w:val="16"/>
                <w:color w:val="auto"/>
              </w:rPr>
              <w:t>134,753</w:t>
            </w:r>
            <w:r>
              <w:rPr>
                <w:rFonts w:ascii="Arial" w:cs="Arial" w:eastAsia="Arial" w:hAnsi="Arial"/>
                <w:sz w:val="26"/>
                <w:szCs w:val="26"/>
                <w:color w:val="auto"/>
                <w:vertAlign w:val="superscript"/>
              </w:rPr>
              <w:t>(6)(9)</w:t>
            </w:r>
          </w:p>
        </w:tc>
        <w:tc>
          <w:tcPr>
            <w:tcW w:w="2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314,629</w:t>
            </w:r>
          </w:p>
        </w:tc>
        <w:tc>
          <w:tcPr>
            <w:tcW w:w="76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492</w:t>
            </w:r>
          </w:p>
        </w:tc>
        <w:tc>
          <w:tcPr>
            <w:tcW w:w="2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449,874</w:t>
            </w:r>
          </w:p>
        </w:tc>
      </w:tr>
      <w:tr>
        <w:trPr>
          <w:trHeight w:val="228"/>
        </w:trPr>
        <w:tc>
          <w:tcPr>
            <w:tcW w:w="538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Jon M. Huntsman Jr.</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ind w:left="140"/>
              <w:spacing w:after="0"/>
              <w:rPr>
                <w:sz w:val="20"/>
                <w:szCs w:val="20"/>
                <w:color w:val="auto"/>
              </w:rPr>
            </w:pPr>
            <w:r>
              <w:rPr>
                <w:rFonts w:ascii="Arial" w:cs="Arial" w:eastAsia="Arial" w:hAnsi="Arial"/>
                <w:sz w:val="16"/>
                <w:szCs w:val="16"/>
                <w:color w:val="auto"/>
              </w:rPr>
              <w:t>150,000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225,000</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492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7F7F7F"/>
            </w:tcBorders>
          </w:tcPr>
          <w:p>
            <w:pPr>
              <w:jc w:val="right"/>
              <w:spacing w:after="0"/>
              <w:rPr>
                <w:sz w:val="20"/>
                <w:szCs w:val="20"/>
                <w:color w:val="auto"/>
              </w:rPr>
            </w:pPr>
            <w:r>
              <w:rPr>
                <w:rFonts w:ascii="Arial" w:cs="Arial" w:eastAsia="Arial" w:hAnsi="Arial"/>
                <w:sz w:val="16"/>
                <w:szCs w:val="16"/>
                <w:color w:val="auto"/>
              </w:rPr>
              <w:t>375,492</w:t>
            </w:r>
          </w:p>
        </w:tc>
      </w:tr>
      <w:tr>
        <w:trPr>
          <w:trHeight w:val="231"/>
        </w:trPr>
        <w:tc>
          <w:tcPr>
            <w:tcW w:w="538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Charles W. Moorman</w:t>
            </w:r>
          </w:p>
        </w:tc>
        <w:tc>
          <w:tcPr>
            <w:tcW w:w="2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D8D8D8"/>
          </w:tcPr>
          <w:p>
            <w:pPr>
              <w:ind w:left="140"/>
              <w:spacing w:after="0"/>
              <w:rPr>
                <w:sz w:val="20"/>
                <w:szCs w:val="20"/>
                <w:color w:val="auto"/>
              </w:rPr>
            </w:pPr>
            <w:r>
              <w:rPr>
                <w:rFonts w:ascii="Arial" w:cs="Arial" w:eastAsia="Arial" w:hAnsi="Arial"/>
                <w:sz w:val="16"/>
                <w:szCs w:val="16"/>
                <w:color w:val="auto"/>
              </w:rPr>
              <w:t>132,500</w:t>
            </w:r>
            <w:r>
              <w:rPr>
                <w:rFonts w:ascii="Arial" w:cs="Arial" w:eastAsia="Arial" w:hAnsi="Arial"/>
                <w:sz w:val="13"/>
                <w:szCs w:val="13"/>
                <w:color w:val="auto"/>
              </w:rPr>
              <w:t>(5)(6)(7)</w:t>
            </w:r>
          </w:p>
        </w:tc>
        <w:tc>
          <w:tcPr>
            <w:tcW w:w="2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225,000</w:t>
            </w:r>
          </w:p>
        </w:tc>
        <w:tc>
          <w:tcPr>
            <w:tcW w:w="76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10,492</w:t>
            </w:r>
          </w:p>
        </w:tc>
        <w:tc>
          <w:tcPr>
            <w:tcW w:w="2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367,992</w:t>
            </w:r>
          </w:p>
        </w:tc>
      </w:tr>
      <w:tr>
        <w:trPr>
          <w:trHeight w:val="228"/>
        </w:trPr>
        <w:tc>
          <w:tcPr>
            <w:tcW w:w="538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Dambisa F. Moyo</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ind w:left="140"/>
              <w:spacing w:after="0"/>
              <w:rPr>
                <w:sz w:val="20"/>
                <w:szCs w:val="20"/>
                <w:color w:val="auto"/>
              </w:rPr>
            </w:pPr>
            <w:r>
              <w:rPr>
                <w:rFonts w:ascii="Arial" w:cs="Arial" w:eastAsia="Arial" w:hAnsi="Arial"/>
                <w:sz w:val="16"/>
                <w:szCs w:val="16"/>
                <w:color w:val="auto"/>
              </w:rPr>
              <w:t>150,000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225,000</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492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7F7F7F"/>
            </w:tcBorders>
          </w:tcPr>
          <w:p>
            <w:pPr>
              <w:jc w:val="right"/>
              <w:spacing w:after="0"/>
              <w:rPr>
                <w:sz w:val="20"/>
                <w:szCs w:val="20"/>
                <w:color w:val="auto"/>
              </w:rPr>
            </w:pPr>
            <w:r>
              <w:rPr>
                <w:rFonts w:ascii="Arial" w:cs="Arial" w:eastAsia="Arial" w:hAnsi="Arial"/>
                <w:sz w:val="16"/>
                <w:szCs w:val="16"/>
                <w:color w:val="auto"/>
              </w:rPr>
              <w:t>375,492</w:t>
            </w:r>
          </w:p>
        </w:tc>
      </w:tr>
      <w:tr>
        <w:trPr>
          <w:trHeight w:val="231"/>
        </w:trPr>
        <w:tc>
          <w:tcPr>
            <w:tcW w:w="538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Debra Reed-Klages</w:t>
            </w:r>
          </w:p>
        </w:tc>
        <w:tc>
          <w:tcPr>
            <w:tcW w:w="2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D8D8D8"/>
          </w:tcPr>
          <w:p>
            <w:pPr>
              <w:ind w:left="140"/>
              <w:spacing w:after="0" w:line="231" w:lineRule="exact"/>
              <w:rPr>
                <w:sz w:val="20"/>
                <w:szCs w:val="20"/>
                <w:color w:val="auto"/>
              </w:rPr>
            </w:pPr>
            <w:r>
              <w:rPr>
                <w:rFonts w:ascii="Arial" w:cs="Arial" w:eastAsia="Arial" w:hAnsi="Arial"/>
                <w:sz w:val="16"/>
                <w:szCs w:val="16"/>
                <w:color w:val="auto"/>
              </w:rPr>
              <w:t>165,000</w:t>
            </w:r>
            <w:r>
              <w:rPr>
                <w:rFonts w:ascii="Arial" w:cs="Arial" w:eastAsia="Arial" w:hAnsi="Arial"/>
                <w:sz w:val="26"/>
                <w:szCs w:val="26"/>
                <w:color w:val="auto"/>
                <w:vertAlign w:val="superscript"/>
              </w:rPr>
              <w:t>(5)</w:t>
            </w:r>
          </w:p>
        </w:tc>
        <w:tc>
          <w:tcPr>
            <w:tcW w:w="2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225,000</w:t>
            </w:r>
          </w:p>
        </w:tc>
        <w:tc>
          <w:tcPr>
            <w:tcW w:w="76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492</w:t>
            </w:r>
          </w:p>
        </w:tc>
        <w:tc>
          <w:tcPr>
            <w:tcW w:w="2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390,492</w:t>
            </w:r>
          </w:p>
        </w:tc>
      </w:tr>
      <w:tr>
        <w:trPr>
          <w:trHeight w:val="229"/>
        </w:trPr>
        <w:tc>
          <w:tcPr>
            <w:tcW w:w="538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Ronald D. Sugar</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ind w:left="140"/>
              <w:spacing w:after="0"/>
              <w:rPr>
                <w:sz w:val="20"/>
                <w:szCs w:val="20"/>
                <w:color w:val="auto"/>
              </w:rPr>
            </w:pPr>
            <w:r>
              <w:rPr>
                <w:rFonts w:ascii="Arial" w:cs="Arial" w:eastAsia="Arial" w:hAnsi="Arial"/>
                <w:sz w:val="16"/>
                <w:szCs w:val="16"/>
                <w:color w:val="auto"/>
              </w:rPr>
              <w:t>190,000</w:t>
            </w:r>
            <w:r>
              <w:rPr>
                <w:rFonts w:ascii="Arial" w:cs="Arial" w:eastAsia="Arial" w:hAnsi="Arial"/>
                <w:sz w:val="13"/>
                <w:szCs w:val="13"/>
                <w:color w:val="auto"/>
              </w:rPr>
              <w:t>(5)(6)(10)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225,000</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10,492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7F7F7F"/>
            </w:tcBorders>
          </w:tcPr>
          <w:p>
            <w:pPr>
              <w:jc w:val="right"/>
              <w:spacing w:after="0"/>
              <w:rPr>
                <w:sz w:val="20"/>
                <w:szCs w:val="20"/>
                <w:color w:val="auto"/>
              </w:rPr>
            </w:pPr>
            <w:r>
              <w:rPr>
                <w:rFonts w:ascii="Arial" w:cs="Arial" w:eastAsia="Arial" w:hAnsi="Arial"/>
                <w:sz w:val="16"/>
                <w:szCs w:val="16"/>
                <w:color w:val="auto"/>
              </w:rPr>
              <w:t>425,492</w:t>
            </w:r>
          </w:p>
        </w:tc>
      </w:tr>
      <w:tr>
        <w:trPr>
          <w:trHeight w:val="230"/>
        </w:trPr>
        <w:tc>
          <w:tcPr>
            <w:tcW w:w="5380" w:type="dxa"/>
            <w:vAlign w:val="bottom"/>
            <w:tcBorders>
              <w:left w:val="single" w:sz="8" w:color="7F7F7F"/>
              <w:bottom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D. James Umpleby III</w:t>
            </w:r>
          </w:p>
        </w:tc>
        <w:tc>
          <w:tcPr>
            <w:tcW w:w="26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7F7F7F"/>
            </w:tcBorders>
            <w:shd w:val="clear" w:color="auto" w:fill="D8D8D8"/>
          </w:tcPr>
          <w:p>
            <w:pPr>
              <w:ind w:left="140"/>
              <w:spacing w:after="0" w:line="231" w:lineRule="exact"/>
              <w:rPr>
                <w:sz w:val="20"/>
                <w:szCs w:val="20"/>
                <w:color w:val="auto"/>
              </w:rPr>
            </w:pPr>
            <w:r>
              <w:rPr>
                <w:rFonts w:ascii="Arial" w:cs="Arial" w:eastAsia="Arial" w:hAnsi="Arial"/>
                <w:sz w:val="16"/>
                <w:szCs w:val="16"/>
                <w:color w:val="auto"/>
              </w:rPr>
              <w:t>150,000</w:t>
            </w:r>
            <w:r>
              <w:rPr>
                <w:rFonts w:ascii="Arial" w:cs="Arial" w:eastAsia="Arial" w:hAnsi="Arial"/>
                <w:sz w:val="26"/>
                <w:szCs w:val="26"/>
                <w:color w:val="auto"/>
                <w:vertAlign w:val="superscript"/>
              </w:rPr>
              <w:t>(6)</w:t>
            </w:r>
          </w:p>
        </w:tc>
        <w:tc>
          <w:tcPr>
            <w:tcW w:w="20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225,000</w:t>
            </w:r>
          </w:p>
        </w:tc>
        <w:tc>
          <w:tcPr>
            <w:tcW w:w="760" w:type="dxa"/>
            <w:vAlign w:val="bottom"/>
            <w:tcBorders>
              <w:bottom w:val="single" w:sz="8" w:color="7F7F7F"/>
            </w:tcBorders>
            <w:shd w:val="clear" w:color="auto" w:fill="D8D8D8"/>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tcBorders>
              <w:bottom w:val="single" w:sz="8" w:color="7F7F7F"/>
            </w:tcBorders>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10,492</w:t>
            </w:r>
          </w:p>
        </w:tc>
        <w:tc>
          <w:tcPr>
            <w:tcW w:w="24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F7F7F"/>
              <w:right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385,492</w:t>
            </w:r>
          </w:p>
        </w:tc>
      </w:tr>
    </w:tbl>
    <w:p>
      <w:pPr>
        <w:spacing w:after="0" w:line="72" w:lineRule="exact"/>
        <w:rPr>
          <w:sz w:val="20"/>
          <w:szCs w:val="20"/>
          <w:color w:val="auto"/>
        </w:rPr>
      </w:pPr>
    </w:p>
    <w:p>
      <w:pPr>
        <w:ind w:left="540" w:hanging="424"/>
        <w:spacing w:after="0"/>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Form of compensation elected by a non-employee Director, as described above, can result in differences in reportable compensation.</w:t>
      </w:r>
    </w:p>
    <w:p>
      <w:pPr>
        <w:spacing w:after="0" w:line="82" w:lineRule="exact"/>
        <w:rPr>
          <w:rFonts w:ascii="Arial" w:cs="Arial" w:eastAsia="Arial" w:hAnsi="Arial"/>
          <w:sz w:val="14"/>
          <w:szCs w:val="14"/>
          <w:color w:val="auto"/>
        </w:rPr>
      </w:pPr>
    </w:p>
    <w:p>
      <w:pPr>
        <w:ind w:left="540" w:right="120" w:hanging="424"/>
        <w:spacing w:after="0" w:line="247" w:lineRule="auto"/>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Amounts reflect the aggregate grant date fair value for RSUs granted in 2021 under the NED Plan. We calculate the grant date fair value of these awards in accordance with Financial Accounting Standards Board Accounting Standards Codification Topic 718, Compensation–Stock Compensation (“ASC Topic 718”), for financial reporting purposes. The grant date fair value of these RSUs was $103.87 per unit, the closing price of Chevron common stock on May 25, 2021, except for the prorated award for Ms. Hewson. Ms. Hewson received a prorated grant of 1,061 RSUs for the compensation period covering January 1, 2021, the day she joined the Board, through May 25, 2021. For Ms. Hewson, the grant date fair value of these RSUs was $84.45 per unit, the closing price of Chevron common stock on December 31, 2020, the last trading day prior to her Board appointment effective date of January 1, 2021. RSUs accrue dividend equivalents, the value of which is factored into the grant date fair value, and vest on the earlier of 12 months or the day preceding the first Annual Meeting following the date of the grant. For purposes of this table only, estimates of forfeitures related to service-based vesting conditions have been disregarded. RSUs are payable in Chevron common stock.</w:t>
      </w:r>
    </w:p>
    <w:p>
      <w:pPr>
        <w:spacing w:after="0" w:line="51"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4"/>
          <w:szCs w:val="14"/>
          <w:color w:val="auto"/>
        </w:rPr>
        <w:t>At December 31, 2021, the following non-employee Directors had the following number of shares subject to outstanding stock awards or deferrals:</w:t>
      </w:r>
    </w:p>
    <w:p>
      <w:pPr>
        <w:spacing w:after="0" w:line="132" w:lineRule="exact"/>
        <w:rPr>
          <w:sz w:val="20"/>
          <w:szCs w:val="20"/>
          <w:color w:val="auto"/>
        </w:rPr>
      </w:pPr>
    </w:p>
    <w:tbl>
      <w:tblPr>
        <w:tblLayout w:type="fixed"/>
        <w:tblInd w:w="570" w:type="dxa"/>
        <w:tblCellMar>
          <w:top w:w="0" w:type="dxa"/>
          <w:left w:w="0" w:type="dxa"/>
          <w:bottom w:w="0" w:type="dxa"/>
          <w:right w:w="0" w:type="dxa"/>
        </w:tblCellMar>
      </w:tblPr>
      <w:tr>
        <w:trPr>
          <w:trHeight w:val="188"/>
        </w:trPr>
        <w:tc>
          <w:tcPr>
            <w:tcW w:w="5060" w:type="dxa"/>
            <w:vAlign w:val="bottom"/>
            <w:tcBorders>
              <w:left w:val="single" w:sz="8" w:color="7F7F7F"/>
            </w:tcBorders>
            <w:shd w:val="clear" w:color="auto" w:fill="0066B2"/>
          </w:tcPr>
          <w:p>
            <w:pPr>
              <w:spacing w:after="0"/>
              <w:rPr>
                <w:sz w:val="16"/>
                <w:szCs w:val="16"/>
                <w:color w:val="auto"/>
              </w:rPr>
            </w:pPr>
          </w:p>
        </w:tc>
        <w:tc>
          <w:tcPr>
            <w:tcW w:w="1120" w:type="dxa"/>
            <w:vAlign w:val="bottom"/>
            <w:shd w:val="clear" w:color="auto" w:fill="0066B2"/>
          </w:tcPr>
          <w:p>
            <w:pPr>
              <w:spacing w:after="0"/>
              <w:rPr>
                <w:sz w:val="16"/>
                <w:szCs w:val="16"/>
                <w:color w:val="auto"/>
              </w:rPr>
            </w:pPr>
          </w:p>
        </w:tc>
        <w:tc>
          <w:tcPr>
            <w:tcW w:w="1400" w:type="dxa"/>
            <w:vAlign w:val="bottom"/>
            <w:shd w:val="clear" w:color="auto" w:fill="0066B2"/>
          </w:tcPr>
          <w:p>
            <w:pPr>
              <w:spacing w:after="0"/>
              <w:rPr>
                <w:sz w:val="16"/>
                <w:szCs w:val="16"/>
                <w:color w:val="auto"/>
              </w:rPr>
            </w:pPr>
          </w:p>
        </w:tc>
        <w:tc>
          <w:tcPr>
            <w:tcW w:w="860" w:type="dxa"/>
            <w:vAlign w:val="bottom"/>
            <w:shd w:val="clear" w:color="auto" w:fill="0066B2"/>
          </w:tcPr>
          <w:p>
            <w:pPr>
              <w:spacing w:after="0"/>
              <w:rPr>
                <w:sz w:val="16"/>
                <w:szCs w:val="16"/>
                <w:color w:val="auto"/>
              </w:rPr>
            </w:pPr>
          </w:p>
        </w:tc>
        <w:tc>
          <w:tcPr>
            <w:tcW w:w="1480" w:type="dxa"/>
            <w:vAlign w:val="bottom"/>
            <w:shd w:val="clear" w:color="auto" w:fill="0066B2"/>
          </w:tcPr>
          <w:p>
            <w:pPr>
              <w:jc w:val="center"/>
              <w:spacing w:after="0"/>
              <w:rPr>
                <w:sz w:val="20"/>
                <w:szCs w:val="20"/>
                <w:color w:val="auto"/>
              </w:rPr>
            </w:pPr>
            <w:r>
              <w:rPr>
                <w:rFonts w:ascii="Arial" w:cs="Arial" w:eastAsia="Arial" w:hAnsi="Arial"/>
                <w:sz w:val="16"/>
                <w:szCs w:val="16"/>
                <w:b w:val="1"/>
                <w:bCs w:val="1"/>
                <w:color w:val="FFFFFF"/>
              </w:rPr>
              <w:t>Stock units from</w:t>
            </w:r>
          </w:p>
        </w:tc>
        <w:tc>
          <w:tcPr>
            <w:tcW w:w="680" w:type="dxa"/>
            <w:vAlign w:val="bottom"/>
            <w:tcBorders>
              <w:right w:val="single" w:sz="8" w:color="7F7F7F"/>
            </w:tcBorders>
            <w:shd w:val="clear" w:color="auto" w:fill="0066B2"/>
          </w:tcPr>
          <w:p>
            <w:pPr>
              <w:spacing w:after="0"/>
              <w:rPr>
                <w:sz w:val="16"/>
                <w:szCs w:val="16"/>
                <w:color w:val="auto"/>
              </w:rPr>
            </w:pPr>
          </w:p>
        </w:tc>
      </w:tr>
      <w:tr>
        <w:trPr>
          <w:trHeight w:val="189"/>
        </w:trPr>
        <w:tc>
          <w:tcPr>
            <w:tcW w:w="5060" w:type="dxa"/>
            <w:vAlign w:val="bottom"/>
            <w:tcBorders>
              <w:left w:val="single" w:sz="8" w:color="7F7F7F"/>
            </w:tcBorders>
            <w:shd w:val="clear" w:color="auto" w:fill="0066B2"/>
          </w:tcPr>
          <w:p>
            <w:pPr>
              <w:spacing w:after="0"/>
              <w:rPr>
                <w:sz w:val="16"/>
                <w:szCs w:val="16"/>
                <w:color w:val="auto"/>
              </w:rPr>
            </w:pPr>
          </w:p>
        </w:tc>
        <w:tc>
          <w:tcPr>
            <w:tcW w:w="1120" w:type="dxa"/>
            <w:vAlign w:val="bottom"/>
            <w:shd w:val="clear" w:color="auto" w:fill="0066B2"/>
          </w:tcPr>
          <w:p>
            <w:pPr>
              <w:spacing w:after="0"/>
              <w:rPr>
                <w:sz w:val="16"/>
                <w:szCs w:val="16"/>
                <w:color w:val="auto"/>
              </w:rPr>
            </w:pPr>
          </w:p>
        </w:tc>
        <w:tc>
          <w:tcPr>
            <w:tcW w:w="1400" w:type="dxa"/>
            <w:vAlign w:val="bottom"/>
            <w:shd w:val="clear" w:color="auto" w:fill="0066B2"/>
          </w:tcPr>
          <w:p>
            <w:pPr>
              <w:spacing w:after="0"/>
              <w:rPr>
                <w:sz w:val="16"/>
                <w:szCs w:val="16"/>
                <w:color w:val="auto"/>
              </w:rPr>
            </w:pPr>
          </w:p>
        </w:tc>
        <w:tc>
          <w:tcPr>
            <w:tcW w:w="860" w:type="dxa"/>
            <w:vAlign w:val="bottom"/>
            <w:shd w:val="clear" w:color="auto" w:fill="0066B2"/>
          </w:tcPr>
          <w:p>
            <w:pPr>
              <w:spacing w:after="0"/>
              <w:rPr>
                <w:sz w:val="16"/>
                <w:szCs w:val="16"/>
                <w:color w:val="auto"/>
              </w:rPr>
            </w:pPr>
          </w:p>
        </w:tc>
        <w:tc>
          <w:tcPr>
            <w:tcW w:w="1480" w:type="dxa"/>
            <w:vAlign w:val="bottom"/>
            <w:shd w:val="clear" w:color="auto" w:fill="0066B2"/>
          </w:tcPr>
          <w:p>
            <w:pPr>
              <w:jc w:val="center"/>
              <w:spacing w:after="0"/>
              <w:rPr>
                <w:sz w:val="20"/>
                <w:szCs w:val="20"/>
                <w:color w:val="auto"/>
              </w:rPr>
            </w:pPr>
            <w:r>
              <w:rPr>
                <w:rFonts w:ascii="Arial" w:cs="Arial" w:eastAsia="Arial" w:hAnsi="Arial"/>
                <w:sz w:val="16"/>
                <w:szCs w:val="16"/>
                <w:b w:val="1"/>
                <w:bCs w:val="1"/>
                <w:color w:val="FFFFFF"/>
              </w:rPr>
              <w:t>Director’s</w:t>
            </w:r>
          </w:p>
        </w:tc>
        <w:tc>
          <w:tcPr>
            <w:tcW w:w="680" w:type="dxa"/>
            <w:vAlign w:val="bottom"/>
            <w:tcBorders>
              <w:right w:val="single" w:sz="8" w:color="7F7F7F"/>
            </w:tcBorders>
            <w:shd w:val="clear" w:color="auto" w:fill="0066B2"/>
          </w:tcPr>
          <w:p>
            <w:pPr>
              <w:spacing w:after="0"/>
              <w:rPr>
                <w:sz w:val="16"/>
                <w:szCs w:val="16"/>
                <w:color w:val="auto"/>
              </w:rPr>
            </w:pPr>
          </w:p>
        </w:tc>
      </w:tr>
      <w:tr>
        <w:trPr>
          <w:trHeight w:val="186"/>
        </w:trPr>
        <w:tc>
          <w:tcPr>
            <w:tcW w:w="5060" w:type="dxa"/>
            <w:vAlign w:val="bottom"/>
            <w:tcBorders>
              <w:left w:val="single" w:sz="8" w:color="7F7F7F"/>
            </w:tcBorders>
            <w:shd w:val="clear" w:color="auto" w:fill="0066B2"/>
          </w:tcPr>
          <w:p>
            <w:pPr>
              <w:spacing w:after="0"/>
              <w:rPr>
                <w:sz w:val="16"/>
                <w:szCs w:val="16"/>
                <w:color w:val="auto"/>
              </w:rPr>
            </w:pPr>
          </w:p>
        </w:tc>
        <w:tc>
          <w:tcPr>
            <w:tcW w:w="1120" w:type="dxa"/>
            <w:vAlign w:val="bottom"/>
            <w:shd w:val="clear" w:color="auto" w:fill="0066B2"/>
          </w:tcPr>
          <w:p>
            <w:pPr>
              <w:jc w:val="center"/>
              <w:spacing w:after="0"/>
              <w:rPr>
                <w:sz w:val="20"/>
                <w:szCs w:val="20"/>
                <w:color w:val="auto"/>
              </w:rPr>
            </w:pPr>
            <w:r>
              <w:rPr>
                <w:rFonts w:ascii="Arial" w:cs="Arial" w:eastAsia="Arial" w:hAnsi="Arial"/>
                <w:sz w:val="16"/>
                <w:szCs w:val="16"/>
                <w:b w:val="1"/>
                <w:bCs w:val="1"/>
                <w:color w:val="FFFFFF"/>
              </w:rPr>
              <w:t>Restricted</w:t>
            </w:r>
          </w:p>
        </w:tc>
        <w:tc>
          <w:tcPr>
            <w:tcW w:w="1400" w:type="dxa"/>
            <w:vAlign w:val="bottom"/>
            <w:shd w:val="clear" w:color="auto" w:fill="0066B2"/>
          </w:tcPr>
          <w:p>
            <w:pPr>
              <w:spacing w:after="0"/>
              <w:rPr>
                <w:sz w:val="16"/>
                <w:szCs w:val="16"/>
                <w:color w:val="auto"/>
              </w:rPr>
            </w:pPr>
          </w:p>
        </w:tc>
        <w:tc>
          <w:tcPr>
            <w:tcW w:w="860" w:type="dxa"/>
            <w:vAlign w:val="bottom"/>
            <w:shd w:val="clear" w:color="auto" w:fill="0066B2"/>
          </w:tcPr>
          <w:p>
            <w:pPr>
              <w:spacing w:after="0"/>
              <w:rPr>
                <w:sz w:val="16"/>
                <w:szCs w:val="16"/>
                <w:color w:val="auto"/>
              </w:rPr>
            </w:pPr>
          </w:p>
        </w:tc>
        <w:tc>
          <w:tcPr>
            <w:tcW w:w="1480" w:type="dxa"/>
            <w:vAlign w:val="bottom"/>
            <w:shd w:val="clear" w:color="auto" w:fill="0066B2"/>
          </w:tcPr>
          <w:p>
            <w:pPr>
              <w:jc w:val="center"/>
              <w:spacing w:after="0"/>
              <w:rPr>
                <w:sz w:val="20"/>
                <w:szCs w:val="20"/>
                <w:color w:val="auto"/>
              </w:rPr>
            </w:pPr>
            <w:r>
              <w:rPr>
                <w:rFonts w:ascii="Arial" w:cs="Arial" w:eastAsia="Arial" w:hAnsi="Arial"/>
                <w:sz w:val="16"/>
                <w:szCs w:val="16"/>
                <w:b w:val="1"/>
                <w:bCs w:val="1"/>
                <w:color w:val="FFFFFF"/>
              </w:rPr>
              <w:t>deferral of cash</w:t>
            </w:r>
          </w:p>
        </w:tc>
        <w:tc>
          <w:tcPr>
            <w:tcW w:w="680" w:type="dxa"/>
            <w:vAlign w:val="bottom"/>
            <w:tcBorders>
              <w:right w:val="single" w:sz="8" w:color="7F7F7F"/>
            </w:tcBorders>
            <w:shd w:val="clear" w:color="auto" w:fill="0066B2"/>
          </w:tcPr>
          <w:p>
            <w:pPr>
              <w:spacing w:after="0"/>
              <w:rPr>
                <w:sz w:val="16"/>
                <w:szCs w:val="16"/>
                <w:color w:val="auto"/>
              </w:rPr>
            </w:pPr>
          </w:p>
        </w:tc>
      </w:tr>
      <w:tr>
        <w:trPr>
          <w:trHeight w:val="260"/>
        </w:trPr>
        <w:tc>
          <w:tcPr>
            <w:tcW w:w="5060" w:type="dxa"/>
            <w:vAlign w:val="bottom"/>
            <w:tcBorders>
              <w:left w:val="single" w:sz="8" w:color="7F7F7F"/>
            </w:tcBorders>
            <w:shd w:val="clear" w:color="auto" w:fill="0066B2"/>
          </w:tcPr>
          <w:p>
            <w:pPr>
              <w:ind w:left="160"/>
              <w:spacing w:after="0"/>
              <w:rPr>
                <w:sz w:val="20"/>
                <w:szCs w:val="20"/>
                <w:color w:val="auto"/>
              </w:rPr>
            </w:pPr>
            <w:r>
              <w:rPr>
                <w:rFonts w:ascii="Arial" w:cs="Arial" w:eastAsia="Arial" w:hAnsi="Arial"/>
                <w:sz w:val="16"/>
                <w:szCs w:val="16"/>
                <w:b w:val="1"/>
                <w:bCs w:val="1"/>
                <w:color w:val="FFFFFF"/>
              </w:rPr>
              <w:t>Name</w:t>
            </w:r>
          </w:p>
        </w:tc>
        <w:tc>
          <w:tcPr>
            <w:tcW w:w="1120" w:type="dxa"/>
            <w:vAlign w:val="bottom"/>
            <w:shd w:val="clear" w:color="auto" w:fill="0066B2"/>
          </w:tcPr>
          <w:p>
            <w:pPr>
              <w:jc w:val="center"/>
              <w:spacing w:after="0" w:line="261" w:lineRule="exact"/>
              <w:rPr>
                <w:sz w:val="20"/>
                <w:szCs w:val="20"/>
                <w:color w:val="auto"/>
              </w:rPr>
            </w:pPr>
            <w:r>
              <w:rPr>
                <w:rFonts w:ascii="Arial" w:cs="Arial" w:eastAsia="Arial" w:hAnsi="Arial"/>
                <w:sz w:val="16"/>
                <w:szCs w:val="16"/>
                <w:b w:val="1"/>
                <w:bCs w:val="1"/>
                <w:color w:val="FFFFFF"/>
                <w:w w:val="93"/>
              </w:rPr>
              <w:t>stock</w:t>
            </w:r>
            <w:r>
              <w:rPr>
                <w:rFonts w:ascii="Arial" w:cs="Arial" w:eastAsia="Arial" w:hAnsi="Arial"/>
                <w:sz w:val="27"/>
                <w:szCs w:val="27"/>
                <w:b w:val="1"/>
                <w:bCs w:val="1"/>
                <w:color w:val="FFFFFF"/>
                <w:w w:val="93"/>
                <w:vertAlign w:val="superscript"/>
              </w:rPr>
              <w:t>(a)</w:t>
            </w:r>
          </w:p>
        </w:tc>
        <w:tc>
          <w:tcPr>
            <w:tcW w:w="1400" w:type="dxa"/>
            <w:vAlign w:val="bottom"/>
            <w:shd w:val="clear" w:color="auto" w:fill="0066B2"/>
          </w:tcPr>
          <w:p>
            <w:pPr>
              <w:ind w:left="180"/>
              <w:spacing w:after="0" w:line="261" w:lineRule="exact"/>
              <w:rPr>
                <w:sz w:val="20"/>
                <w:szCs w:val="20"/>
                <w:color w:val="auto"/>
              </w:rPr>
            </w:pPr>
            <w:r>
              <w:rPr>
                <w:rFonts w:ascii="Arial" w:cs="Arial" w:eastAsia="Arial" w:hAnsi="Arial"/>
                <w:sz w:val="16"/>
                <w:szCs w:val="16"/>
                <w:b w:val="1"/>
                <w:bCs w:val="1"/>
                <w:color w:val="FFFFFF"/>
              </w:rPr>
              <w:t>Stock units</w:t>
            </w:r>
            <w:r>
              <w:rPr>
                <w:rFonts w:ascii="Arial" w:cs="Arial" w:eastAsia="Arial" w:hAnsi="Arial"/>
                <w:sz w:val="27"/>
                <w:szCs w:val="27"/>
                <w:b w:val="1"/>
                <w:bCs w:val="1"/>
                <w:color w:val="FFFFFF"/>
                <w:vertAlign w:val="superscript"/>
              </w:rPr>
              <w:t>(a)</w:t>
            </w:r>
          </w:p>
        </w:tc>
        <w:tc>
          <w:tcPr>
            <w:tcW w:w="860" w:type="dxa"/>
            <w:vAlign w:val="bottom"/>
            <w:shd w:val="clear" w:color="auto" w:fill="0066B2"/>
          </w:tcPr>
          <w:p>
            <w:pPr>
              <w:jc w:val="right"/>
              <w:spacing w:after="0" w:line="261" w:lineRule="exact"/>
              <w:rPr>
                <w:sz w:val="20"/>
                <w:szCs w:val="20"/>
                <w:color w:val="auto"/>
              </w:rPr>
            </w:pPr>
            <w:r>
              <w:rPr>
                <w:rFonts w:ascii="Arial" w:cs="Arial" w:eastAsia="Arial" w:hAnsi="Arial"/>
                <w:sz w:val="16"/>
                <w:szCs w:val="16"/>
                <w:b w:val="1"/>
                <w:bCs w:val="1"/>
                <w:color w:val="FFFFFF"/>
              </w:rPr>
              <w:t>RSUs</w:t>
            </w:r>
            <w:r>
              <w:rPr>
                <w:rFonts w:ascii="Arial" w:cs="Arial" w:eastAsia="Arial" w:hAnsi="Arial"/>
                <w:sz w:val="27"/>
                <w:szCs w:val="27"/>
                <w:b w:val="1"/>
                <w:bCs w:val="1"/>
                <w:color w:val="FFFFFF"/>
                <w:vertAlign w:val="superscript"/>
              </w:rPr>
              <w:t>(a)</w:t>
            </w:r>
          </w:p>
        </w:tc>
        <w:tc>
          <w:tcPr>
            <w:tcW w:w="1480" w:type="dxa"/>
            <w:vAlign w:val="bottom"/>
            <w:shd w:val="clear" w:color="auto" w:fill="0066B2"/>
          </w:tcPr>
          <w:p>
            <w:pPr>
              <w:jc w:val="center"/>
              <w:spacing w:after="0" w:line="261" w:lineRule="exact"/>
              <w:rPr>
                <w:sz w:val="20"/>
                <w:szCs w:val="20"/>
                <w:color w:val="auto"/>
              </w:rPr>
            </w:pPr>
            <w:r>
              <w:rPr>
                <w:rFonts w:ascii="Arial" w:cs="Arial" w:eastAsia="Arial" w:hAnsi="Arial"/>
                <w:sz w:val="16"/>
                <w:szCs w:val="16"/>
                <w:b w:val="1"/>
                <w:bCs w:val="1"/>
                <w:color w:val="FFFFFF"/>
                <w:w w:val="95"/>
              </w:rPr>
              <w:t>retainer</w:t>
            </w:r>
            <w:r>
              <w:rPr>
                <w:rFonts w:ascii="Arial" w:cs="Arial" w:eastAsia="Arial" w:hAnsi="Arial"/>
                <w:sz w:val="27"/>
                <w:szCs w:val="27"/>
                <w:b w:val="1"/>
                <w:bCs w:val="1"/>
                <w:color w:val="FFFFFF"/>
                <w:w w:val="95"/>
                <w:vertAlign w:val="superscript"/>
              </w:rPr>
              <w:t>(b)</w:t>
            </w:r>
          </w:p>
        </w:tc>
        <w:tc>
          <w:tcPr>
            <w:tcW w:w="680" w:type="dxa"/>
            <w:vAlign w:val="bottom"/>
            <w:tcBorders>
              <w:right w:val="single" w:sz="8" w:color="7F7F7F"/>
            </w:tcBorders>
            <w:shd w:val="clear" w:color="auto" w:fill="0066B2"/>
          </w:tcPr>
          <w:p>
            <w:pPr>
              <w:jc w:val="right"/>
              <w:ind w:right="79"/>
              <w:spacing w:after="0"/>
              <w:rPr>
                <w:sz w:val="20"/>
                <w:szCs w:val="20"/>
                <w:color w:val="auto"/>
              </w:rPr>
            </w:pPr>
            <w:r>
              <w:rPr>
                <w:rFonts w:ascii="Arial" w:cs="Arial" w:eastAsia="Arial" w:hAnsi="Arial"/>
                <w:sz w:val="16"/>
                <w:szCs w:val="16"/>
                <w:b w:val="1"/>
                <w:bCs w:val="1"/>
                <w:color w:val="FFFFFF"/>
              </w:rPr>
              <w:t>Total</w:t>
            </w:r>
          </w:p>
        </w:tc>
      </w:tr>
      <w:tr>
        <w:trPr>
          <w:trHeight w:val="229"/>
        </w:trPr>
        <w:tc>
          <w:tcPr>
            <w:tcW w:w="506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Wanda M. Austin</w:t>
            </w:r>
          </w:p>
        </w:tc>
        <w:tc>
          <w:tcPr>
            <w:tcW w:w="1120" w:type="dxa"/>
            <w:vAlign w:val="bottom"/>
            <w:shd w:val="clear" w:color="auto" w:fill="D8D8D8"/>
          </w:tcPr>
          <w:p>
            <w:pPr>
              <w:jc w:val="center"/>
              <w:ind w:left="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w:t>
            </w:r>
          </w:p>
        </w:tc>
        <w:tc>
          <w:tcPr>
            <w:tcW w:w="8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2,221</w:t>
            </w:r>
          </w:p>
        </w:tc>
        <w:tc>
          <w:tcPr>
            <w:tcW w:w="1480" w:type="dxa"/>
            <w:vAlign w:val="bottom"/>
            <w:shd w:val="clear" w:color="auto" w:fill="D8D8D8"/>
          </w:tcPr>
          <w:p>
            <w:pPr>
              <w:jc w:val="center"/>
              <w:ind w:left="79"/>
              <w:spacing w:after="0"/>
              <w:rPr>
                <w:sz w:val="20"/>
                <w:szCs w:val="20"/>
                <w:color w:val="auto"/>
              </w:rPr>
            </w:pPr>
            <w:r>
              <w:rPr>
                <w:rFonts w:ascii="Arial" w:cs="Arial" w:eastAsia="Arial" w:hAnsi="Arial"/>
                <w:sz w:val="16"/>
                <w:szCs w:val="16"/>
                <w:color w:val="auto"/>
                <w:w w:val="89"/>
              </w:rPr>
              <w:t>–</w:t>
            </w:r>
          </w:p>
        </w:tc>
        <w:tc>
          <w:tcPr>
            <w:tcW w:w="680" w:type="dxa"/>
            <w:vAlign w:val="bottom"/>
            <w:tcBorders>
              <w:right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2,221</w:t>
            </w:r>
          </w:p>
        </w:tc>
      </w:tr>
      <w:tr>
        <w:trPr>
          <w:trHeight w:val="228"/>
        </w:trPr>
        <w:tc>
          <w:tcPr>
            <w:tcW w:w="506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John B. Frank</w:t>
            </w:r>
          </w:p>
        </w:tc>
        <w:tc>
          <w:tcPr>
            <w:tcW w:w="1120" w:type="dxa"/>
            <w:vAlign w:val="bottom"/>
          </w:tcPr>
          <w:p>
            <w:pPr>
              <w:jc w:val="center"/>
              <w:ind w:left="99"/>
              <w:spacing w:after="0"/>
              <w:rPr>
                <w:sz w:val="20"/>
                <w:szCs w:val="20"/>
                <w:color w:val="auto"/>
              </w:rPr>
            </w:pPr>
            <w:r>
              <w:rPr>
                <w:rFonts w:ascii="Arial" w:cs="Arial" w:eastAsia="Arial" w:hAnsi="Arial"/>
                <w:sz w:val="16"/>
                <w:szCs w:val="16"/>
                <w:color w:val="auto"/>
              </w:rPr>
              <w:t>–</w:t>
            </w:r>
          </w:p>
        </w:tc>
        <w:tc>
          <w:tcPr>
            <w:tcW w:w="1400" w:type="dxa"/>
            <w:vAlign w:val="bottom"/>
          </w:tcPr>
          <w:p>
            <w:pPr>
              <w:jc w:val="cente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10,524</w:t>
            </w:r>
          </w:p>
        </w:tc>
        <w:tc>
          <w:tcPr>
            <w:tcW w:w="1480" w:type="dxa"/>
            <w:vAlign w:val="bottom"/>
          </w:tcPr>
          <w:p>
            <w:pPr>
              <w:jc w:val="center"/>
              <w:ind w:left="79"/>
              <w:spacing w:after="0"/>
              <w:rPr>
                <w:sz w:val="20"/>
                <w:szCs w:val="20"/>
                <w:color w:val="auto"/>
              </w:rPr>
            </w:pPr>
            <w:r>
              <w:rPr>
                <w:rFonts w:ascii="Arial" w:cs="Arial" w:eastAsia="Arial" w:hAnsi="Arial"/>
                <w:sz w:val="16"/>
                <w:szCs w:val="16"/>
                <w:color w:val="auto"/>
                <w:w w:val="89"/>
              </w:rPr>
              <w:t>–</w:t>
            </w:r>
          </w:p>
        </w:tc>
        <w:tc>
          <w:tcPr>
            <w:tcW w:w="680" w:type="dxa"/>
            <w:vAlign w:val="bottom"/>
            <w:tcBorders>
              <w:right w:val="single" w:sz="8" w:color="7F7F7F"/>
            </w:tcBorders>
          </w:tcPr>
          <w:p>
            <w:pPr>
              <w:jc w:val="right"/>
              <w:spacing w:after="0"/>
              <w:rPr>
                <w:sz w:val="20"/>
                <w:szCs w:val="20"/>
                <w:color w:val="auto"/>
              </w:rPr>
            </w:pPr>
            <w:r>
              <w:rPr>
                <w:rFonts w:ascii="Arial" w:cs="Arial" w:eastAsia="Arial" w:hAnsi="Arial"/>
                <w:sz w:val="16"/>
                <w:szCs w:val="16"/>
                <w:color w:val="auto"/>
              </w:rPr>
              <w:t>10,524</w:t>
            </w:r>
          </w:p>
        </w:tc>
      </w:tr>
      <w:tr>
        <w:trPr>
          <w:trHeight w:val="231"/>
        </w:trPr>
        <w:tc>
          <w:tcPr>
            <w:tcW w:w="506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Alice P. Gast</w:t>
            </w:r>
          </w:p>
        </w:tc>
        <w:tc>
          <w:tcPr>
            <w:tcW w:w="1120" w:type="dxa"/>
            <w:vAlign w:val="bottom"/>
            <w:shd w:val="clear" w:color="auto" w:fill="D8D8D8"/>
          </w:tcPr>
          <w:p>
            <w:pPr>
              <w:jc w:val="center"/>
              <w:ind w:left="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w:t>
            </w:r>
          </w:p>
        </w:tc>
        <w:tc>
          <w:tcPr>
            <w:tcW w:w="8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20,139</w:t>
            </w:r>
          </w:p>
        </w:tc>
        <w:tc>
          <w:tcPr>
            <w:tcW w:w="1480" w:type="dxa"/>
            <w:vAlign w:val="bottom"/>
            <w:shd w:val="clear" w:color="auto" w:fill="D8D8D8"/>
          </w:tcPr>
          <w:p>
            <w:pPr>
              <w:jc w:val="center"/>
              <w:ind w:left="79"/>
              <w:spacing w:after="0"/>
              <w:rPr>
                <w:sz w:val="20"/>
                <w:szCs w:val="20"/>
                <w:color w:val="auto"/>
              </w:rPr>
            </w:pPr>
            <w:r>
              <w:rPr>
                <w:rFonts w:ascii="Arial" w:cs="Arial" w:eastAsia="Arial" w:hAnsi="Arial"/>
                <w:sz w:val="16"/>
                <w:szCs w:val="16"/>
                <w:color w:val="auto"/>
                <w:w w:val="89"/>
              </w:rPr>
              <w:t>–</w:t>
            </w:r>
          </w:p>
        </w:tc>
        <w:tc>
          <w:tcPr>
            <w:tcW w:w="680" w:type="dxa"/>
            <w:vAlign w:val="bottom"/>
            <w:tcBorders>
              <w:right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20,139</w:t>
            </w:r>
          </w:p>
        </w:tc>
      </w:tr>
      <w:tr>
        <w:trPr>
          <w:trHeight w:val="228"/>
        </w:trPr>
        <w:tc>
          <w:tcPr>
            <w:tcW w:w="506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Enrique Hernandez, Jr.</w:t>
            </w:r>
          </w:p>
        </w:tc>
        <w:tc>
          <w:tcPr>
            <w:tcW w:w="1120" w:type="dxa"/>
            <w:vAlign w:val="bottom"/>
          </w:tcPr>
          <w:p>
            <w:pPr>
              <w:jc w:val="center"/>
              <w:ind w:left="99"/>
              <w:spacing w:after="0"/>
              <w:rPr>
                <w:sz w:val="20"/>
                <w:szCs w:val="20"/>
                <w:color w:val="auto"/>
              </w:rPr>
            </w:pPr>
            <w:r>
              <w:rPr>
                <w:rFonts w:ascii="Arial" w:cs="Arial" w:eastAsia="Arial" w:hAnsi="Arial"/>
                <w:sz w:val="16"/>
                <w:szCs w:val="16"/>
                <w:color w:val="auto"/>
              </w:rPr>
              <w:t>–</w:t>
            </w:r>
          </w:p>
        </w:tc>
        <w:tc>
          <w:tcPr>
            <w:tcW w:w="1400" w:type="dxa"/>
            <w:vAlign w:val="bottom"/>
          </w:tcPr>
          <w:p>
            <w:pPr>
              <w:jc w:val="cente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22,789</w:t>
            </w:r>
          </w:p>
        </w:tc>
        <w:tc>
          <w:tcPr>
            <w:tcW w:w="1480" w:type="dxa"/>
            <w:vAlign w:val="bottom"/>
          </w:tcPr>
          <w:p>
            <w:pPr>
              <w:jc w:val="right"/>
              <w:ind w:right="339"/>
              <w:spacing w:after="0"/>
              <w:rPr>
                <w:sz w:val="20"/>
                <w:szCs w:val="20"/>
                <w:color w:val="auto"/>
              </w:rPr>
            </w:pPr>
            <w:r>
              <w:rPr>
                <w:rFonts w:ascii="Arial" w:cs="Arial" w:eastAsia="Arial" w:hAnsi="Arial"/>
                <w:sz w:val="16"/>
                <w:szCs w:val="16"/>
                <w:color w:val="auto"/>
              </w:rPr>
              <w:t>1,437</w:t>
            </w:r>
          </w:p>
        </w:tc>
        <w:tc>
          <w:tcPr>
            <w:tcW w:w="680" w:type="dxa"/>
            <w:vAlign w:val="bottom"/>
            <w:tcBorders>
              <w:right w:val="single" w:sz="8" w:color="7F7F7F"/>
            </w:tcBorders>
          </w:tcPr>
          <w:p>
            <w:pPr>
              <w:jc w:val="right"/>
              <w:spacing w:after="0"/>
              <w:rPr>
                <w:sz w:val="20"/>
                <w:szCs w:val="20"/>
                <w:color w:val="auto"/>
              </w:rPr>
            </w:pPr>
            <w:r>
              <w:rPr>
                <w:rFonts w:ascii="Arial" w:cs="Arial" w:eastAsia="Arial" w:hAnsi="Arial"/>
                <w:sz w:val="16"/>
                <w:szCs w:val="16"/>
                <w:color w:val="auto"/>
              </w:rPr>
              <w:t>24,226</w:t>
            </w:r>
          </w:p>
        </w:tc>
      </w:tr>
      <w:tr>
        <w:trPr>
          <w:trHeight w:val="230"/>
        </w:trPr>
        <w:tc>
          <w:tcPr>
            <w:tcW w:w="506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Marillyn A. Hewson</w:t>
            </w:r>
          </w:p>
        </w:tc>
        <w:tc>
          <w:tcPr>
            <w:tcW w:w="1120" w:type="dxa"/>
            <w:vAlign w:val="bottom"/>
            <w:shd w:val="clear" w:color="auto" w:fill="D8D8D8"/>
          </w:tcPr>
          <w:p>
            <w:pPr>
              <w:jc w:val="center"/>
              <w:ind w:left="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w:t>
            </w:r>
          </w:p>
        </w:tc>
        <w:tc>
          <w:tcPr>
            <w:tcW w:w="8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3,335</w:t>
            </w:r>
          </w:p>
        </w:tc>
        <w:tc>
          <w:tcPr>
            <w:tcW w:w="1480" w:type="dxa"/>
            <w:vAlign w:val="bottom"/>
            <w:shd w:val="clear" w:color="auto" w:fill="D8D8D8"/>
          </w:tcPr>
          <w:p>
            <w:pPr>
              <w:jc w:val="right"/>
              <w:ind w:right="339"/>
              <w:spacing w:after="0"/>
              <w:rPr>
                <w:sz w:val="20"/>
                <w:szCs w:val="20"/>
                <w:color w:val="auto"/>
              </w:rPr>
            </w:pPr>
            <w:r>
              <w:rPr>
                <w:rFonts w:ascii="Arial" w:cs="Arial" w:eastAsia="Arial" w:hAnsi="Arial"/>
                <w:sz w:val="16"/>
                <w:szCs w:val="16"/>
                <w:color w:val="auto"/>
              </w:rPr>
              <w:t>1,180</w:t>
            </w:r>
          </w:p>
        </w:tc>
        <w:tc>
          <w:tcPr>
            <w:tcW w:w="680" w:type="dxa"/>
            <w:vAlign w:val="bottom"/>
            <w:tcBorders>
              <w:right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4,515</w:t>
            </w:r>
          </w:p>
        </w:tc>
      </w:tr>
      <w:tr>
        <w:trPr>
          <w:trHeight w:val="229"/>
        </w:trPr>
        <w:tc>
          <w:tcPr>
            <w:tcW w:w="506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Jon M. Huntsman Jr.</w:t>
            </w:r>
          </w:p>
        </w:tc>
        <w:tc>
          <w:tcPr>
            <w:tcW w:w="1120" w:type="dxa"/>
            <w:vAlign w:val="bottom"/>
          </w:tcPr>
          <w:p>
            <w:pPr>
              <w:jc w:val="center"/>
              <w:ind w:left="99"/>
              <w:spacing w:after="0"/>
              <w:rPr>
                <w:sz w:val="20"/>
                <w:szCs w:val="20"/>
                <w:color w:val="auto"/>
              </w:rPr>
            </w:pPr>
            <w:r>
              <w:rPr>
                <w:rFonts w:ascii="Arial" w:cs="Arial" w:eastAsia="Arial" w:hAnsi="Arial"/>
                <w:sz w:val="16"/>
                <w:szCs w:val="16"/>
                <w:color w:val="auto"/>
              </w:rPr>
              <w:t>–</w:t>
            </w:r>
          </w:p>
        </w:tc>
        <w:tc>
          <w:tcPr>
            <w:tcW w:w="1400" w:type="dxa"/>
            <w:vAlign w:val="bottom"/>
          </w:tcPr>
          <w:p>
            <w:pPr>
              <w:jc w:val="cente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2,221</w:t>
            </w:r>
          </w:p>
        </w:tc>
        <w:tc>
          <w:tcPr>
            <w:tcW w:w="1480" w:type="dxa"/>
            <w:vAlign w:val="bottom"/>
          </w:tcPr>
          <w:p>
            <w:pPr>
              <w:jc w:val="center"/>
              <w:ind w:left="79"/>
              <w:spacing w:after="0"/>
              <w:rPr>
                <w:sz w:val="20"/>
                <w:szCs w:val="20"/>
                <w:color w:val="auto"/>
              </w:rPr>
            </w:pPr>
            <w:r>
              <w:rPr>
                <w:rFonts w:ascii="Arial" w:cs="Arial" w:eastAsia="Arial" w:hAnsi="Arial"/>
                <w:sz w:val="16"/>
                <w:szCs w:val="16"/>
                <w:color w:val="auto"/>
                <w:w w:val="89"/>
              </w:rPr>
              <w:t>–</w:t>
            </w:r>
          </w:p>
        </w:tc>
        <w:tc>
          <w:tcPr>
            <w:tcW w:w="680" w:type="dxa"/>
            <w:vAlign w:val="bottom"/>
            <w:tcBorders>
              <w:right w:val="single" w:sz="8" w:color="7F7F7F"/>
            </w:tcBorders>
          </w:tcPr>
          <w:p>
            <w:pPr>
              <w:jc w:val="right"/>
              <w:spacing w:after="0"/>
              <w:rPr>
                <w:sz w:val="20"/>
                <w:szCs w:val="20"/>
                <w:color w:val="auto"/>
              </w:rPr>
            </w:pPr>
            <w:r>
              <w:rPr>
                <w:rFonts w:ascii="Arial" w:cs="Arial" w:eastAsia="Arial" w:hAnsi="Arial"/>
                <w:sz w:val="16"/>
                <w:szCs w:val="16"/>
                <w:color w:val="auto"/>
              </w:rPr>
              <w:t>2,221</w:t>
            </w:r>
          </w:p>
        </w:tc>
      </w:tr>
      <w:tr>
        <w:trPr>
          <w:trHeight w:val="230"/>
        </w:trPr>
        <w:tc>
          <w:tcPr>
            <w:tcW w:w="506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Charles W. Moorman</w:t>
            </w:r>
          </w:p>
        </w:tc>
        <w:tc>
          <w:tcPr>
            <w:tcW w:w="1120" w:type="dxa"/>
            <w:vAlign w:val="bottom"/>
            <w:shd w:val="clear" w:color="auto" w:fill="D8D8D8"/>
          </w:tcPr>
          <w:p>
            <w:pPr>
              <w:jc w:val="center"/>
              <w:ind w:left="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w:t>
            </w:r>
          </w:p>
        </w:tc>
        <w:tc>
          <w:tcPr>
            <w:tcW w:w="8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25,417</w:t>
            </w:r>
          </w:p>
        </w:tc>
        <w:tc>
          <w:tcPr>
            <w:tcW w:w="1480" w:type="dxa"/>
            <w:vAlign w:val="bottom"/>
            <w:shd w:val="clear" w:color="auto" w:fill="D8D8D8"/>
          </w:tcPr>
          <w:p>
            <w:pPr>
              <w:jc w:val="center"/>
              <w:ind w:left="79"/>
              <w:spacing w:after="0"/>
              <w:rPr>
                <w:sz w:val="20"/>
                <w:szCs w:val="20"/>
                <w:color w:val="auto"/>
              </w:rPr>
            </w:pPr>
            <w:r>
              <w:rPr>
                <w:rFonts w:ascii="Arial" w:cs="Arial" w:eastAsia="Arial" w:hAnsi="Arial"/>
                <w:sz w:val="16"/>
                <w:szCs w:val="16"/>
                <w:color w:val="auto"/>
                <w:w w:val="98"/>
              </w:rPr>
              <w:t>12,859</w:t>
            </w:r>
          </w:p>
        </w:tc>
        <w:tc>
          <w:tcPr>
            <w:tcW w:w="680" w:type="dxa"/>
            <w:vAlign w:val="bottom"/>
            <w:tcBorders>
              <w:right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38,276</w:t>
            </w:r>
          </w:p>
        </w:tc>
      </w:tr>
      <w:tr>
        <w:trPr>
          <w:trHeight w:val="229"/>
        </w:trPr>
        <w:tc>
          <w:tcPr>
            <w:tcW w:w="506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Dambisa F. Moyo</w:t>
            </w:r>
          </w:p>
        </w:tc>
        <w:tc>
          <w:tcPr>
            <w:tcW w:w="1120" w:type="dxa"/>
            <w:vAlign w:val="bottom"/>
          </w:tcPr>
          <w:p>
            <w:pPr>
              <w:jc w:val="center"/>
              <w:ind w:left="99"/>
              <w:spacing w:after="0"/>
              <w:rPr>
                <w:sz w:val="20"/>
                <w:szCs w:val="20"/>
                <w:color w:val="auto"/>
              </w:rPr>
            </w:pPr>
            <w:r>
              <w:rPr>
                <w:rFonts w:ascii="Arial" w:cs="Arial" w:eastAsia="Arial" w:hAnsi="Arial"/>
                <w:sz w:val="16"/>
                <w:szCs w:val="16"/>
                <w:color w:val="auto"/>
              </w:rPr>
              <w:t>–</w:t>
            </w:r>
          </w:p>
        </w:tc>
        <w:tc>
          <w:tcPr>
            <w:tcW w:w="1400" w:type="dxa"/>
            <w:vAlign w:val="bottom"/>
          </w:tcPr>
          <w:p>
            <w:pPr>
              <w:jc w:val="cente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2,221</w:t>
            </w:r>
          </w:p>
        </w:tc>
        <w:tc>
          <w:tcPr>
            <w:tcW w:w="1480" w:type="dxa"/>
            <w:vAlign w:val="bottom"/>
          </w:tcPr>
          <w:p>
            <w:pPr>
              <w:jc w:val="center"/>
              <w:ind w:left="79"/>
              <w:spacing w:after="0"/>
              <w:rPr>
                <w:sz w:val="20"/>
                <w:szCs w:val="20"/>
                <w:color w:val="auto"/>
              </w:rPr>
            </w:pPr>
            <w:r>
              <w:rPr>
                <w:rFonts w:ascii="Arial" w:cs="Arial" w:eastAsia="Arial" w:hAnsi="Arial"/>
                <w:sz w:val="16"/>
                <w:szCs w:val="16"/>
                <w:color w:val="auto"/>
                <w:w w:val="89"/>
              </w:rPr>
              <w:t>–</w:t>
            </w:r>
          </w:p>
        </w:tc>
        <w:tc>
          <w:tcPr>
            <w:tcW w:w="680" w:type="dxa"/>
            <w:vAlign w:val="bottom"/>
            <w:tcBorders>
              <w:right w:val="single" w:sz="8" w:color="7F7F7F"/>
            </w:tcBorders>
          </w:tcPr>
          <w:p>
            <w:pPr>
              <w:jc w:val="right"/>
              <w:spacing w:after="0"/>
              <w:rPr>
                <w:sz w:val="20"/>
                <w:szCs w:val="20"/>
                <w:color w:val="auto"/>
              </w:rPr>
            </w:pPr>
            <w:r>
              <w:rPr>
                <w:rFonts w:ascii="Arial" w:cs="Arial" w:eastAsia="Arial" w:hAnsi="Arial"/>
                <w:sz w:val="16"/>
                <w:szCs w:val="16"/>
                <w:color w:val="auto"/>
              </w:rPr>
              <w:t>2,221</w:t>
            </w:r>
          </w:p>
        </w:tc>
      </w:tr>
      <w:tr>
        <w:trPr>
          <w:trHeight w:val="230"/>
        </w:trPr>
        <w:tc>
          <w:tcPr>
            <w:tcW w:w="506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Debra Reed-Klages</w:t>
            </w:r>
          </w:p>
        </w:tc>
        <w:tc>
          <w:tcPr>
            <w:tcW w:w="1120" w:type="dxa"/>
            <w:vAlign w:val="bottom"/>
            <w:shd w:val="clear" w:color="auto" w:fill="D8D8D8"/>
          </w:tcPr>
          <w:p>
            <w:pPr>
              <w:jc w:val="center"/>
              <w:ind w:left="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w:t>
            </w:r>
          </w:p>
        </w:tc>
        <w:tc>
          <w:tcPr>
            <w:tcW w:w="8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8,064</w:t>
            </w:r>
          </w:p>
        </w:tc>
        <w:tc>
          <w:tcPr>
            <w:tcW w:w="1480" w:type="dxa"/>
            <w:vAlign w:val="bottom"/>
            <w:shd w:val="clear" w:color="auto" w:fill="D8D8D8"/>
          </w:tcPr>
          <w:p>
            <w:pPr>
              <w:jc w:val="right"/>
              <w:ind w:right="339"/>
              <w:spacing w:after="0"/>
              <w:rPr>
                <w:sz w:val="20"/>
                <w:szCs w:val="20"/>
                <w:color w:val="auto"/>
              </w:rPr>
            </w:pPr>
            <w:r>
              <w:rPr>
                <w:rFonts w:ascii="Arial" w:cs="Arial" w:eastAsia="Arial" w:hAnsi="Arial"/>
                <w:sz w:val="16"/>
                <w:szCs w:val="16"/>
                <w:color w:val="auto"/>
              </w:rPr>
              <w:t>1,154</w:t>
            </w:r>
          </w:p>
        </w:tc>
        <w:tc>
          <w:tcPr>
            <w:tcW w:w="680" w:type="dxa"/>
            <w:vAlign w:val="bottom"/>
            <w:tcBorders>
              <w:right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9,218</w:t>
            </w:r>
          </w:p>
        </w:tc>
      </w:tr>
      <w:tr>
        <w:trPr>
          <w:trHeight w:val="229"/>
        </w:trPr>
        <w:tc>
          <w:tcPr>
            <w:tcW w:w="506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Ronald D. Sugar</w:t>
            </w:r>
          </w:p>
        </w:tc>
        <w:tc>
          <w:tcPr>
            <w:tcW w:w="1120" w:type="dxa"/>
            <w:vAlign w:val="bottom"/>
          </w:tcPr>
          <w:p>
            <w:pPr>
              <w:jc w:val="center"/>
              <w:ind w:left="99"/>
              <w:spacing w:after="0"/>
              <w:rPr>
                <w:sz w:val="20"/>
                <w:szCs w:val="20"/>
                <w:color w:val="auto"/>
              </w:rPr>
            </w:pPr>
            <w:r>
              <w:rPr>
                <w:rFonts w:ascii="Arial" w:cs="Arial" w:eastAsia="Arial" w:hAnsi="Arial"/>
                <w:sz w:val="16"/>
                <w:szCs w:val="16"/>
                <w:color w:val="auto"/>
              </w:rPr>
              <w:t>2,952</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9,035</w:t>
            </w:r>
          </w:p>
        </w:tc>
        <w:tc>
          <w:tcPr>
            <w:tcW w:w="860" w:type="dxa"/>
            <w:vAlign w:val="bottom"/>
          </w:tcPr>
          <w:p>
            <w:pPr>
              <w:jc w:val="right"/>
              <w:spacing w:after="0"/>
              <w:rPr>
                <w:sz w:val="20"/>
                <w:szCs w:val="20"/>
                <w:color w:val="auto"/>
              </w:rPr>
            </w:pPr>
            <w:r>
              <w:rPr>
                <w:rFonts w:ascii="Arial" w:cs="Arial" w:eastAsia="Arial" w:hAnsi="Arial"/>
                <w:sz w:val="16"/>
                <w:szCs w:val="16"/>
                <w:color w:val="auto"/>
              </w:rPr>
              <w:t>43,729</w:t>
            </w:r>
          </w:p>
        </w:tc>
        <w:tc>
          <w:tcPr>
            <w:tcW w:w="1480" w:type="dxa"/>
            <w:vAlign w:val="bottom"/>
          </w:tcPr>
          <w:p>
            <w:pPr>
              <w:jc w:val="center"/>
              <w:ind w:left="79"/>
              <w:spacing w:after="0"/>
              <w:rPr>
                <w:sz w:val="20"/>
                <w:szCs w:val="20"/>
                <w:color w:val="auto"/>
              </w:rPr>
            </w:pPr>
            <w:r>
              <w:rPr>
                <w:rFonts w:ascii="Arial" w:cs="Arial" w:eastAsia="Arial" w:hAnsi="Arial"/>
                <w:sz w:val="16"/>
                <w:szCs w:val="16"/>
                <w:color w:val="auto"/>
                <w:w w:val="98"/>
              </w:rPr>
              <w:t>18,598</w:t>
            </w:r>
          </w:p>
        </w:tc>
        <w:tc>
          <w:tcPr>
            <w:tcW w:w="680" w:type="dxa"/>
            <w:vAlign w:val="bottom"/>
            <w:tcBorders>
              <w:right w:val="single" w:sz="8" w:color="7F7F7F"/>
            </w:tcBorders>
          </w:tcPr>
          <w:p>
            <w:pPr>
              <w:jc w:val="right"/>
              <w:spacing w:after="0"/>
              <w:rPr>
                <w:sz w:val="20"/>
                <w:szCs w:val="20"/>
                <w:color w:val="auto"/>
              </w:rPr>
            </w:pPr>
            <w:r>
              <w:rPr>
                <w:rFonts w:ascii="Arial" w:cs="Arial" w:eastAsia="Arial" w:hAnsi="Arial"/>
                <w:sz w:val="16"/>
                <w:szCs w:val="16"/>
                <w:color w:val="auto"/>
              </w:rPr>
              <w:t>74,314</w:t>
            </w:r>
          </w:p>
        </w:tc>
      </w:tr>
      <w:tr>
        <w:trPr>
          <w:trHeight w:val="230"/>
        </w:trPr>
        <w:tc>
          <w:tcPr>
            <w:tcW w:w="5060" w:type="dxa"/>
            <w:vAlign w:val="bottom"/>
            <w:tcBorders>
              <w:left w:val="single" w:sz="8" w:color="7F7F7F"/>
              <w:bottom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D. James Umpleby III</w:t>
            </w:r>
          </w:p>
        </w:tc>
        <w:tc>
          <w:tcPr>
            <w:tcW w:w="1120" w:type="dxa"/>
            <w:vAlign w:val="bottom"/>
            <w:tcBorders>
              <w:bottom w:val="single" w:sz="8" w:color="7F7F7F"/>
            </w:tcBorders>
            <w:shd w:val="clear" w:color="auto" w:fill="D8D8D8"/>
          </w:tcPr>
          <w:p>
            <w:pPr>
              <w:jc w:val="center"/>
              <w:ind w:lef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7F7F7F"/>
            </w:tcBorders>
            <w:shd w:val="clear" w:color="auto" w:fill="D8D8D8"/>
          </w:tcPr>
          <w:p>
            <w:pPr>
              <w:jc w:val="cente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2,221</w:t>
            </w:r>
          </w:p>
        </w:tc>
        <w:tc>
          <w:tcPr>
            <w:tcW w:w="1480" w:type="dxa"/>
            <w:vAlign w:val="bottom"/>
            <w:tcBorders>
              <w:bottom w:val="single" w:sz="8" w:color="7F7F7F"/>
            </w:tcBorders>
            <w:shd w:val="clear" w:color="auto" w:fill="D8D8D8"/>
          </w:tcPr>
          <w:p>
            <w:pPr>
              <w:jc w:val="center"/>
              <w:ind w:left="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7F7F7F"/>
              <w:right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2,221</w:t>
            </w:r>
          </w:p>
        </w:tc>
      </w:tr>
    </w:tbl>
    <w:p>
      <w:pPr>
        <w:spacing w:after="0" w:line="72" w:lineRule="exact"/>
        <w:rPr>
          <w:sz w:val="20"/>
          <w:szCs w:val="20"/>
          <w:color w:val="auto"/>
        </w:rPr>
      </w:pPr>
    </w:p>
    <w:p>
      <w:pPr>
        <w:ind w:left="980" w:right="320" w:hanging="432"/>
        <w:spacing w:after="0" w:line="252" w:lineRule="auto"/>
        <w:tabs>
          <w:tab w:leader="none" w:pos="9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awards of restricted stock and dividends and stock units and dividend equivalents from 2005 through 2006, and awards of RSUs and dividend equivalents beginning in 2007, rounded to whole units. Awards of restricted stock are fully vested and are settled in shares of Chevron common stock upon retirement. Awards of stock units and deferred RSUs are settled in shares of Chevron common stock in either one or 10 annual installments following the Director’s retirement, resignation, or death. RSUs not deferred are settled in shares upon vesting on the earlier of 12 months or the day preceding the first Annual Meeting following the date of the grant. The terms of awards of RSUs are described above.</w:t>
      </w:r>
    </w:p>
    <w:p>
      <w:pPr>
        <w:spacing w:after="0" w:line="45" w:lineRule="exact"/>
        <w:rPr>
          <w:rFonts w:ascii="Arial" w:cs="Arial" w:eastAsia="Arial" w:hAnsi="Arial"/>
          <w:sz w:val="14"/>
          <w:szCs w:val="14"/>
          <w:color w:val="auto"/>
        </w:rPr>
      </w:pPr>
    </w:p>
    <w:p>
      <w:pPr>
        <w:ind w:left="980" w:right="320" w:hanging="432"/>
        <w:spacing w:after="0" w:line="285" w:lineRule="auto"/>
        <w:tabs>
          <w:tab w:leader="none" w:pos="9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deferred compensation and dividend equivalents, rounded to whole units. Distribution will be made in either one or 10 annual installments. Any deferred amounts unpaid at the time of a Director’s death are distributed to the Director’s beneficiary.</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140"/>
          </w:cols>
          <w:pgMar w:left="320" w:top="455" w:right="4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208280</wp:posOffset>
            </wp:positionV>
            <wp:extent cx="147447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74470" cy="146050"/>
                    </a:xfrm>
                    <a:prstGeom prst="rect">
                      <a:avLst/>
                    </a:prstGeom>
                    <a:noFill/>
                  </pic:spPr>
                </pic:pic>
              </a:graphicData>
            </a:graphic>
          </wp:anchor>
        </w:drawing>
      </w:r>
    </w:p>
    <w:p>
      <w:pPr>
        <w:spacing w:after="0" w:line="339"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FFFFFF"/>
        </w:rPr>
        <w:t>Director compensation</w:t>
      </w:r>
    </w:p>
    <w:p>
      <w:pPr>
        <w:spacing w:after="0" w:line="177" w:lineRule="exact"/>
        <w:rPr>
          <w:sz w:val="20"/>
          <w:szCs w:val="20"/>
          <w:color w:val="auto"/>
        </w:rPr>
      </w:pPr>
    </w:p>
    <w:p>
      <w:pPr>
        <w:ind w:left="540" w:right="40" w:hanging="424"/>
        <w:spacing w:after="0" w:line="250" w:lineRule="auto"/>
        <w:tabs>
          <w:tab w:leader="none" w:pos="5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stock options are exercisable for that number of shares of Chevron common stock determined by dividing the amount of the cash retainer subject to the election by the Black-Scholes value of a stock option on the date of grant. Elections to receive stock options in lieu of any portion of cash compensation were made by December 31 in the year preceding the year in which the stock options were granted. The stock options have an exercise price based on the closing price of Chevron common stock on the date of grant. Under the NED Plan, non-employee Directors who retire in accordance with Chevron’s Director Retirement Policy have until 10 years from the date of grant to exercise any outstanding options. As noted above, effective December 31, 2021, Directors are no longer able to elect options in lieu of their cash compensation.</w:t>
      </w:r>
    </w:p>
    <w:p>
      <w:pPr>
        <w:spacing w:after="0" w:line="254" w:lineRule="exact"/>
        <w:rPr>
          <w:rFonts w:ascii="Arial" w:cs="Arial" w:eastAsia="Arial" w:hAnsi="Arial"/>
          <w:sz w:val="14"/>
          <w:szCs w:val="14"/>
          <w:color w:val="auto"/>
        </w:rPr>
      </w:pPr>
    </w:p>
    <w:p>
      <w:pPr>
        <w:ind w:left="540"/>
        <w:spacing w:after="0" w:line="250" w:lineRule="auto"/>
        <w:rPr>
          <w:rFonts w:ascii="Arial" w:cs="Arial" w:eastAsia="Arial" w:hAnsi="Arial"/>
          <w:sz w:val="14"/>
          <w:szCs w:val="14"/>
          <w:color w:val="auto"/>
        </w:rPr>
      </w:pPr>
      <w:r>
        <w:rPr>
          <w:rFonts w:ascii="Arial" w:cs="Arial" w:eastAsia="Arial" w:hAnsi="Arial"/>
          <w:sz w:val="14"/>
          <w:szCs w:val="14"/>
          <w:color w:val="auto"/>
        </w:rPr>
        <w:t>Amounts reported here reflect the aggregate grant date fair value for stock options granted on May 26, 2021. The grant date fair value was determined in accordance with ASC Topic 718 for financial reporting purposes. The grant date fair value of each option is calculated using the Black-Scholes model. Stock options granted on May 26, 2021, have an exercise price of $104.12 and a grant date fair value of $15.56. The assumptions used in the Black-Scholes model to calculate this grant date fair value were: an expected life of 6.8 years, a volatility rate of 31.5%, a risk-free interest rate of 1.24%, and a dividend yield of 5.91%. For purposes of this table only, estimates of forfeitures related to service-based vesting conditions have been disregarded. The aggregate grant date fair value is being reported as compensation in 2021, the year of grant, notwithstanding the Annual Compensation Cycle covering the period from May 26, 2021 through May 24, 2022.</w:t>
      </w:r>
    </w:p>
    <w:p>
      <w:pPr>
        <w:spacing w:after="0" w:line="87" w:lineRule="exact"/>
        <w:rPr>
          <w:rFonts w:ascii="Arial" w:cs="Arial" w:eastAsia="Arial" w:hAnsi="Arial"/>
          <w:sz w:val="14"/>
          <w:szCs w:val="14"/>
          <w:color w:val="auto"/>
        </w:rPr>
      </w:pPr>
    </w:p>
    <w:p>
      <w:pPr>
        <w:ind w:left="540" w:right="140"/>
        <w:spacing w:after="0" w:line="263" w:lineRule="auto"/>
        <w:rPr>
          <w:rFonts w:ascii="Arial" w:cs="Arial" w:eastAsia="Arial" w:hAnsi="Arial"/>
          <w:sz w:val="14"/>
          <w:szCs w:val="14"/>
          <w:color w:val="auto"/>
        </w:rPr>
      </w:pPr>
      <w:r>
        <w:rPr>
          <w:rFonts w:ascii="Arial" w:cs="Arial" w:eastAsia="Arial" w:hAnsi="Arial"/>
          <w:sz w:val="14"/>
          <w:szCs w:val="14"/>
          <w:color w:val="auto"/>
        </w:rPr>
        <w:t>Mr. Frank elected to receive a portion of his 2021 annual cash compensation in the form of stock options. The number of stock options granted at the 2021 Annual Meeting was 2,410. One-half of the stock options vested on November 26, 2021, and the remaining half vests on May 24, 2022. Stock options expire after 10 years. At December 31, 2021, Mr. Frank had 14,413 vested and unvested stock options.</w:t>
      </w:r>
    </w:p>
    <w:p>
      <w:pPr>
        <w:spacing w:after="0" w:line="78" w:lineRule="exact"/>
        <w:rPr>
          <w:rFonts w:ascii="Arial" w:cs="Arial" w:eastAsia="Arial" w:hAnsi="Arial"/>
          <w:sz w:val="14"/>
          <w:szCs w:val="14"/>
          <w:color w:val="auto"/>
        </w:rPr>
      </w:pPr>
    </w:p>
    <w:p>
      <w:pPr>
        <w:ind w:left="540" w:hanging="424"/>
        <w:spacing w:after="0"/>
        <w:tabs>
          <w:tab w:leader="none" w:pos="5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All Other Compensation for 2021 includes the following items:</w:t>
      </w:r>
    </w:p>
    <w:p>
      <w:pPr>
        <w:spacing w:after="0" w:line="240" w:lineRule="exact"/>
        <w:rPr>
          <w:sz w:val="20"/>
          <w:szCs w:val="20"/>
          <w:color w:val="auto"/>
        </w:rPr>
      </w:pPr>
    </w:p>
    <w:tbl>
      <w:tblPr>
        <w:tblLayout w:type="fixed"/>
        <w:tblInd w:w="570" w:type="dxa"/>
        <w:tblCellMar>
          <w:top w:w="0" w:type="dxa"/>
          <w:left w:w="0" w:type="dxa"/>
          <w:bottom w:w="0" w:type="dxa"/>
          <w:right w:w="0" w:type="dxa"/>
        </w:tblCellMar>
      </w:tblPr>
      <w:tr>
        <w:trPr>
          <w:trHeight w:val="310"/>
        </w:trPr>
        <w:tc>
          <w:tcPr>
            <w:tcW w:w="6000" w:type="dxa"/>
            <w:vAlign w:val="bottom"/>
            <w:tcBorders>
              <w:left w:val="single" w:sz="8" w:color="7F7F7F"/>
            </w:tcBorders>
            <w:shd w:val="clear" w:color="auto" w:fill="0066B2"/>
          </w:tcPr>
          <w:p>
            <w:pPr>
              <w:ind w:left="160"/>
              <w:spacing w:after="0"/>
              <w:rPr>
                <w:sz w:val="20"/>
                <w:szCs w:val="20"/>
                <w:color w:val="auto"/>
              </w:rPr>
            </w:pPr>
            <w:r>
              <w:rPr>
                <w:rFonts w:ascii="Arial" w:cs="Arial" w:eastAsia="Arial" w:hAnsi="Arial"/>
                <w:sz w:val="16"/>
                <w:szCs w:val="16"/>
                <w:b w:val="1"/>
                <w:bCs w:val="1"/>
                <w:color w:val="FFFFFF"/>
              </w:rPr>
              <w:t>Name</w:t>
            </w:r>
          </w:p>
        </w:tc>
        <w:tc>
          <w:tcPr>
            <w:tcW w:w="1500" w:type="dxa"/>
            <w:vAlign w:val="bottom"/>
            <w:gridSpan w:val="2"/>
            <w:shd w:val="clear" w:color="auto" w:fill="0066B2"/>
          </w:tcPr>
          <w:p>
            <w:pPr>
              <w:jc w:val="right"/>
              <w:ind w:right="99"/>
              <w:spacing w:after="0"/>
              <w:rPr>
                <w:sz w:val="20"/>
                <w:szCs w:val="20"/>
                <w:color w:val="auto"/>
              </w:rPr>
            </w:pPr>
            <w:r>
              <w:rPr>
                <w:rFonts w:ascii="Arial" w:cs="Arial" w:eastAsia="Arial" w:hAnsi="Arial"/>
                <w:sz w:val="16"/>
                <w:szCs w:val="16"/>
                <w:b w:val="1"/>
                <w:bCs w:val="1"/>
                <w:color w:val="FFFFFF"/>
              </w:rPr>
              <w:t>Insurance</w:t>
            </w:r>
            <w:r>
              <w:rPr>
                <w:rFonts w:ascii="Arial" w:cs="Arial" w:eastAsia="Arial" w:hAnsi="Arial"/>
                <w:sz w:val="27"/>
                <w:szCs w:val="27"/>
                <w:b w:val="1"/>
                <w:bCs w:val="1"/>
                <w:color w:val="FFFFFF"/>
                <w:vertAlign w:val="superscript"/>
              </w:rPr>
              <w:t>(a)</w:t>
            </w:r>
          </w:p>
        </w:tc>
        <w:tc>
          <w:tcPr>
            <w:tcW w:w="1440" w:type="dxa"/>
            <w:vAlign w:val="bottom"/>
            <w:shd w:val="clear" w:color="auto" w:fill="0066B2"/>
          </w:tcPr>
          <w:p>
            <w:pPr>
              <w:jc w:val="center"/>
              <w:spacing w:after="0"/>
              <w:rPr>
                <w:sz w:val="20"/>
                <w:szCs w:val="20"/>
                <w:color w:val="auto"/>
              </w:rPr>
            </w:pPr>
            <w:r>
              <w:rPr>
                <w:rFonts w:ascii="Arial" w:cs="Arial" w:eastAsia="Arial" w:hAnsi="Arial"/>
                <w:sz w:val="16"/>
                <w:szCs w:val="16"/>
                <w:b w:val="1"/>
                <w:bCs w:val="1"/>
                <w:color w:val="FFFFFF"/>
                <w:w w:val="95"/>
              </w:rPr>
              <w:t>Perquisites</w:t>
            </w:r>
            <w:r>
              <w:rPr>
                <w:rFonts w:ascii="Arial" w:cs="Arial" w:eastAsia="Arial" w:hAnsi="Arial"/>
                <w:sz w:val="27"/>
                <w:szCs w:val="27"/>
                <w:b w:val="1"/>
                <w:bCs w:val="1"/>
                <w:color w:val="FFFFFF"/>
                <w:w w:val="95"/>
                <w:vertAlign w:val="superscript"/>
              </w:rPr>
              <w:t>(b)</w:t>
            </w:r>
          </w:p>
        </w:tc>
        <w:tc>
          <w:tcPr>
            <w:tcW w:w="1200" w:type="dxa"/>
            <w:vAlign w:val="bottom"/>
            <w:tcBorders>
              <w:right w:val="single" w:sz="8" w:color="7F7F7F"/>
            </w:tcBorders>
            <w:gridSpan w:val="2"/>
            <w:shd w:val="clear" w:color="auto" w:fill="0066B2"/>
          </w:tcPr>
          <w:p>
            <w:pPr>
              <w:jc w:val="right"/>
              <w:spacing w:after="0"/>
              <w:rPr>
                <w:sz w:val="20"/>
                <w:szCs w:val="20"/>
                <w:color w:val="auto"/>
              </w:rPr>
            </w:pPr>
            <w:r>
              <w:rPr>
                <w:rFonts w:ascii="Arial" w:cs="Arial" w:eastAsia="Arial" w:hAnsi="Arial"/>
                <w:sz w:val="16"/>
                <w:szCs w:val="16"/>
                <w:b w:val="1"/>
                <w:bCs w:val="1"/>
                <w:color w:val="FFFFFF"/>
              </w:rPr>
              <w:t>Charitable</w:t>
            </w:r>
            <w:r>
              <w:rPr>
                <w:rFonts w:ascii="Arial" w:cs="Arial" w:eastAsia="Arial" w:hAnsi="Arial"/>
                <w:sz w:val="27"/>
                <w:szCs w:val="27"/>
                <w:b w:val="1"/>
                <w:bCs w:val="1"/>
                <w:color w:val="FFFFFF"/>
                <w:vertAlign w:val="superscript"/>
              </w:rPr>
              <w:t>(c)</w:t>
            </w:r>
          </w:p>
        </w:tc>
      </w:tr>
      <w:tr>
        <w:trPr>
          <w:trHeight w:val="243"/>
        </w:trPr>
        <w:tc>
          <w:tcPr>
            <w:tcW w:w="600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Wanda M. Austin</w:t>
            </w:r>
          </w:p>
        </w:tc>
        <w:tc>
          <w:tcPr>
            <w:tcW w:w="76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D8D8D8"/>
          </w:tcPr>
          <w:p>
            <w:pPr>
              <w:jc w:val="right"/>
              <w:ind w:right="299"/>
              <w:spacing w:after="0"/>
              <w:rPr>
                <w:sz w:val="20"/>
                <w:szCs w:val="20"/>
                <w:color w:val="auto"/>
              </w:rPr>
            </w:pPr>
            <w:r>
              <w:rPr>
                <w:rFonts w:ascii="Arial" w:cs="Arial" w:eastAsia="Arial" w:hAnsi="Arial"/>
                <w:sz w:val="16"/>
                <w:szCs w:val="16"/>
                <w:color w:val="auto"/>
              </w:rPr>
              <w:t>492</w:t>
            </w:r>
          </w:p>
        </w:tc>
        <w:tc>
          <w:tcPr>
            <w:tcW w:w="144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7F7F7F"/>
            </w:tcBorders>
            <w:shd w:val="clear" w:color="auto" w:fill="D8D8D8"/>
          </w:tcPr>
          <w:p>
            <w:pPr>
              <w:jc w:val="right"/>
              <w:ind w:right="59"/>
              <w:spacing w:after="0"/>
              <w:rPr>
                <w:sz w:val="20"/>
                <w:szCs w:val="20"/>
                <w:color w:val="auto"/>
              </w:rPr>
            </w:pPr>
            <w:r>
              <w:rPr>
                <w:rFonts w:ascii="Arial" w:cs="Arial" w:eastAsia="Arial" w:hAnsi="Arial"/>
                <w:sz w:val="16"/>
                <w:szCs w:val="16"/>
                <w:color w:val="auto"/>
              </w:rPr>
              <w:t>10,000</w:t>
            </w:r>
          </w:p>
        </w:tc>
      </w:tr>
      <w:tr>
        <w:trPr>
          <w:trHeight w:val="235"/>
        </w:trPr>
        <w:tc>
          <w:tcPr>
            <w:tcW w:w="600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John B. Frank</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492</w:t>
            </w: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7F7F7F"/>
            </w:tcBorders>
          </w:tcPr>
          <w:p>
            <w:pPr>
              <w:jc w:val="right"/>
              <w:ind w:right="59"/>
              <w:spacing w:after="0"/>
              <w:rPr>
                <w:sz w:val="20"/>
                <w:szCs w:val="20"/>
                <w:color w:val="auto"/>
              </w:rPr>
            </w:pPr>
            <w:r>
              <w:rPr>
                <w:rFonts w:ascii="Arial" w:cs="Arial" w:eastAsia="Arial" w:hAnsi="Arial"/>
                <w:sz w:val="16"/>
                <w:szCs w:val="16"/>
                <w:color w:val="auto"/>
              </w:rPr>
              <w:t>10,000</w:t>
            </w:r>
          </w:p>
        </w:tc>
      </w:tr>
      <w:tr>
        <w:trPr>
          <w:trHeight w:val="251"/>
        </w:trPr>
        <w:tc>
          <w:tcPr>
            <w:tcW w:w="600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Alice P. Gast</w:t>
            </w:r>
          </w:p>
        </w:tc>
        <w:tc>
          <w:tcPr>
            <w:tcW w:w="76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D8D8D8"/>
          </w:tcPr>
          <w:p>
            <w:pPr>
              <w:jc w:val="right"/>
              <w:ind w:right="299"/>
              <w:spacing w:after="0"/>
              <w:rPr>
                <w:sz w:val="20"/>
                <w:szCs w:val="20"/>
                <w:color w:val="auto"/>
              </w:rPr>
            </w:pPr>
            <w:r>
              <w:rPr>
                <w:rFonts w:ascii="Arial" w:cs="Arial" w:eastAsia="Arial" w:hAnsi="Arial"/>
                <w:sz w:val="16"/>
                <w:szCs w:val="16"/>
                <w:color w:val="auto"/>
              </w:rPr>
              <w:t>492</w:t>
            </w:r>
          </w:p>
        </w:tc>
        <w:tc>
          <w:tcPr>
            <w:tcW w:w="144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7F7F7F"/>
            </w:tcBorders>
            <w:shd w:val="clear" w:color="auto" w:fill="D8D8D8"/>
          </w:tcPr>
          <w:p>
            <w:pPr>
              <w:jc w:val="right"/>
              <w:ind w:right="19"/>
              <w:spacing w:after="0"/>
              <w:rPr>
                <w:sz w:val="20"/>
                <w:szCs w:val="20"/>
                <w:color w:val="auto"/>
              </w:rPr>
            </w:pPr>
            <w:r>
              <w:rPr>
                <w:rFonts w:ascii="Arial" w:cs="Arial" w:eastAsia="Arial" w:hAnsi="Arial"/>
                <w:sz w:val="16"/>
                <w:szCs w:val="16"/>
                <w:color w:val="auto"/>
              </w:rPr>
              <w:t>4,000</w:t>
            </w:r>
          </w:p>
        </w:tc>
      </w:tr>
      <w:tr>
        <w:trPr>
          <w:trHeight w:val="229"/>
        </w:trPr>
        <w:tc>
          <w:tcPr>
            <w:tcW w:w="600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Enrique Hernandez, Jr.</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492</w:t>
            </w: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7F7F7F"/>
            </w:tcBorders>
          </w:tcPr>
          <w:p>
            <w:pPr>
              <w:jc w:val="right"/>
              <w:ind w:right="59"/>
              <w:spacing w:after="0"/>
              <w:rPr>
                <w:sz w:val="20"/>
                <w:szCs w:val="20"/>
                <w:color w:val="auto"/>
              </w:rPr>
            </w:pPr>
            <w:r>
              <w:rPr>
                <w:rFonts w:ascii="Arial" w:cs="Arial" w:eastAsia="Arial" w:hAnsi="Arial"/>
                <w:sz w:val="16"/>
                <w:szCs w:val="16"/>
                <w:color w:val="auto"/>
              </w:rPr>
              <w:t>10,000</w:t>
            </w:r>
          </w:p>
        </w:tc>
      </w:tr>
      <w:tr>
        <w:trPr>
          <w:trHeight w:val="230"/>
        </w:trPr>
        <w:tc>
          <w:tcPr>
            <w:tcW w:w="600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Marillyn A. Hewson</w:t>
            </w:r>
          </w:p>
        </w:tc>
        <w:tc>
          <w:tcPr>
            <w:tcW w:w="76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D8D8D8"/>
          </w:tcPr>
          <w:p>
            <w:pPr>
              <w:jc w:val="right"/>
              <w:ind w:right="299"/>
              <w:spacing w:after="0"/>
              <w:rPr>
                <w:sz w:val="20"/>
                <w:szCs w:val="20"/>
                <w:color w:val="auto"/>
              </w:rPr>
            </w:pPr>
            <w:r>
              <w:rPr>
                <w:rFonts w:ascii="Arial" w:cs="Arial" w:eastAsia="Arial" w:hAnsi="Arial"/>
                <w:sz w:val="16"/>
                <w:szCs w:val="16"/>
                <w:color w:val="auto"/>
              </w:rPr>
              <w:t>492</w:t>
            </w:r>
          </w:p>
        </w:tc>
        <w:tc>
          <w:tcPr>
            <w:tcW w:w="144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D8D8D8"/>
          </w:tcPr>
          <w:p>
            <w:pPr>
              <w:spacing w:after="0"/>
              <w:rPr>
                <w:sz w:val="20"/>
                <w:szCs w:val="20"/>
                <w:color w:val="auto"/>
              </w:rPr>
            </w:pPr>
          </w:p>
        </w:tc>
        <w:tc>
          <w:tcPr>
            <w:tcW w:w="720" w:type="dxa"/>
            <w:vAlign w:val="bottom"/>
            <w:tcBorders>
              <w:right w:val="single" w:sz="8" w:color="7F7F7F"/>
            </w:tcBorders>
            <w:shd w:val="clear" w:color="auto" w:fill="D8D8D8"/>
          </w:tcPr>
          <w:p>
            <w:pPr>
              <w:jc w:val="right"/>
              <w:ind w:right="199"/>
              <w:spacing w:after="0"/>
              <w:rPr>
                <w:sz w:val="20"/>
                <w:szCs w:val="20"/>
                <w:color w:val="auto"/>
              </w:rPr>
            </w:pPr>
            <w:r>
              <w:rPr>
                <w:rFonts w:ascii="Arial" w:cs="Arial" w:eastAsia="Arial" w:hAnsi="Arial"/>
                <w:sz w:val="16"/>
                <w:szCs w:val="16"/>
                <w:color w:val="auto"/>
              </w:rPr>
              <w:t>–</w:t>
            </w:r>
          </w:p>
        </w:tc>
      </w:tr>
      <w:tr>
        <w:trPr>
          <w:trHeight w:val="228"/>
        </w:trPr>
        <w:tc>
          <w:tcPr>
            <w:tcW w:w="600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Jon M. Huntsman Jr.</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492</w:t>
            </w: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480" w:type="dxa"/>
            <w:vAlign w:val="bottom"/>
          </w:tcPr>
          <w:p>
            <w:pPr>
              <w:spacing w:after="0"/>
              <w:rPr>
                <w:sz w:val="19"/>
                <w:szCs w:val="19"/>
                <w:color w:val="auto"/>
              </w:rPr>
            </w:pPr>
          </w:p>
        </w:tc>
        <w:tc>
          <w:tcPr>
            <w:tcW w:w="720" w:type="dxa"/>
            <w:vAlign w:val="bottom"/>
            <w:tcBorders>
              <w:right w:val="single" w:sz="8" w:color="7F7F7F"/>
            </w:tcBorders>
          </w:tcPr>
          <w:p>
            <w:pPr>
              <w:jc w:val="right"/>
              <w:ind w:right="199"/>
              <w:spacing w:after="0"/>
              <w:rPr>
                <w:sz w:val="20"/>
                <w:szCs w:val="20"/>
                <w:color w:val="auto"/>
              </w:rPr>
            </w:pPr>
            <w:r>
              <w:rPr>
                <w:rFonts w:ascii="Arial" w:cs="Arial" w:eastAsia="Arial" w:hAnsi="Arial"/>
                <w:sz w:val="16"/>
                <w:szCs w:val="16"/>
                <w:color w:val="auto"/>
              </w:rPr>
              <w:t>–</w:t>
            </w:r>
          </w:p>
        </w:tc>
      </w:tr>
      <w:tr>
        <w:trPr>
          <w:trHeight w:val="231"/>
        </w:trPr>
        <w:tc>
          <w:tcPr>
            <w:tcW w:w="600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Charles W. Moorman</w:t>
            </w:r>
          </w:p>
        </w:tc>
        <w:tc>
          <w:tcPr>
            <w:tcW w:w="76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D8D8D8"/>
          </w:tcPr>
          <w:p>
            <w:pPr>
              <w:jc w:val="right"/>
              <w:ind w:right="299"/>
              <w:spacing w:after="0"/>
              <w:rPr>
                <w:sz w:val="20"/>
                <w:szCs w:val="20"/>
                <w:color w:val="auto"/>
              </w:rPr>
            </w:pPr>
            <w:r>
              <w:rPr>
                <w:rFonts w:ascii="Arial" w:cs="Arial" w:eastAsia="Arial" w:hAnsi="Arial"/>
                <w:sz w:val="16"/>
                <w:szCs w:val="16"/>
                <w:color w:val="auto"/>
              </w:rPr>
              <w:t>492</w:t>
            </w:r>
          </w:p>
        </w:tc>
        <w:tc>
          <w:tcPr>
            <w:tcW w:w="144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7F7F7F"/>
            </w:tcBorders>
            <w:shd w:val="clear" w:color="auto" w:fill="D8D8D8"/>
          </w:tcPr>
          <w:p>
            <w:pPr>
              <w:jc w:val="right"/>
              <w:ind w:right="59"/>
              <w:spacing w:after="0"/>
              <w:rPr>
                <w:sz w:val="20"/>
                <w:szCs w:val="20"/>
                <w:color w:val="auto"/>
              </w:rPr>
            </w:pPr>
            <w:r>
              <w:rPr>
                <w:rFonts w:ascii="Arial" w:cs="Arial" w:eastAsia="Arial" w:hAnsi="Arial"/>
                <w:sz w:val="16"/>
                <w:szCs w:val="16"/>
                <w:color w:val="auto"/>
              </w:rPr>
              <w:t>10,000</w:t>
            </w:r>
          </w:p>
        </w:tc>
      </w:tr>
      <w:tr>
        <w:trPr>
          <w:trHeight w:val="228"/>
        </w:trPr>
        <w:tc>
          <w:tcPr>
            <w:tcW w:w="600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Dambisa F. Moyo</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492</w:t>
            </w: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480" w:type="dxa"/>
            <w:vAlign w:val="bottom"/>
          </w:tcPr>
          <w:p>
            <w:pPr>
              <w:spacing w:after="0"/>
              <w:rPr>
                <w:sz w:val="19"/>
                <w:szCs w:val="19"/>
                <w:color w:val="auto"/>
              </w:rPr>
            </w:pPr>
          </w:p>
        </w:tc>
        <w:tc>
          <w:tcPr>
            <w:tcW w:w="720" w:type="dxa"/>
            <w:vAlign w:val="bottom"/>
            <w:tcBorders>
              <w:right w:val="single" w:sz="8" w:color="7F7F7F"/>
            </w:tcBorders>
          </w:tcPr>
          <w:p>
            <w:pPr>
              <w:jc w:val="right"/>
              <w:ind w:right="199"/>
              <w:spacing w:after="0"/>
              <w:rPr>
                <w:sz w:val="20"/>
                <w:szCs w:val="20"/>
                <w:color w:val="auto"/>
              </w:rPr>
            </w:pPr>
            <w:r>
              <w:rPr>
                <w:rFonts w:ascii="Arial" w:cs="Arial" w:eastAsia="Arial" w:hAnsi="Arial"/>
                <w:sz w:val="16"/>
                <w:szCs w:val="16"/>
                <w:color w:val="auto"/>
              </w:rPr>
              <w:t>–</w:t>
            </w:r>
          </w:p>
        </w:tc>
      </w:tr>
      <w:tr>
        <w:trPr>
          <w:trHeight w:val="230"/>
        </w:trPr>
        <w:tc>
          <w:tcPr>
            <w:tcW w:w="600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Debra Reed-Klages</w:t>
            </w:r>
          </w:p>
        </w:tc>
        <w:tc>
          <w:tcPr>
            <w:tcW w:w="76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D8D8D8"/>
          </w:tcPr>
          <w:p>
            <w:pPr>
              <w:jc w:val="right"/>
              <w:ind w:right="299"/>
              <w:spacing w:after="0"/>
              <w:rPr>
                <w:sz w:val="20"/>
                <w:szCs w:val="20"/>
                <w:color w:val="auto"/>
              </w:rPr>
            </w:pPr>
            <w:r>
              <w:rPr>
                <w:rFonts w:ascii="Arial" w:cs="Arial" w:eastAsia="Arial" w:hAnsi="Arial"/>
                <w:sz w:val="16"/>
                <w:szCs w:val="16"/>
                <w:color w:val="auto"/>
              </w:rPr>
              <w:t>492</w:t>
            </w:r>
          </w:p>
        </w:tc>
        <w:tc>
          <w:tcPr>
            <w:tcW w:w="144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D8D8D8"/>
          </w:tcPr>
          <w:p>
            <w:pPr>
              <w:spacing w:after="0"/>
              <w:rPr>
                <w:sz w:val="20"/>
                <w:szCs w:val="20"/>
                <w:color w:val="auto"/>
              </w:rPr>
            </w:pPr>
          </w:p>
        </w:tc>
        <w:tc>
          <w:tcPr>
            <w:tcW w:w="720" w:type="dxa"/>
            <w:vAlign w:val="bottom"/>
            <w:tcBorders>
              <w:right w:val="single" w:sz="8" w:color="7F7F7F"/>
            </w:tcBorders>
            <w:shd w:val="clear" w:color="auto" w:fill="D8D8D8"/>
          </w:tcPr>
          <w:p>
            <w:pPr>
              <w:jc w:val="right"/>
              <w:ind w:right="199"/>
              <w:spacing w:after="0"/>
              <w:rPr>
                <w:sz w:val="20"/>
                <w:szCs w:val="20"/>
                <w:color w:val="auto"/>
              </w:rPr>
            </w:pPr>
            <w:r>
              <w:rPr>
                <w:rFonts w:ascii="Arial" w:cs="Arial" w:eastAsia="Arial" w:hAnsi="Arial"/>
                <w:sz w:val="16"/>
                <w:szCs w:val="16"/>
                <w:color w:val="auto"/>
              </w:rPr>
              <w:t>–</w:t>
            </w:r>
          </w:p>
        </w:tc>
      </w:tr>
      <w:tr>
        <w:trPr>
          <w:trHeight w:val="229"/>
        </w:trPr>
        <w:tc>
          <w:tcPr>
            <w:tcW w:w="600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Ronald D. Sugar</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492</w:t>
            </w: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7F7F7F"/>
            </w:tcBorders>
          </w:tcPr>
          <w:p>
            <w:pPr>
              <w:jc w:val="right"/>
              <w:ind w:right="59"/>
              <w:spacing w:after="0"/>
              <w:rPr>
                <w:sz w:val="20"/>
                <w:szCs w:val="20"/>
                <w:color w:val="auto"/>
              </w:rPr>
            </w:pPr>
            <w:r>
              <w:rPr>
                <w:rFonts w:ascii="Arial" w:cs="Arial" w:eastAsia="Arial" w:hAnsi="Arial"/>
                <w:sz w:val="16"/>
                <w:szCs w:val="16"/>
                <w:color w:val="auto"/>
              </w:rPr>
              <w:t>10,000</w:t>
            </w:r>
          </w:p>
        </w:tc>
      </w:tr>
      <w:tr>
        <w:trPr>
          <w:trHeight w:val="229"/>
        </w:trPr>
        <w:tc>
          <w:tcPr>
            <w:tcW w:w="6000" w:type="dxa"/>
            <w:vAlign w:val="bottom"/>
            <w:tcBorders>
              <w:left w:val="single" w:sz="8" w:color="7F7F7F"/>
              <w:bottom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D. James Umpleby III</w:t>
            </w:r>
          </w:p>
        </w:tc>
        <w:tc>
          <w:tcPr>
            <w:tcW w:w="760" w:type="dxa"/>
            <w:vAlign w:val="bottom"/>
            <w:tcBorders>
              <w:bottom w:val="single" w:sz="8" w:color="7F7F7F"/>
            </w:tcBorders>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7F7F7F"/>
            </w:tcBorders>
            <w:shd w:val="clear" w:color="auto" w:fill="D8D8D8"/>
          </w:tcPr>
          <w:p>
            <w:pPr>
              <w:jc w:val="right"/>
              <w:ind w:right="299"/>
              <w:spacing w:after="0"/>
              <w:rPr>
                <w:sz w:val="20"/>
                <w:szCs w:val="20"/>
                <w:color w:val="auto"/>
              </w:rPr>
            </w:pPr>
            <w:r>
              <w:rPr>
                <w:rFonts w:ascii="Arial" w:cs="Arial" w:eastAsia="Arial" w:hAnsi="Arial"/>
                <w:sz w:val="16"/>
                <w:szCs w:val="16"/>
                <w:color w:val="auto"/>
              </w:rPr>
              <w:t>492</w:t>
            </w:r>
          </w:p>
        </w:tc>
        <w:tc>
          <w:tcPr>
            <w:tcW w:w="1440" w:type="dxa"/>
            <w:vAlign w:val="bottom"/>
            <w:tcBorders>
              <w:bottom w:val="single" w:sz="8" w:color="7F7F7F"/>
            </w:tcBorders>
            <w:shd w:val="clear" w:color="auto" w:fill="D8D8D8"/>
          </w:tcPr>
          <w:p>
            <w:pPr>
              <w:jc w:val="center"/>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7F7F7F"/>
              <w:right w:val="single" w:sz="8" w:color="7F7F7F"/>
            </w:tcBorders>
            <w:shd w:val="clear" w:color="auto" w:fill="D8D8D8"/>
          </w:tcPr>
          <w:p>
            <w:pPr>
              <w:jc w:val="right"/>
              <w:ind w:right="59"/>
              <w:spacing w:after="0"/>
              <w:rPr>
                <w:sz w:val="20"/>
                <w:szCs w:val="20"/>
                <w:color w:val="auto"/>
              </w:rPr>
            </w:pPr>
            <w:r>
              <w:rPr>
                <w:rFonts w:ascii="Arial" w:cs="Arial" w:eastAsia="Arial" w:hAnsi="Arial"/>
                <w:sz w:val="16"/>
                <w:szCs w:val="16"/>
                <w:color w:val="auto"/>
              </w:rPr>
              <w:t>10,000</w:t>
            </w:r>
          </w:p>
        </w:tc>
      </w:tr>
    </w:tbl>
    <w:p>
      <w:pPr>
        <w:spacing w:after="0" w:line="58" w:lineRule="exact"/>
        <w:rPr>
          <w:sz w:val="20"/>
          <w:szCs w:val="20"/>
          <w:color w:val="auto"/>
        </w:rPr>
      </w:pPr>
    </w:p>
    <w:p>
      <w:pPr>
        <w:ind w:left="980" w:right="300" w:hanging="432"/>
        <w:spacing w:after="0" w:line="285" w:lineRule="auto"/>
        <w:tabs>
          <w:tab w:leader="none" w:pos="980" w:val="left"/>
        </w:tabs>
        <w:numPr>
          <w:ilvl w:val="1"/>
          <w:numId w:val="35"/>
        </w:numPr>
        <w:rPr>
          <w:rFonts w:ascii="Arial" w:cs="Arial" w:eastAsia="Arial" w:hAnsi="Arial"/>
          <w:sz w:val="14"/>
          <w:szCs w:val="14"/>
          <w:color w:val="auto"/>
        </w:rPr>
      </w:pPr>
      <w:r>
        <w:rPr>
          <w:rFonts w:ascii="Arial" w:cs="Arial" w:eastAsia="Arial" w:hAnsi="Arial"/>
          <w:sz w:val="14"/>
          <w:szCs w:val="14"/>
          <w:color w:val="auto"/>
        </w:rPr>
        <w:t>Amounts reflect the annualized premium for accidental death and dismemberment insurance coverage paid by Chevron. Effective December 31, 2021, the accidental death and dismemberment insurance coverage for the non-employee Directors terminated. Coverage wil not be replaced.</w:t>
      </w:r>
    </w:p>
    <w:p>
      <w:pPr>
        <w:spacing w:after="0" w:line="63" w:lineRule="exact"/>
        <w:rPr>
          <w:rFonts w:ascii="Arial" w:cs="Arial" w:eastAsia="Arial" w:hAnsi="Arial"/>
          <w:sz w:val="14"/>
          <w:szCs w:val="14"/>
          <w:color w:val="auto"/>
        </w:rPr>
      </w:pPr>
    </w:p>
    <w:p>
      <w:pPr>
        <w:ind w:left="980" w:hanging="432"/>
        <w:spacing w:after="0"/>
        <w:tabs>
          <w:tab w:leader="none" w:pos="980" w:val="left"/>
        </w:tabs>
        <w:numPr>
          <w:ilvl w:val="1"/>
          <w:numId w:val="35"/>
        </w:numPr>
        <w:rPr>
          <w:rFonts w:ascii="Arial" w:cs="Arial" w:eastAsia="Arial" w:hAnsi="Arial"/>
          <w:sz w:val="14"/>
          <w:szCs w:val="14"/>
          <w:color w:val="auto"/>
        </w:rPr>
      </w:pPr>
      <w:r>
        <w:rPr>
          <w:rFonts w:ascii="Arial" w:cs="Arial" w:eastAsia="Arial" w:hAnsi="Arial"/>
          <w:sz w:val="14"/>
          <w:szCs w:val="14"/>
          <w:color w:val="auto"/>
        </w:rPr>
        <w:t>Perquisites and personal benefits did not equal or exceed $10,000 for any non-employee Director in 2021.</w:t>
      </w:r>
    </w:p>
    <w:p>
      <w:pPr>
        <w:spacing w:after="0" w:line="122" w:lineRule="exact"/>
        <w:rPr>
          <w:rFonts w:ascii="Arial" w:cs="Arial" w:eastAsia="Arial" w:hAnsi="Arial"/>
          <w:sz w:val="14"/>
          <w:szCs w:val="14"/>
          <w:color w:val="auto"/>
        </w:rPr>
      </w:pPr>
    </w:p>
    <w:p>
      <w:pPr>
        <w:ind w:left="980" w:right="180" w:hanging="432"/>
        <w:spacing w:after="0" w:line="285" w:lineRule="auto"/>
        <w:tabs>
          <w:tab w:leader="none" w:pos="980" w:val="left"/>
        </w:tabs>
        <w:numPr>
          <w:ilvl w:val="1"/>
          <w:numId w:val="35"/>
        </w:numPr>
        <w:rPr>
          <w:rFonts w:ascii="Arial" w:cs="Arial" w:eastAsia="Arial" w:hAnsi="Arial"/>
          <w:sz w:val="14"/>
          <w:szCs w:val="14"/>
          <w:color w:val="auto"/>
        </w:rPr>
      </w:pPr>
      <w:r>
        <w:rPr>
          <w:rFonts w:ascii="Arial" w:cs="Arial" w:eastAsia="Arial" w:hAnsi="Arial"/>
          <w:sz w:val="14"/>
          <w:szCs w:val="14"/>
          <w:color w:val="auto"/>
        </w:rPr>
        <w:t>Amounts reflect payments made to charitable organizations under Chevron Humankind, our charitable matching gift and community involvement program, to match donations made by the non-employee Directors in 2021.</w:t>
      </w:r>
    </w:p>
    <w:p>
      <w:pPr>
        <w:spacing w:after="0" w:line="63" w:lineRule="exact"/>
        <w:rPr>
          <w:rFonts w:ascii="Arial" w:cs="Arial" w:eastAsia="Arial" w:hAnsi="Arial"/>
          <w:sz w:val="14"/>
          <w:szCs w:val="14"/>
          <w:color w:val="auto"/>
        </w:rPr>
      </w:pPr>
    </w:p>
    <w:p>
      <w:pPr>
        <w:ind w:left="540" w:hanging="424"/>
        <w:spacing w:after="0"/>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Amount includes the additional retainer paid for serving as a Board Committee Chair during 2021.</w:t>
      </w:r>
    </w:p>
    <w:p>
      <w:pPr>
        <w:spacing w:after="0" w:line="122" w:lineRule="exact"/>
        <w:rPr>
          <w:rFonts w:ascii="Arial" w:cs="Arial" w:eastAsia="Arial" w:hAnsi="Arial"/>
          <w:sz w:val="14"/>
          <w:szCs w:val="14"/>
          <w:color w:val="auto"/>
        </w:rPr>
      </w:pPr>
    </w:p>
    <w:p>
      <w:pPr>
        <w:ind w:left="540" w:hanging="424"/>
        <w:spacing w:after="0"/>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Director has elected to defer all or a portion of the cash retainer under the NED Plan in 2021.</w:t>
      </w:r>
    </w:p>
    <w:p>
      <w:pPr>
        <w:spacing w:after="0" w:line="122" w:lineRule="exact"/>
        <w:rPr>
          <w:rFonts w:ascii="Arial" w:cs="Arial" w:eastAsia="Arial" w:hAnsi="Arial"/>
          <w:sz w:val="14"/>
          <w:szCs w:val="14"/>
          <w:color w:val="auto"/>
        </w:rPr>
      </w:pPr>
    </w:p>
    <w:p>
      <w:pPr>
        <w:ind w:left="540" w:right="180" w:hanging="424"/>
        <w:spacing w:after="0" w:line="271" w:lineRule="auto"/>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Dr. Austin and Messrs. Frank and Moorman each elected to receive a portion of their 2021 cash retainer, covering the period from January 1, 2021 through May 25, 2021, for the 2020 Annual Compensation Cycle in stock options in lieu of cash. Accordingly, all or a portion of the cash retainer was reported as compensation in 2020.</w:t>
      </w:r>
    </w:p>
    <w:p>
      <w:pPr>
        <w:spacing w:after="0" w:line="243" w:lineRule="exact"/>
        <w:rPr>
          <w:rFonts w:ascii="Arial" w:cs="Arial" w:eastAsia="Arial" w:hAnsi="Arial"/>
          <w:sz w:val="14"/>
          <w:szCs w:val="14"/>
          <w:color w:val="auto"/>
        </w:rPr>
      </w:pPr>
    </w:p>
    <w:p>
      <w:pPr>
        <w:ind w:left="540" w:hanging="424"/>
        <w:spacing w:after="0"/>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Reflects Dr. Austin’s cash retainer covering the period from May 26, 2021 through December 31, 2021.</w:t>
      </w:r>
    </w:p>
    <w:p>
      <w:pPr>
        <w:spacing w:after="0" w:line="122" w:lineRule="exact"/>
        <w:rPr>
          <w:rFonts w:ascii="Arial" w:cs="Arial" w:eastAsia="Arial" w:hAnsi="Arial"/>
          <w:sz w:val="14"/>
          <w:szCs w:val="14"/>
          <w:color w:val="auto"/>
        </w:rPr>
      </w:pPr>
    </w:p>
    <w:p>
      <w:pPr>
        <w:ind w:left="540" w:hanging="424"/>
        <w:spacing w:after="0"/>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Ms. Hewson’s prorated cash retainer of $59,753 when she joined the Board during the 2020 Annual Compensation Cycle.</w:t>
      </w:r>
    </w:p>
    <w:p>
      <w:pPr>
        <w:spacing w:after="0" w:line="122" w:lineRule="exact"/>
        <w:rPr>
          <w:rFonts w:ascii="Arial" w:cs="Arial" w:eastAsia="Arial" w:hAnsi="Arial"/>
          <w:sz w:val="14"/>
          <w:szCs w:val="14"/>
          <w:color w:val="auto"/>
        </w:rPr>
      </w:pPr>
    </w:p>
    <w:p>
      <w:pPr>
        <w:ind w:left="540" w:hanging="424"/>
        <w:spacing w:after="0"/>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Amount includes the additional cash retainer paid for serving as Lead Director during 2021.</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100"/>
          </w:cols>
          <w:pgMar w:left="320" w:top="455" w:right="4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0B2D71"/>
        </w:rPr>
        <w:t>Corporate governance</w:t>
      </w:r>
    </w:p>
    <w:p>
      <w:pPr>
        <w:spacing w:after="0" w:line="334"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0B2D71"/>
        </w:rPr>
        <w:t>Overview</w:t>
      </w:r>
    </w:p>
    <w:p>
      <w:pPr>
        <w:sectPr>
          <w:pgSz w:w="11900" w:h="16838" w:orient="portrait"/>
          <w:cols w:equalWidth="0" w:num="1">
            <w:col w:w="11120"/>
          </w:cols>
          <w:pgMar w:left="320" w:top="455" w:right="459" w:bottom="894" w:gutter="0" w:footer="0" w:header="0"/>
        </w:sectPr>
      </w:pPr>
    </w:p>
    <w:p>
      <w:pPr>
        <w:spacing w:after="0" w:line="202"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Chevron is governed by a Board of Directors and Board Committees that meet throughout the year. Directors discharge their responsibilities at Board and Committee meetings and through other communications with</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management. Your Board is committed to strong corporate governance structures and practices that help Chevron compete more effectively, sustain its success, and build long-term stockholder value.</w:t>
      </w:r>
    </w:p>
    <w:p>
      <w:pPr>
        <w:spacing w:after="0" w:line="200" w:lineRule="exact"/>
        <w:rPr>
          <w:sz w:val="20"/>
          <w:szCs w:val="20"/>
          <w:color w:val="auto"/>
        </w:rPr>
      </w:pPr>
    </w:p>
    <w:p>
      <w:pPr>
        <w:sectPr>
          <w:pgSz w:w="11900" w:h="16838" w:orient="portrait"/>
          <w:cols w:equalWidth="0" w:num="2">
            <w:col w:w="5320" w:space="420"/>
            <w:col w:w="5380"/>
          </w:cols>
          <w:pgMar w:left="320" w:top="455" w:right="459" w:bottom="894" w:gutter="0" w:footer="0" w:header="0"/>
          <w:type w:val="continuous"/>
        </w:sectPr>
      </w:pPr>
    </w:p>
    <w:p>
      <w:pPr>
        <w:spacing w:after="0" w:line="131"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0B2D71"/>
        </w:rPr>
        <w:t>Role of the board of directors</w:t>
      </w:r>
    </w:p>
    <w:p>
      <w:pPr>
        <w:sectPr>
          <w:pgSz w:w="11900" w:h="16838" w:orient="portrait"/>
          <w:cols w:equalWidth="0" w:num="1">
            <w:col w:w="11120"/>
          </w:cols>
          <w:pgMar w:left="320" w:top="455" w:right="459" w:bottom="894" w:gutter="0" w:footer="0" w:header="0"/>
          <w:type w:val="continuous"/>
        </w:sectPr>
      </w:pPr>
    </w:p>
    <w:p>
      <w:pPr>
        <w:spacing w:after="0" w:line="202"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The Board oversees and provides guidance for Chevron’s business and affairs. The Board oversees management’s development and implementation of Chevron’s strategy and business planning process. The Board monitors corporate performance, the integrity of Chevron’s financial controls, and the effectiveness of its legal compliance and enterprise risk</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management programs. This is generally a year-round process, culminating in Board reviews of Chevron’s strategic plan, its business plan, the next year’s capital expenditures budget, and key financial and operational indicators. The Board also oversees management and the succession of key executives.</w:t>
      </w:r>
    </w:p>
    <w:p>
      <w:pPr>
        <w:spacing w:after="0" w:line="387" w:lineRule="exact"/>
        <w:rPr>
          <w:sz w:val="20"/>
          <w:szCs w:val="20"/>
          <w:color w:val="auto"/>
        </w:rPr>
      </w:pPr>
    </w:p>
    <w:p>
      <w:pPr>
        <w:sectPr>
          <w:pgSz w:w="11900" w:h="16838" w:orient="portrait"/>
          <w:cols w:equalWidth="0" w:num="2">
            <w:col w:w="5260" w:space="480"/>
            <w:col w:w="5380"/>
          </w:cols>
          <w:pgMar w:left="320" w:top="455" w:right="459" w:bottom="894" w:gutter="0" w:footer="0" w:header="0"/>
          <w:type w:val="continuous"/>
        </w:sectPr>
      </w:pP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0B2D71"/>
        </w:rPr>
        <w:t>Corporate governance guidelines</w:t>
      </w:r>
    </w:p>
    <w:p>
      <w:pPr>
        <w:spacing w:after="0" w:line="134" w:lineRule="exact"/>
        <w:rPr>
          <w:sz w:val="20"/>
          <w:szCs w:val="20"/>
          <w:color w:val="auto"/>
        </w:rPr>
      </w:pPr>
    </w:p>
    <w:p>
      <w:pPr>
        <w:ind w:left="120" w:right="180"/>
        <w:spacing w:after="0" w:line="266" w:lineRule="auto"/>
        <w:rPr>
          <w:sz w:val="20"/>
          <w:szCs w:val="20"/>
          <w:color w:val="auto"/>
        </w:rPr>
      </w:pPr>
      <w:r>
        <w:rPr>
          <w:rFonts w:ascii="Arial" w:cs="Arial" w:eastAsia="Arial" w:hAnsi="Arial"/>
          <w:sz w:val="16"/>
          <w:szCs w:val="16"/>
          <w:color w:val="auto"/>
        </w:rPr>
        <w:t>Your Board has adopted Corporate Governance Guidelines to provide a transparent framework for the effective governance of Chevron. The Corporate Governance Guidelines are reviewed regularly and updated as appropriate. The full text of the Corporate Governance Guidelines can be found on our website at www.chevron.com/investors/corporate-governance. The guidelines address, among other topics:</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4760" w:type="dxa"/>
            <w:vAlign w:val="bottom"/>
            <w:gridSpan w:val="2"/>
          </w:tcPr>
          <w:p>
            <w:pPr>
              <w:spacing w:after="0"/>
              <w:rPr>
                <w:sz w:val="20"/>
                <w:szCs w:val="20"/>
                <w:color w:val="auto"/>
              </w:rPr>
            </w:pPr>
            <w:r>
              <w:rPr>
                <w:rFonts w:ascii="Arial" w:cs="Arial" w:eastAsia="Arial" w:hAnsi="Arial"/>
                <w:sz w:val="16"/>
                <w:szCs w:val="16"/>
                <w:color w:val="auto"/>
              </w:rPr>
              <w:t>•  The role of the Board</w:t>
            </w:r>
          </w:p>
        </w:tc>
        <w:tc>
          <w:tcPr>
            <w:tcW w:w="4740" w:type="dxa"/>
            <w:vAlign w:val="bottom"/>
            <w:gridSpan w:val="2"/>
          </w:tcPr>
          <w:p>
            <w:pPr>
              <w:ind w:left="860"/>
              <w:spacing w:after="0"/>
              <w:rPr>
                <w:sz w:val="20"/>
                <w:szCs w:val="20"/>
                <w:color w:val="auto"/>
              </w:rPr>
            </w:pPr>
            <w:r>
              <w:rPr>
                <w:rFonts w:ascii="Arial" w:cs="Arial" w:eastAsia="Arial" w:hAnsi="Arial"/>
                <w:sz w:val="16"/>
                <w:szCs w:val="16"/>
                <w:color w:val="auto"/>
              </w:rPr>
              <w:t>•  Business Conduct and Ethics Code</w:t>
            </w:r>
          </w:p>
        </w:tc>
      </w:tr>
      <w:tr>
        <w:trPr>
          <w:trHeight w:val="310"/>
        </w:trPr>
        <w:tc>
          <w:tcPr>
            <w:tcW w:w="4760" w:type="dxa"/>
            <w:vAlign w:val="bottom"/>
            <w:gridSpan w:val="2"/>
          </w:tcPr>
          <w:p>
            <w:pPr>
              <w:spacing w:after="0"/>
              <w:rPr>
                <w:sz w:val="20"/>
                <w:szCs w:val="20"/>
                <w:color w:val="auto"/>
              </w:rPr>
            </w:pPr>
            <w:r>
              <w:rPr>
                <w:rFonts w:ascii="Arial" w:cs="Arial" w:eastAsia="Arial" w:hAnsi="Arial"/>
                <w:sz w:val="16"/>
                <w:szCs w:val="16"/>
                <w:color w:val="auto"/>
              </w:rPr>
              <w:t>•  Board succession planning and membership criteria</w:t>
            </w:r>
          </w:p>
        </w:tc>
        <w:tc>
          <w:tcPr>
            <w:tcW w:w="980" w:type="dxa"/>
            <w:vAlign w:val="bottom"/>
          </w:tcPr>
          <w:p>
            <w:pPr>
              <w:ind w:left="860"/>
              <w:spacing w:after="0"/>
              <w:rPr>
                <w:sz w:val="20"/>
                <w:szCs w:val="20"/>
                <w:color w:val="auto"/>
              </w:rPr>
            </w:pPr>
            <w:r>
              <w:rPr>
                <w:rFonts w:ascii="Arial" w:cs="Arial" w:eastAsia="Arial" w:hAnsi="Arial"/>
                <w:sz w:val="16"/>
                <w:szCs w:val="16"/>
                <w:color w:val="auto"/>
              </w:rPr>
              <w:t>•</w:t>
            </w:r>
          </w:p>
        </w:tc>
        <w:tc>
          <w:tcPr>
            <w:tcW w:w="3760" w:type="dxa"/>
            <w:vAlign w:val="bottom"/>
          </w:tcPr>
          <w:p>
            <w:pPr>
              <w:ind w:left="40"/>
              <w:spacing w:after="0"/>
              <w:rPr>
                <w:sz w:val="20"/>
                <w:szCs w:val="20"/>
                <w:color w:val="auto"/>
              </w:rPr>
            </w:pPr>
            <w:r>
              <w:rPr>
                <w:rFonts w:ascii="Arial" w:cs="Arial" w:eastAsia="Arial" w:hAnsi="Arial"/>
                <w:sz w:val="16"/>
                <w:szCs w:val="16"/>
                <w:color w:val="auto"/>
              </w:rPr>
              <w:t>Confidentiality</w:t>
            </w:r>
          </w:p>
        </w:tc>
      </w:tr>
      <w:tr>
        <w:trPr>
          <w:trHeight w:val="311"/>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4640" w:type="dxa"/>
            <w:vAlign w:val="bottom"/>
          </w:tcPr>
          <w:p>
            <w:pPr>
              <w:ind w:left="60"/>
              <w:spacing w:after="0"/>
              <w:rPr>
                <w:sz w:val="20"/>
                <w:szCs w:val="20"/>
                <w:color w:val="auto"/>
              </w:rPr>
            </w:pPr>
            <w:r>
              <w:rPr>
                <w:rFonts w:ascii="Arial" w:cs="Arial" w:eastAsia="Arial" w:hAnsi="Arial"/>
                <w:sz w:val="16"/>
                <w:szCs w:val="16"/>
                <w:color w:val="auto"/>
              </w:rPr>
              <w:t>Director independence</w:t>
            </w:r>
          </w:p>
        </w:tc>
        <w:tc>
          <w:tcPr>
            <w:tcW w:w="980" w:type="dxa"/>
            <w:vAlign w:val="bottom"/>
          </w:tcPr>
          <w:p>
            <w:pPr>
              <w:ind w:left="860"/>
              <w:spacing w:after="0"/>
              <w:rPr>
                <w:sz w:val="20"/>
                <w:szCs w:val="20"/>
                <w:color w:val="auto"/>
              </w:rPr>
            </w:pPr>
            <w:r>
              <w:rPr>
                <w:rFonts w:ascii="Arial" w:cs="Arial" w:eastAsia="Arial" w:hAnsi="Arial"/>
                <w:sz w:val="16"/>
                <w:szCs w:val="16"/>
                <w:color w:val="auto"/>
              </w:rPr>
              <w:t>•</w:t>
            </w:r>
          </w:p>
        </w:tc>
        <w:tc>
          <w:tcPr>
            <w:tcW w:w="3760" w:type="dxa"/>
            <w:vAlign w:val="bottom"/>
          </w:tcPr>
          <w:p>
            <w:pPr>
              <w:ind w:left="40"/>
              <w:spacing w:after="0"/>
              <w:rPr>
                <w:sz w:val="20"/>
                <w:szCs w:val="20"/>
                <w:color w:val="auto"/>
              </w:rPr>
            </w:pPr>
            <w:r>
              <w:rPr>
                <w:rFonts w:ascii="Arial" w:cs="Arial" w:eastAsia="Arial" w:hAnsi="Arial"/>
                <w:sz w:val="16"/>
                <w:szCs w:val="16"/>
                <w:color w:val="auto"/>
              </w:rPr>
              <w:t>Succession planning</w:t>
            </w:r>
          </w:p>
        </w:tc>
      </w:tr>
      <w:tr>
        <w:trPr>
          <w:trHeight w:val="310"/>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4640" w:type="dxa"/>
            <w:vAlign w:val="bottom"/>
          </w:tcPr>
          <w:p>
            <w:pPr>
              <w:ind w:left="60"/>
              <w:spacing w:after="0"/>
              <w:rPr>
                <w:sz w:val="20"/>
                <w:szCs w:val="20"/>
                <w:color w:val="auto"/>
              </w:rPr>
            </w:pPr>
            <w:r>
              <w:rPr>
                <w:rFonts w:ascii="Arial" w:cs="Arial" w:eastAsia="Arial" w:hAnsi="Arial"/>
                <w:sz w:val="16"/>
                <w:szCs w:val="16"/>
                <w:color w:val="auto"/>
              </w:rPr>
              <w:t>Board size</w:t>
            </w:r>
          </w:p>
        </w:tc>
        <w:tc>
          <w:tcPr>
            <w:tcW w:w="980" w:type="dxa"/>
            <w:vAlign w:val="bottom"/>
          </w:tcPr>
          <w:p>
            <w:pPr>
              <w:ind w:left="860"/>
              <w:spacing w:after="0"/>
              <w:rPr>
                <w:sz w:val="20"/>
                <w:szCs w:val="20"/>
                <w:color w:val="auto"/>
              </w:rPr>
            </w:pPr>
            <w:r>
              <w:rPr>
                <w:rFonts w:ascii="Arial" w:cs="Arial" w:eastAsia="Arial" w:hAnsi="Arial"/>
                <w:sz w:val="16"/>
                <w:szCs w:val="16"/>
                <w:color w:val="auto"/>
              </w:rPr>
              <w:t>•</w:t>
            </w:r>
          </w:p>
        </w:tc>
        <w:tc>
          <w:tcPr>
            <w:tcW w:w="3760" w:type="dxa"/>
            <w:vAlign w:val="bottom"/>
          </w:tcPr>
          <w:p>
            <w:pPr>
              <w:ind w:left="40"/>
              <w:spacing w:after="0"/>
              <w:rPr>
                <w:sz w:val="20"/>
                <w:szCs w:val="20"/>
                <w:color w:val="auto"/>
              </w:rPr>
            </w:pPr>
            <w:r>
              <w:rPr>
                <w:rFonts w:ascii="Arial" w:cs="Arial" w:eastAsia="Arial" w:hAnsi="Arial"/>
                <w:sz w:val="16"/>
                <w:szCs w:val="16"/>
                <w:color w:val="auto"/>
              </w:rPr>
              <w:t>Board compensation</w:t>
            </w:r>
          </w:p>
        </w:tc>
      </w:tr>
      <w:tr>
        <w:trPr>
          <w:trHeight w:val="310"/>
        </w:trPr>
        <w:tc>
          <w:tcPr>
            <w:tcW w:w="4760" w:type="dxa"/>
            <w:vAlign w:val="bottom"/>
            <w:gridSpan w:val="2"/>
          </w:tcPr>
          <w:p>
            <w:pPr>
              <w:spacing w:after="0"/>
              <w:rPr>
                <w:sz w:val="20"/>
                <w:szCs w:val="20"/>
                <w:color w:val="auto"/>
              </w:rPr>
            </w:pPr>
            <w:r>
              <w:rPr>
                <w:rFonts w:ascii="Arial" w:cs="Arial" w:eastAsia="Arial" w:hAnsi="Arial"/>
                <w:sz w:val="16"/>
                <w:szCs w:val="16"/>
                <w:color w:val="auto"/>
              </w:rPr>
              <w:t>•  Director terms of office</w:t>
            </w:r>
          </w:p>
        </w:tc>
        <w:tc>
          <w:tcPr>
            <w:tcW w:w="4740" w:type="dxa"/>
            <w:vAlign w:val="bottom"/>
            <w:gridSpan w:val="2"/>
          </w:tcPr>
          <w:p>
            <w:pPr>
              <w:ind w:left="860"/>
              <w:spacing w:after="0"/>
              <w:rPr>
                <w:sz w:val="20"/>
                <w:szCs w:val="20"/>
                <w:color w:val="auto"/>
              </w:rPr>
            </w:pPr>
            <w:r>
              <w:rPr>
                <w:rFonts w:ascii="Arial" w:cs="Arial" w:eastAsia="Arial" w:hAnsi="Arial"/>
                <w:sz w:val="16"/>
                <w:szCs w:val="16"/>
                <w:color w:val="auto"/>
              </w:rPr>
              <w:t>•  Board access to management and other employees</w:t>
            </w:r>
          </w:p>
        </w:tc>
      </w:tr>
      <w:tr>
        <w:trPr>
          <w:trHeight w:val="310"/>
        </w:trPr>
        <w:tc>
          <w:tcPr>
            <w:tcW w:w="4760" w:type="dxa"/>
            <w:vAlign w:val="bottom"/>
            <w:gridSpan w:val="2"/>
          </w:tcPr>
          <w:p>
            <w:pPr>
              <w:spacing w:after="0"/>
              <w:rPr>
                <w:sz w:val="20"/>
                <w:szCs w:val="20"/>
                <w:color w:val="auto"/>
              </w:rPr>
            </w:pPr>
            <w:r>
              <w:rPr>
                <w:rFonts w:ascii="Arial" w:cs="Arial" w:eastAsia="Arial" w:hAnsi="Arial"/>
                <w:sz w:val="16"/>
                <w:szCs w:val="16"/>
                <w:color w:val="auto"/>
              </w:rPr>
              <w:t>•  The election of Directors</w:t>
            </w:r>
          </w:p>
        </w:tc>
        <w:tc>
          <w:tcPr>
            <w:tcW w:w="4740" w:type="dxa"/>
            <w:vAlign w:val="bottom"/>
            <w:gridSpan w:val="2"/>
          </w:tcPr>
          <w:p>
            <w:pPr>
              <w:ind w:left="860"/>
              <w:spacing w:after="0"/>
              <w:rPr>
                <w:sz w:val="20"/>
                <w:szCs w:val="20"/>
                <w:color w:val="auto"/>
              </w:rPr>
            </w:pPr>
            <w:r>
              <w:rPr>
                <w:rFonts w:ascii="Arial" w:cs="Arial" w:eastAsia="Arial" w:hAnsi="Arial"/>
                <w:sz w:val="16"/>
                <w:szCs w:val="16"/>
                <w:color w:val="auto"/>
              </w:rPr>
              <w:t>•  Director orientation and education</w:t>
            </w:r>
          </w:p>
        </w:tc>
      </w:tr>
      <w:tr>
        <w:trPr>
          <w:trHeight w:val="310"/>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4640" w:type="dxa"/>
            <w:vAlign w:val="bottom"/>
          </w:tcPr>
          <w:p>
            <w:pPr>
              <w:ind w:left="60"/>
              <w:spacing w:after="0"/>
              <w:rPr>
                <w:sz w:val="20"/>
                <w:szCs w:val="20"/>
                <w:color w:val="auto"/>
              </w:rPr>
            </w:pPr>
            <w:r>
              <w:rPr>
                <w:rFonts w:ascii="Arial" w:cs="Arial" w:eastAsia="Arial" w:hAnsi="Arial"/>
                <w:sz w:val="16"/>
                <w:szCs w:val="16"/>
                <w:color w:val="auto"/>
              </w:rPr>
              <w:t>Other Board memberships</w:t>
            </w:r>
          </w:p>
        </w:tc>
        <w:tc>
          <w:tcPr>
            <w:tcW w:w="4740" w:type="dxa"/>
            <w:vAlign w:val="bottom"/>
            <w:gridSpan w:val="2"/>
          </w:tcPr>
          <w:p>
            <w:pPr>
              <w:ind w:left="860"/>
              <w:spacing w:after="0"/>
              <w:rPr>
                <w:sz w:val="20"/>
                <w:szCs w:val="20"/>
                <w:color w:val="auto"/>
              </w:rPr>
            </w:pPr>
            <w:r>
              <w:rPr>
                <w:rFonts w:ascii="Arial" w:cs="Arial" w:eastAsia="Arial" w:hAnsi="Arial"/>
                <w:sz w:val="16"/>
                <w:szCs w:val="16"/>
                <w:color w:val="auto"/>
              </w:rPr>
              <w:t>•  Evaluation of Board performance</w:t>
            </w:r>
          </w:p>
        </w:tc>
      </w:tr>
      <w:tr>
        <w:trPr>
          <w:trHeight w:val="310"/>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4640" w:type="dxa"/>
            <w:vAlign w:val="bottom"/>
          </w:tcPr>
          <w:p>
            <w:pPr>
              <w:ind w:left="60"/>
              <w:spacing w:after="0"/>
              <w:rPr>
                <w:sz w:val="20"/>
                <w:szCs w:val="20"/>
                <w:color w:val="auto"/>
              </w:rPr>
            </w:pPr>
            <w:r>
              <w:rPr>
                <w:rFonts w:ascii="Arial" w:cs="Arial" w:eastAsia="Arial" w:hAnsi="Arial"/>
                <w:sz w:val="16"/>
                <w:szCs w:val="16"/>
                <w:color w:val="auto"/>
              </w:rPr>
              <w:t>Director retirement policy</w:t>
            </w:r>
          </w:p>
        </w:tc>
        <w:tc>
          <w:tcPr>
            <w:tcW w:w="4740" w:type="dxa"/>
            <w:vAlign w:val="bottom"/>
            <w:gridSpan w:val="2"/>
          </w:tcPr>
          <w:p>
            <w:pPr>
              <w:ind w:left="860"/>
              <w:spacing w:after="0"/>
              <w:rPr>
                <w:sz w:val="20"/>
                <w:szCs w:val="20"/>
                <w:color w:val="auto"/>
              </w:rPr>
            </w:pPr>
            <w:r>
              <w:rPr>
                <w:rFonts w:ascii="Arial" w:cs="Arial" w:eastAsia="Arial" w:hAnsi="Arial"/>
                <w:sz w:val="16"/>
                <w:szCs w:val="16"/>
                <w:color w:val="auto"/>
              </w:rPr>
              <w:t>•  Chief Executive Officer performance review</w:t>
            </w:r>
          </w:p>
        </w:tc>
      </w:tr>
      <w:tr>
        <w:trPr>
          <w:trHeight w:val="310"/>
        </w:trPr>
        <w:tc>
          <w:tcPr>
            <w:tcW w:w="4760" w:type="dxa"/>
            <w:vAlign w:val="bottom"/>
            <w:gridSpan w:val="2"/>
          </w:tcPr>
          <w:p>
            <w:pPr>
              <w:spacing w:after="0"/>
              <w:rPr>
                <w:sz w:val="20"/>
                <w:szCs w:val="20"/>
                <w:color w:val="auto"/>
              </w:rPr>
            </w:pPr>
            <w:r>
              <w:rPr>
                <w:rFonts w:ascii="Arial" w:cs="Arial" w:eastAsia="Arial" w:hAnsi="Arial"/>
                <w:sz w:val="16"/>
                <w:szCs w:val="16"/>
                <w:color w:val="auto"/>
              </w:rPr>
              <w:t>•  Number and composition of Board Committees</w:t>
            </w:r>
          </w:p>
        </w:tc>
        <w:tc>
          <w:tcPr>
            <w:tcW w:w="4740" w:type="dxa"/>
            <w:vAlign w:val="bottom"/>
            <w:gridSpan w:val="2"/>
          </w:tcPr>
          <w:p>
            <w:pPr>
              <w:ind w:left="860"/>
              <w:spacing w:after="0"/>
              <w:rPr>
                <w:sz w:val="20"/>
                <w:szCs w:val="20"/>
                <w:color w:val="auto"/>
              </w:rPr>
            </w:pPr>
            <w:r>
              <w:rPr>
                <w:rFonts w:ascii="Arial" w:cs="Arial" w:eastAsia="Arial" w:hAnsi="Arial"/>
                <w:sz w:val="16"/>
                <w:szCs w:val="16"/>
                <w:color w:val="auto"/>
              </w:rPr>
              <w:t>•  Director and officer stock ownership guidelines</w:t>
            </w:r>
          </w:p>
        </w:tc>
      </w:tr>
      <w:tr>
        <w:trPr>
          <w:trHeight w:val="311"/>
        </w:trPr>
        <w:tc>
          <w:tcPr>
            <w:tcW w:w="4760" w:type="dxa"/>
            <w:vAlign w:val="bottom"/>
            <w:gridSpan w:val="2"/>
          </w:tcPr>
          <w:p>
            <w:pPr>
              <w:spacing w:after="0"/>
              <w:rPr>
                <w:sz w:val="20"/>
                <w:szCs w:val="20"/>
                <w:color w:val="auto"/>
              </w:rPr>
            </w:pPr>
            <w:r>
              <w:rPr>
                <w:rFonts w:ascii="Arial" w:cs="Arial" w:eastAsia="Arial" w:hAnsi="Arial"/>
                <w:sz w:val="16"/>
                <w:szCs w:val="16"/>
                <w:color w:val="auto"/>
              </w:rPr>
              <w:t>•  Board leadership and Lead Director</w:t>
            </w:r>
          </w:p>
        </w:tc>
        <w:tc>
          <w:tcPr>
            <w:tcW w:w="4740" w:type="dxa"/>
            <w:vAlign w:val="bottom"/>
            <w:gridSpan w:val="2"/>
          </w:tcPr>
          <w:p>
            <w:pPr>
              <w:ind w:left="860"/>
              <w:spacing w:after="0"/>
              <w:rPr>
                <w:sz w:val="20"/>
                <w:szCs w:val="20"/>
                <w:color w:val="auto"/>
              </w:rPr>
            </w:pPr>
            <w:r>
              <w:rPr>
                <w:rFonts w:ascii="Arial" w:cs="Arial" w:eastAsia="Arial" w:hAnsi="Arial"/>
                <w:sz w:val="16"/>
                <w:szCs w:val="16"/>
                <w:color w:val="auto"/>
              </w:rPr>
              <w:t>•  Access to outside advisors</w:t>
            </w:r>
          </w:p>
        </w:tc>
      </w:tr>
      <w:tr>
        <w:trPr>
          <w:trHeight w:val="310"/>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4640" w:type="dxa"/>
            <w:vAlign w:val="bottom"/>
          </w:tcPr>
          <w:p>
            <w:pPr>
              <w:ind w:left="60"/>
              <w:spacing w:after="0"/>
              <w:rPr>
                <w:sz w:val="20"/>
                <w:szCs w:val="20"/>
                <w:color w:val="auto"/>
              </w:rPr>
            </w:pPr>
            <w:r>
              <w:rPr>
                <w:rFonts w:ascii="Arial" w:cs="Arial" w:eastAsia="Arial" w:hAnsi="Arial"/>
                <w:sz w:val="16"/>
                <w:szCs w:val="16"/>
                <w:color w:val="auto"/>
              </w:rPr>
              <w:t>Executive sessions</w:t>
            </w:r>
          </w:p>
        </w:tc>
        <w:tc>
          <w:tcPr>
            <w:tcW w:w="4740" w:type="dxa"/>
            <w:vAlign w:val="bottom"/>
            <w:gridSpan w:val="2"/>
          </w:tcPr>
          <w:p>
            <w:pPr>
              <w:ind w:left="860"/>
              <w:spacing w:after="0"/>
              <w:rPr>
                <w:sz w:val="20"/>
                <w:szCs w:val="20"/>
                <w:color w:val="auto"/>
              </w:rPr>
            </w:pPr>
            <w:r>
              <w:rPr>
                <w:rFonts w:ascii="Arial" w:cs="Arial" w:eastAsia="Arial" w:hAnsi="Arial"/>
                <w:sz w:val="16"/>
                <w:szCs w:val="16"/>
                <w:color w:val="auto"/>
              </w:rPr>
              <w:t>•  Board agenda and meetings</w:t>
            </w:r>
          </w:p>
        </w:tc>
      </w:tr>
    </w:tbl>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0B2D71"/>
        </w:rPr>
        <w:t>Business conduct and ethics code</w:t>
      </w:r>
    </w:p>
    <w:p>
      <w:pPr>
        <w:sectPr>
          <w:pgSz w:w="11900" w:h="16838" w:orient="portrait"/>
          <w:cols w:equalWidth="0" w:num="1">
            <w:col w:w="11120"/>
          </w:cols>
          <w:pgMar w:left="320" w:top="455" w:right="459" w:bottom="894" w:gutter="0" w:footer="0" w:header="0"/>
          <w:type w:val="continuous"/>
        </w:sectPr>
      </w:pPr>
    </w:p>
    <w:p>
      <w:pPr>
        <w:spacing w:after="0" w:line="202"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We have adopted a code of business conduct and ethics for Directors, officers (including the Company’s Chief Executive Officer, Chief Financial Officer, and Controller), and employees, known as the Business Conduct and Ethics Code,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which is available on our website at www.chevron.com and is available in print upon request. We will post any amendments to the code on our website. Directors, officers, and employees certify biennially that they will comply with the code.</w:t>
      </w:r>
    </w:p>
    <w:p>
      <w:pPr>
        <w:spacing w:after="0" w:line="200" w:lineRule="exact"/>
        <w:rPr>
          <w:sz w:val="20"/>
          <w:szCs w:val="20"/>
          <w:color w:val="auto"/>
        </w:rPr>
      </w:pPr>
    </w:p>
    <w:p>
      <w:pPr>
        <w:sectPr>
          <w:pgSz w:w="11900" w:h="16838" w:orient="portrait"/>
          <w:cols w:equalWidth="0" w:num="2">
            <w:col w:w="5340" w:space="400"/>
            <w:col w:w="5380"/>
          </w:cols>
          <w:pgMar w:left="320" w:top="455" w:right="459" w:bottom="894" w:gutter="0" w:footer="0" w:header="0"/>
          <w:type w:val="continuous"/>
        </w:sectPr>
      </w:pP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0B2D71"/>
        </w:rPr>
        <w:t>Board leadership structure</w:t>
      </w:r>
    </w:p>
    <w:p>
      <w:pPr>
        <w:sectPr>
          <w:pgSz w:w="11900" w:h="16838" w:orient="portrait"/>
          <w:cols w:equalWidth="0" w:num="1">
            <w:col w:w="11120"/>
          </w:cols>
          <w:pgMar w:left="320" w:top="455" w:right="459" w:bottom="894" w:gutter="0" w:footer="0" w:header="0"/>
          <w:type w:val="continuous"/>
        </w:sectPr>
      </w:pPr>
    </w:p>
    <w:p>
      <w:pPr>
        <w:spacing w:after="0" w:line="202"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Under Chevron’s By-Laws, the positions of Chairman of the Board and Chief Executive Officer are separate positions that may be occupied by the same person at the discretion of the Board. Chevron’s independent Directors select the Chairman of the Board annually. Thus, the Board has great flexibility to choose its optimal leadership structure depending upon Chevron’s particular needs and circumstances and to organize its functions and conduct its business in the most effective manner.</w:t>
      </w:r>
    </w:p>
    <w:p>
      <w:pPr>
        <w:spacing w:after="0" w:line="181" w:lineRule="exact"/>
        <w:rPr>
          <w:sz w:val="20"/>
          <w:szCs w:val="20"/>
          <w:color w:val="auto"/>
        </w:rPr>
      </w:pPr>
    </w:p>
    <w:p>
      <w:pPr>
        <w:jc w:val="both"/>
        <w:ind w:left="120" w:right="540"/>
        <w:spacing w:after="0" w:line="266" w:lineRule="auto"/>
        <w:rPr>
          <w:sz w:val="20"/>
          <w:szCs w:val="20"/>
          <w:color w:val="auto"/>
        </w:rPr>
      </w:pPr>
      <w:r>
        <w:rPr>
          <w:rFonts w:ascii="Arial" w:cs="Arial" w:eastAsia="Arial" w:hAnsi="Arial"/>
          <w:sz w:val="16"/>
          <w:szCs w:val="16"/>
          <w:color w:val="auto"/>
        </w:rPr>
        <w:t>Annually, the Governance Committee conducts an assessment of Chevron’s corporate governance structures and processes, which includes a review of Chevron’s Board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leadership structure and whether combining or separating the roles of Chairman and CEO is in the best interests of Chevron’s stockholders. At present, Chevron’s Board believes that it is in the stockholders’ best interests for the CEO, Michael K. Wirth, to also serve as Chairman of the Board. The Board believes that having Mr. Wirth serve as Chairman fosters an important unity of leadership between the Board and management that is subject to effective oversight by the independent Lead Director and the other independent Directors. The Board believes that it benefits from the significant knowledge, insight, and perspective of Chevron and the energy industry that Mr. Wirth has gained throughout</w:t>
      </w:r>
    </w:p>
    <w:p>
      <w:pPr>
        <w:spacing w:after="0" w:line="434" w:lineRule="exact"/>
        <w:rPr>
          <w:sz w:val="20"/>
          <w:szCs w:val="20"/>
          <w:color w:val="auto"/>
        </w:rPr>
      </w:pPr>
    </w:p>
    <w:p>
      <w:pPr>
        <w:sectPr>
          <w:pgSz w:w="11900" w:h="16838" w:orient="portrait"/>
          <w:cols w:equalWidth="0" w:num="2">
            <w:col w:w="5360" w:space="380"/>
            <w:col w:w="5380"/>
          </w:cols>
          <w:pgMar w:left="320" w:top="455" w:right="459" w:bottom="894" w:gutter="0" w:footer="0" w:header="0"/>
          <w:type w:val="continuous"/>
        </w:sectPr>
      </w:pPr>
    </w:p>
    <w:p>
      <w:pPr>
        <w:spacing w:after="0" w:line="48"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Chevron Corporation – 2022 Proxy Statement</w:t>
      </w:r>
    </w:p>
    <w:p>
      <w:pPr>
        <w:sectPr>
          <w:pgSz w:w="11900" w:h="16838" w:orient="portrait"/>
          <w:cols w:equalWidth="0" w:num="1">
            <w:col w:w="11120"/>
          </w:cols>
          <w:pgMar w:left="320" w:top="455" w:right="459" w:bottom="894" w:gutter="0" w:footer="0" w:header="0"/>
          <w:type w:val="continuous"/>
        </w:sectPr>
      </w:pPr>
    </w:p>
    <w:p>
      <w:pPr>
        <w:spacing w:after="0" w:line="65" w:lineRule="exact"/>
        <w:rPr>
          <w:sz w:val="20"/>
          <w:szCs w:val="20"/>
          <w:color w:val="auto"/>
        </w:rPr>
      </w:pPr>
    </w:p>
    <w:p>
      <w:pPr>
        <w:jc w:val="center"/>
        <w:ind w:right="-139"/>
        <w:spacing w:after="0"/>
        <w:rPr>
          <w:sz w:val="20"/>
          <w:szCs w:val="20"/>
          <w:color w:val="auto"/>
        </w:rPr>
      </w:pPr>
      <w:r>
        <w:rPr>
          <w:rFonts w:ascii="Arial" w:cs="Arial" w:eastAsia="Arial" w:hAnsi="Arial"/>
          <w:sz w:val="12"/>
          <w:szCs w:val="12"/>
          <w:b w:val="1"/>
          <w:bCs w:val="1"/>
          <w:color w:val="auto"/>
        </w:rPr>
        <w:t>22</w:t>
      </w:r>
    </w:p>
    <w:p>
      <w:pPr>
        <w:sectPr>
          <w:pgSz w:w="11900" w:h="16838" w:orient="portrait"/>
          <w:cols w:equalWidth="0" w:num="1">
            <w:col w:w="11120"/>
          </w:cols>
          <w:pgMar w:left="320" w:top="455" w:right="459" w:bottom="894" w:gutter="0" w:footer="0" w:header="0"/>
          <w:type w:val="continuous"/>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right="320"/>
        <w:spacing w:after="0" w:line="251" w:lineRule="auto"/>
        <w:rPr>
          <w:sz w:val="20"/>
          <w:szCs w:val="20"/>
          <w:color w:val="auto"/>
        </w:rPr>
      </w:pPr>
      <w:r>
        <w:rPr>
          <w:rFonts w:ascii="Arial" w:cs="Arial" w:eastAsia="Arial" w:hAnsi="Arial"/>
          <w:sz w:val="16"/>
          <w:szCs w:val="16"/>
          <w:color w:val="auto"/>
        </w:rPr>
        <w:t>his 39 years with Chevron. Our business is highly complex, and our projects often have long lead times, with many of our major capital projects taking more than 10 years from the exploration phase to first production. The Board believes that</w:t>
      </w:r>
    </w:p>
    <w:p>
      <w:pPr>
        <w:spacing w:after="0" w:line="2" w:lineRule="exact"/>
        <w:rPr>
          <w:sz w:val="20"/>
          <w:szCs w:val="20"/>
          <w:color w:val="auto"/>
        </w:rPr>
      </w:pPr>
    </w:p>
    <w:p>
      <w:pPr>
        <w:ind w:left="120" w:right="80"/>
        <w:spacing w:after="0" w:line="249" w:lineRule="auto"/>
        <w:rPr>
          <w:sz w:val="20"/>
          <w:szCs w:val="20"/>
          <w:color w:val="auto"/>
        </w:rPr>
      </w:pPr>
      <w:r>
        <w:rPr>
          <w:rFonts w:ascii="Arial" w:cs="Arial" w:eastAsia="Arial" w:hAnsi="Arial"/>
          <w:sz w:val="16"/>
          <w:szCs w:val="16"/>
          <w:color w:val="auto"/>
        </w:rPr>
        <w:t>Mr. Wirth’s in-depth knowledge of the Company, coupled with his extensive industry expertise, makes him particularly qualified to lead discussions of the Board. Having Mr. Wirth serve as Chairman also promotes better alignment of Chevron’s long-term strategic development with its operational execution. Also, as a global energy company that negotiates concessions and leases with host-country governments around the world, it is advantageous to the Company for the CEO to represent the Chevron Board in such dialogues as its Chairman.</w:t>
      </w:r>
    </w:p>
    <w:p>
      <w:pPr>
        <w:spacing w:after="0" w:line="77" w:lineRule="exact"/>
        <w:rPr>
          <w:sz w:val="20"/>
          <w:szCs w:val="20"/>
          <w:color w:val="auto"/>
        </w:rPr>
      </w:pPr>
    </w:p>
    <w:p>
      <w:pPr>
        <w:jc w:val="both"/>
        <w:ind w:left="120"/>
        <w:spacing w:after="0" w:line="266" w:lineRule="auto"/>
        <w:rPr>
          <w:sz w:val="20"/>
          <w:szCs w:val="20"/>
          <w:color w:val="auto"/>
        </w:rPr>
      </w:pPr>
      <w:r>
        <w:rPr>
          <w:rFonts w:ascii="Arial" w:cs="Arial" w:eastAsia="Arial" w:hAnsi="Arial"/>
          <w:sz w:val="16"/>
          <w:szCs w:val="16"/>
          <w:color w:val="auto"/>
        </w:rPr>
        <w:t>Significantly, the Board does not believe that combining the roles creates ambiguity about reporting relationships. Given the role of the independent Lead Director discussed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ind w:left="3540"/>
        <w:spacing w:after="0"/>
        <w:rPr>
          <w:sz w:val="20"/>
          <w:szCs w:val="20"/>
          <w:color w:val="auto"/>
        </w:rPr>
      </w:pPr>
      <w:r>
        <w:rPr>
          <w:rFonts w:ascii="Arial" w:cs="Arial" w:eastAsia="Arial" w:hAnsi="Arial"/>
          <w:sz w:val="14"/>
          <w:szCs w:val="14"/>
          <w:b w:val="1"/>
          <w:bCs w:val="1"/>
          <w:color w:val="FFFF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-661670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-121285</wp:posOffset>
            </wp:positionV>
            <wp:extent cx="140589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05890" cy="145415"/>
                    </a:xfrm>
                    <a:prstGeom prst="rect">
                      <a:avLst/>
                    </a:prstGeom>
                    <a:noFill/>
                  </pic:spPr>
                </pic:pic>
              </a:graphicData>
            </a:graphic>
          </wp:anchor>
        </w:drawing>
      </w:r>
    </w:p>
    <w:p>
      <w:pPr>
        <w:spacing w:after="0" w:line="20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and the fact that the independent Directors, pursuant to their powers under the By-Laws, have affirmatively selected Mr. Wirth for the positions of Chairman and CEO, annually set his compensation, and regularly evaluate his performance, the Board believes it is clear that Mr. Wirth reports and is accountable to the independent Directors. Moreover, the Board does not believe that having the CEO also serve as Chairman inhibits the flow of information and interactions between the Board, management, and other Company personnel. To the contrary, the Board has unfettered access to management and other Company employees, and the Board believes that having Mr. Wirth in the roles of both Chairman and CEO facilitates the flow of information and communications between the Board and management, which enhances the Board’s ability to obtain information and to monitor management.</w:t>
      </w:r>
    </w:p>
    <w:p>
      <w:pPr>
        <w:spacing w:after="0" w:line="706" w:lineRule="exact"/>
        <w:rPr>
          <w:sz w:val="20"/>
          <w:szCs w:val="20"/>
          <w:color w:val="auto"/>
        </w:rPr>
      </w:pPr>
    </w:p>
    <w:p>
      <w:pPr>
        <w:sectPr>
          <w:pgSz w:w="11900" w:h="16838" w:orient="portrait"/>
          <w:cols w:equalWidth="0" w:num="2">
            <w:col w:w="5380" w:space="360"/>
            <w:col w:w="5360"/>
          </w:cols>
          <w:pgMar w:left="320" w:top="455" w:right="479" w:bottom="1440" w:gutter="0" w:footer="0" w:header="0"/>
        </w:sectPr>
      </w:pPr>
    </w:p>
    <w:p>
      <w:pPr>
        <w:spacing w:after="0" w:line="131"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0B2D71"/>
        </w:rPr>
        <w:t>Independent lead director</w:t>
      </w:r>
    </w:p>
    <w:p>
      <w:pPr>
        <w:sectPr>
          <w:pgSz w:w="11900" w:h="16838" w:orient="portrait"/>
          <w:cols w:equalWidth="0" w:num="1">
            <w:col w:w="11100"/>
          </w:cols>
          <w:pgMar w:left="320" w:top="455" w:right="479" w:bottom="1440" w:gutter="0" w:footer="0" w:header="0"/>
          <w:type w:val="continuous"/>
        </w:sectPr>
      </w:pPr>
    </w:p>
    <w:p>
      <w:pPr>
        <w:spacing w:after="0" w:line="202"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auto"/>
        </w:rPr>
        <w:t>Your Board recognizes the importance of independent Board oversight of the CEO and management and has developed policies and procedures designed to ensure independent oversight. In addition to conducting an annual review of the CEO’s performance, the independent Directors meet in executive session at each regular Board meeting and discuss management’s performance and routinely formulate guidance and feedback, which the independent Lead Director provides to the CEO and other members of management.</w:t>
      </w:r>
    </w:p>
    <w:p>
      <w:pPr>
        <w:spacing w:after="0" w:line="75"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auto"/>
        </w:rPr>
        <w:t>Further, when the Board selects the CEO to also serve as Chairman, the independent Directors annually select an independent Lead Director, currently Dr. Sugar. The Board routinely reviews the Lead Director’s responsibilities to ensure that these responsibilities enhance its independent oversight of the CEO and management and the flow of information and interactions between the Board, management, and other Company personnel. Annually the Lead Director leads the independent Directors’ review of candidates for all senior management positions. This succession planning process includes consideration of both ordinary course succession, in the event of planned promotions and retirements, and planning for situations where the CEO or another member of senior management unexpectedly becomes unable to perform the duties of their positions.</w:t>
      </w:r>
    </w:p>
    <w:p>
      <w:pPr>
        <w:spacing w:after="0" w:line="83"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The Lead Director and Chairman collaborate closely on Board meeting schedules and agendas and information provided to the Board. These consultations and agendas and the information provided to the Board frequently reflect input and suggestions from other members of the Board and management. You can read more about these particular processes in the “Board Agenda and Meetings” section of Chevron’s Corporate Governance Guidelines.</w:t>
      </w:r>
    </w:p>
    <w:p>
      <w:pPr>
        <w:spacing w:after="0" w:line="73" w:lineRule="exact"/>
        <w:rPr>
          <w:sz w:val="20"/>
          <w:szCs w:val="20"/>
          <w:color w:val="auto"/>
        </w:rPr>
      </w:pPr>
    </w:p>
    <w:p>
      <w:pPr>
        <w:jc w:val="both"/>
        <w:ind w:left="120" w:right="160"/>
        <w:spacing w:after="0" w:line="266" w:lineRule="auto"/>
        <w:rPr>
          <w:sz w:val="20"/>
          <w:szCs w:val="20"/>
          <w:color w:val="auto"/>
        </w:rPr>
      </w:pPr>
      <w:r>
        <w:rPr>
          <w:rFonts w:ascii="Arial" w:cs="Arial" w:eastAsia="Arial" w:hAnsi="Arial"/>
          <w:sz w:val="16"/>
          <w:szCs w:val="16"/>
          <w:color w:val="auto"/>
        </w:rPr>
        <w:t>Any stockholder can communicate with the Lead Director or any of the other Directors in the manner described in the “Communicating with the Board” section of this Proxy Statement.</w:t>
      </w:r>
    </w:p>
    <w:p>
      <w:pPr>
        <w:spacing w:after="0" w:line="63" w:lineRule="exact"/>
        <w:rPr>
          <w:sz w:val="20"/>
          <w:szCs w:val="20"/>
          <w:color w:val="auto"/>
        </w:rPr>
      </w:pPr>
    </w:p>
    <w:p>
      <w:pPr>
        <w:ind w:left="120" w:right="200"/>
        <w:spacing w:after="0" w:line="259" w:lineRule="auto"/>
        <w:rPr>
          <w:sz w:val="20"/>
          <w:szCs w:val="20"/>
          <w:color w:val="auto"/>
        </w:rPr>
      </w:pPr>
      <w:r>
        <w:rPr>
          <w:rFonts w:ascii="Arial" w:cs="Arial" w:eastAsia="Arial" w:hAnsi="Arial"/>
          <w:sz w:val="16"/>
          <w:szCs w:val="16"/>
          <w:color w:val="auto"/>
        </w:rPr>
        <w:t>Also, as discussed in more detail in the “Year-Round Environmental, Social, and Governance Engagement” section of this Proxy Statement, the Board encourages a robust investor engagement program. During these engagements, Board leadership is a frequent topic of</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discussion. In general, investors, including those who are philosophically opposed to combining the positions of Chairman and CEO, have overwhelmingly communicated to Chevron that they have minimal, if any, concerns about your Board or individual Directors or about Chevron’s policies and leadership structure. More specifically, these investors have voiced confidence in the strong counterbalancing structure of the robust independent Lead Director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64135</wp:posOffset>
            </wp:positionV>
            <wp:extent cx="3385820" cy="386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85820" cy="3865880"/>
                    </a:xfrm>
                    <a:prstGeom prst="rect">
                      <a:avLst/>
                    </a:prstGeom>
                    <a:noFill/>
                  </pic:spPr>
                </pic:pic>
              </a:graphicData>
            </a:graphic>
          </wp:anchor>
        </w:drawing>
      </w:r>
    </w:p>
    <w:p>
      <w:pPr>
        <w:spacing w:after="0" w:line="107" w:lineRule="exact"/>
        <w:rPr>
          <w:sz w:val="20"/>
          <w:szCs w:val="20"/>
          <w:color w:val="auto"/>
        </w:rPr>
      </w:pPr>
    </w:p>
    <w:p>
      <w:pPr>
        <w:ind w:left="80" w:right="60"/>
        <w:spacing w:after="0" w:line="271" w:lineRule="auto"/>
        <w:rPr>
          <w:sz w:val="20"/>
          <w:szCs w:val="20"/>
          <w:color w:val="auto"/>
        </w:rPr>
      </w:pPr>
      <w:r>
        <w:rPr>
          <w:rFonts w:ascii="Arial" w:cs="Arial" w:eastAsia="Arial" w:hAnsi="Arial"/>
          <w:sz w:val="16"/>
          <w:szCs w:val="16"/>
          <w:b w:val="1"/>
          <w:bCs w:val="1"/>
          <w:color w:val="auto"/>
        </w:rPr>
        <w:t>As described in the “Board Leadership and Lead Director” section of Chevron’s Corporate Governance Guidelines, the Lead Director’s responsibilities are to:</w:t>
      </w:r>
    </w:p>
    <w:p>
      <w:pPr>
        <w:spacing w:after="0" w:line="65" w:lineRule="exact"/>
        <w:rPr>
          <w:sz w:val="20"/>
          <w:szCs w:val="20"/>
          <w:color w:val="auto"/>
        </w:rPr>
      </w:pPr>
    </w:p>
    <w:p>
      <w:pPr>
        <w:ind w:left="200" w:hanging="120"/>
        <w:spacing w:after="0"/>
        <w:tabs>
          <w:tab w:leader="none" w:pos="2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Chair all meetings of the Board in the Chairman’s absence;</w:t>
      </w:r>
    </w:p>
    <w:p>
      <w:pPr>
        <w:spacing w:after="0" w:line="126" w:lineRule="exact"/>
        <w:rPr>
          <w:rFonts w:ascii="Arial" w:cs="Arial" w:eastAsia="Arial" w:hAnsi="Arial"/>
          <w:sz w:val="16"/>
          <w:szCs w:val="16"/>
          <w:color w:val="auto"/>
        </w:rPr>
      </w:pPr>
    </w:p>
    <w:p>
      <w:pPr>
        <w:ind w:left="200" w:hanging="120"/>
        <w:spacing w:after="0"/>
        <w:tabs>
          <w:tab w:leader="none" w:pos="2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Chair the executive sessions;</w:t>
      </w:r>
    </w:p>
    <w:p>
      <w:pPr>
        <w:spacing w:after="0" w:line="126" w:lineRule="exact"/>
        <w:rPr>
          <w:rFonts w:ascii="Arial" w:cs="Arial" w:eastAsia="Arial" w:hAnsi="Arial"/>
          <w:sz w:val="16"/>
          <w:szCs w:val="16"/>
          <w:color w:val="auto"/>
        </w:rPr>
      </w:pPr>
    </w:p>
    <w:p>
      <w:pPr>
        <w:ind w:left="220" w:right="520" w:hanging="140"/>
        <w:spacing w:after="0" w:line="266" w:lineRule="auto"/>
        <w:tabs>
          <w:tab w:leader="none" w:pos="197" w:val="left"/>
        </w:tabs>
        <w:numPr>
          <w:ilvl w:val="0"/>
          <w:numId w:val="37"/>
        </w:numPr>
        <w:rPr>
          <w:rFonts w:ascii="Arial" w:cs="Arial" w:eastAsia="Arial" w:hAnsi="Arial"/>
          <w:sz w:val="16"/>
          <w:szCs w:val="16"/>
          <w:color w:val="auto"/>
        </w:rPr>
      </w:pPr>
      <w:r>
        <w:rPr>
          <w:rFonts w:ascii="Arial" w:cs="Arial" w:eastAsia="Arial" w:hAnsi="Arial"/>
          <w:sz w:val="16"/>
          <w:szCs w:val="16"/>
          <w:color w:val="auto"/>
        </w:rPr>
        <w:t>Lead non-employee Directors in an annual discussion of the performance evaluation of the CEO as well as communicate that evaluation to the CEO;</w:t>
      </w:r>
    </w:p>
    <w:p>
      <w:pPr>
        <w:spacing w:after="0" w:line="76" w:lineRule="exact"/>
        <w:rPr>
          <w:rFonts w:ascii="Arial" w:cs="Arial" w:eastAsia="Arial" w:hAnsi="Arial"/>
          <w:sz w:val="16"/>
          <w:szCs w:val="16"/>
          <w:color w:val="auto"/>
        </w:rPr>
      </w:pPr>
    </w:p>
    <w:p>
      <w:pPr>
        <w:ind w:left="200" w:hanging="120"/>
        <w:spacing w:after="0"/>
        <w:tabs>
          <w:tab w:leader="none" w:pos="2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Oversee the process for CEO succession planning;</w:t>
      </w:r>
    </w:p>
    <w:p>
      <w:pPr>
        <w:spacing w:after="0" w:line="126" w:lineRule="exact"/>
        <w:rPr>
          <w:rFonts w:ascii="Arial" w:cs="Arial" w:eastAsia="Arial" w:hAnsi="Arial"/>
          <w:sz w:val="16"/>
          <w:szCs w:val="16"/>
          <w:color w:val="auto"/>
        </w:rPr>
      </w:pPr>
    </w:p>
    <w:p>
      <w:pPr>
        <w:ind w:left="200" w:right="180" w:hanging="102"/>
        <w:spacing w:after="0" w:line="286" w:lineRule="auto"/>
        <w:tabs>
          <w:tab w:leader="none" w:pos="213" w:val="left"/>
        </w:tabs>
        <w:numPr>
          <w:ilvl w:val="1"/>
          <w:numId w:val="37"/>
        </w:numPr>
        <w:rPr>
          <w:rFonts w:ascii="Arial" w:cs="Arial" w:eastAsia="Arial" w:hAnsi="Arial"/>
          <w:sz w:val="16"/>
          <w:szCs w:val="16"/>
          <w:color w:val="auto"/>
        </w:rPr>
      </w:pPr>
      <w:r>
        <w:rPr>
          <w:rFonts w:ascii="Arial" w:cs="Arial" w:eastAsia="Arial" w:hAnsi="Arial"/>
          <w:sz w:val="16"/>
          <w:szCs w:val="16"/>
          <w:color w:val="auto"/>
        </w:rPr>
        <w:t>Lead the Board’s review of the Governance Committee’s assessment and recommendations from the Board self-evaluation process;</w:t>
      </w:r>
    </w:p>
    <w:p>
      <w:pPr>
        <w:spacing w:after="0" w:line="61" w:lineRule="exact"/>
        <w:rPr>
          <w:rFonts w:ascii="Arial" w:cs="Arial" w:eastAsia="Arial" w:hAnsi="Arial"/>
          <w:sz w:val="16"/>
          <w:szCs w:val="16"/>
          <w:color w:val="auto"/>
        </w:rPr>
      </w:pPr>
    </w:p>
    <w:p>
      <w:pPr>
        <w:ind w:left="200" w:hanging="120"/>
        <w:spacing w:after="0"/>
        <w:tabs>
          <w:tab w:leader="none" w:pos="2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Lead the individual Director evaluation process;</w:t>
      </w:r>
    </w:p>
    <w:p>
      <w:pPr>
        <w:spacing w:after="0" w:line="126" w:lineRule="exact"/>
        <w:rPr>
          <w:rFonts w:ascii="Arial" w:cs="Arial" w:eastAsia="Arial" w:hAnsi="Arial"/>
          <w:sz w:val="16"/>
          <w:szCs w:val="16"/>
          <w:color w:val="auto"/>
        </w:rPr>
      </w:pPr>
    </w:p>
    <w:p>
      <w:pPr>
        <w:ind w:left="220" w:hanging="122"/>
        <w:spacing w:after="0"/>
        <w:tabs>
          <w:tab w:leader="none" w:pos="2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Serve as liaison between the Chairman and the independent Directors;</w:t>
      </w:r>
    </w:p>
    <w:p>
      <w:pPr>
        <w:spacing w:after="0" w:line="126" w:lineRule="exact"/>
        <w:rPr>
          <w:rFonts w:ascii="Arial" w:cs="Arial" w:eastAsia="Arial" w:hAnsi="Arial"/>
          <w:sz w:val="16"/>
          <w:szCs w:val="16"/>
          <w:color w:val="auto"/>
        </w:rPr>
      </w:pPr>
    </w:p>
    <w:p>
      <w:pPr>
        <w:jc w:val="both"/>
        <w:ind w:left="220" w:right="80" w:hanging="140"/>
        <w:spacing w:after="0" w:line="266" w:lineRule="auto"/>
        <w:tabs>
          <w:tab w:leader="none" w:pos="197"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Consult with the Chairman on and approve agendas and schedules for Board meetings and other matters pertinent to the Corporation and the Board;</w:t>
      </w:r>
    </w:p>
    <w:p>
      <w:pPr>
        <w:spacing w:after="0" w:line="76" w:lineRule="exact"/>
        <w:rPr>
          <w:rFonts w:ascii="Arial" w:cs="Arial" w:eastAsia="Arial" w:hAnsi="Arial"/>
          <w:sz w:val="16"/>
          <w:szCs w:val="16"/>
          <w:color w:val="auto"/>
        </w:rPr>
      </w:pPr>
    </w:p>
    <w:p>
      <w:pPr>
        <w:ind w:left="220" w:right="280" w:hanging="140"/>
        <w:spacing w:after="0" w:line="286" w:lineRule="auto"/>
        <w:tabs>
          <w:tab w:leader="none" w:pos="197" w:val="left"/>
        </w:tabs>
        <w:numPr>
          <w:ilvl w:val="0"/>
          <w:numId w:val="37"/>
        </w:numPr>
        <w:rPr>
          <w:rFonts w:ascii="Arial" w:cs="Arial" w:eastAsia="Arial" w:hAnsi="Arial"/>
          <w:sz w:val="16"/>
          <w:szCs w:val="16"/>
          <w:color w:val="auto"/>
        </w:rPr>
      </w:pPr>
      <w:r>
        <w:rPr>
          <w:rFonts w:ascii="Arial" w:cs="Arial" w:eastAsia="Arial" w:hAnsi="Arial"/>
          <w:sz w:val="16"/>
          <w:szCs w:val="16"/>
          <w:color w:val="auto"/>
        </w:rPr>
        <w:t>Be available to advise the Committee Chairs of the Board in fulfilling their designated roles and responsibilities;</w:t>
      </w:r>
    </w:p>
    <w:p>
      <w:pPr>
        <w:spacing w:after="0" w:line="61" w:lineRule="exact"/>
        <w:rPr>
          <w:rFonts w:ascii="Arial" w:cs="Arial" w:eastAsia="Arial" w:hAnsi="Arial"/>
          <w:sz w:val="16"/>
          <w:szCs w:val="16"/>
          <w:color w:val="auto"/>
        </w:rPr>
      </w:pPr>
    </w:p>
    <w:p>
      <w:pPr>
        <w:ind w:left="220" w:right="280" w:hanging="140"/>
        <w:spacing w:after="0" w:line="286" w:lineRule="auto"/>
        <w:tabs>
          <w:tab w:leader="none" w:pos="197" w:val="left"/>
        </w:tabs>
        <w:numPr>
          <w:ilvl w:val="0"/>
          <w:numId w:val="37"/>
        </w:numPr>
        <w:rPr>
          <w:rFonts w:ascii="Arial" w:cs="Arial" w:eastAsia="Arial" w:hAnsi="Arial"/>
          <w:sz w:val="16"/>
          <w:szCs w:val="16"/>
          <w:color w:val="auto"/>
        </w:rPr>
      </w:pPr>
      <w:r>
        <w:rPr>
          <w:rFonts w:ascii="Arial" w:cs="Arial" w:eastAsia="Arial" w:hAnsi="Arial"/>
          <w:sz w:val="16"/>
          <w:szCs w:val="16"/>
          <w:color w:val="auto"/>
        </w:rPr>
        <w:t>Participate in the interview process for prospective directors with the Governance Committee;</w:t>
      </w:r>
    </w:p>
    <w:p>
      <w:pPr>
        <w:spacing w:after="0" w:line="61" w:lineRule="exact"/>
        <w:rPr>
          <w:rFonts w:ascii="Arial" w:cs="Arial" w:eastAsia="Arial" w:hAnsi="Arial"/>
          <w:sz w:val="16"/>
          <w:szCs w:val="16"/>
          <w:color w:val="auto"/>
        </w:rPr>
      </w:pPr>
    </w:p>
    <w:p>
      <w:pPr>
        <w:ind w:left="220" w:right="80" w:hanging="140"/>
        <w:spacing w:after="0" w:line="286" w:lineRule="auto"/>
        <w:tabs>
          <w:tab w:leader="none" w:pos="197"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Call meetings of the independent Directors and special meetings of the Board; and</w:t>
      </w:r>
    </w:p>
    <w:p>
      <w:pPr>
        <w:spacing w:after="0" w:line="61" w:lineRule="exact"/>
        <w:rPr>
          <w:rFonts w:ascii="Arial" w:cs="Arial" w:eastAsia="Arial" w:hAnsi="Arial"/>
          <w:sz w:val="16"/>
          <w:szCs w:val="16"/>
          <w:color w:val="auto"/>
        </w:rPr>
      </w:pPr>
    </w:p>
    <w:p>
      <w:pPr>
        <w:ind w:left="220" w:right="160" w:hanging="140"/>
        <w:spacing w:after="0" w:line="286" w:lineRule="auto"/>
        <w:tabs>
          <w:tab w:leader="none" w:pos="197" w:val="left"/>
        </w:tabs>
        <w:numPr>
          <w:ilvl w:val="0"/>
          <w:numId w:val="37"/>
        </w:numPr>
        <w:rPr>
          <w:rFonts w:ascii="Arial" w:cs="Arial" w:eastAsia="Arial" w:hAnsi="Arial"/>
          <w:sz w:val="16"/>
          <w:szCs w:val="16"/>
          <w:color w:val="auto"/>
        </w:rPr>
      </w:pPr>
      <w:r>
        <w:rPr>
          <w:rFonts w:ascii="Arial" w:cs="Arial" w:eastAsia="Arial" w:hAnsi="Arial"/>
          <w:sz w:val="16"/>
          <w:szCs w:val="16"/>
          <w:color w:val="auto"/>
        </w:rPr>
        <w:t>Be available as appropriate for consultation and direct communication with major stockholders.</w:t>
      </w:r>
    </w:p>
    <w:p>
      <w:pPr>
        <w:spacing w:after="0" w:line="200" w:lineRule="exact"/>
        <w:rPr>
          <w:sz w:val="20"/>
          <w:szCs w:val="20"/>
          <w:color w:val="auto"/>
        </w:rPr>
      </w:pPr>
    </w:p>
    <w:p>
      <w:pPr>
        <w:sectPr>
          <w:pgSz w:w="11900" w:h="16838" w:orient="portrait"/>
          <w:cols w:equalWidth="0" w:num="2">
            <w:col w:w="5380" w:space="360"/>
            <w:col w:w="5360"/>
          </w:cols>
          <w:pgMar w:left="320" w:top="455" w:right="479" w:bottom="1440" w:gutter="0" w:footer="0" w:header="0"/>
          <w:type w:val="continuous"/>
        </w:sectPr>
      </w:pPr>
    </w:p>
    <w:p>
      <w:pPr>
        <w:spacing w:after="0" w:line="87"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Chevron Corporation – 2022 Proxy Statement</w:t>
      </w:r>
    </w:p>
    <w:p>
      <w:pPr>
        <w:spacing w:after="0" w:line="65"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100"/>
          </w:cols>
          <w:pgMar w:left="320" w:top="455" w:right="47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3731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37310" cy="145415"/>
                    </a:xfrm>
                    <a:prstGeom prst="rect">
                      <a:avLst/>
                    </a:prstGeom>
                    <a:noFill/>
                  </pic:spPr>
                </pic:pic>
              </a:graphicData>
            </a:graphic>
          </wp:anchor>
        </w:drawing>
      </w:r>
    </w:p>
    <w:p>
      <w:pPr>
        <w:spacing w:after="0" w:line="33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FFFFFF"/>
        </w:rPr>
        <w:t>Corporate governance</w:t>
      </w:r>
    </w:p>
    <w:p>
      <w:pPr>
        <w:spacing w:after="0" w:line="156"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0B2D71"/>
        </w:rPr>
        <w:t>Board oversight of risk</w:t>
      </w:r>
    </w:p>
    <w:p>
      <w:pPr>
        <w:spacing w:after="0" w:line="134"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The Board of Directors and the Board Committees oversee Chevron’s risk management policies, processes, and practices for the risk management systems throughout the Company. Chevron faces a broad array of risks, including without limitation market, operational, strategic, legal, regulatory, political, financial, cybersecurity, sustainability, and climate change risks. The Board exercises its role of risk oversight in a variety of ways, including the following:</w:t>
      </w:r>
    </w:p>
    <w:p>
      <w:pPr>
        <w:spacing w:after="0" w:line="77" w:lineRule="exact"/>
        <w:rPr>
          <w:sz w:val="20"/>
          <w:szCs w:val="20"/>
          <w:color w:val="auto"/>
        </w:rPr>
      </w:pPr>
    </w:p>
    <w:tbl>
      <w:tblPr>
        <w:tblLayout w:type="fixed"/>
        <w:tblInd w:w="130" w:type="dxa"/>
        <w:tblCellMar>
          <w:top w:w="0" w:type="dxa"/>
          <w:left w:w="0" w:type="dxa"/>
          <w:bottom w:w="0" w:type="dxa"/>
          <w:right w:w="0" w:type="dxa"/>
        </w:tblCellMar>
      </w:tblPr>
      <w:tr>
        <w:trPr>
          <w:trHeight w:val="190"/>
        </w:trPr>
        <w:tc>
          <w:tcPr>
            <w:tcW w:w="2320" w:type="dxa"/>
            <w:vAlign w:val="bottom"/>
            <w:tcBorders>
              <w:top w:val="single" w:sz="8" w:color="7F7F7F"/>
              <w:left w:val="single" w:sz="8" w:color="7F7F7F"/>
            </w:tcBorders>
            <w:shd w:val="clear" w:color="auto" w:fill="D8D8D8"/>
          </w:tcPr>
          <w:p>
            <w:pPr>
              <w:spacing w:after="0"/>
              <w:rPr>
                <w:sz w:val="16"/>
                <w:szCs w:val="16"/>
                <w:color w:val="auto"/>
              </w:rPr>
            </w:pPr>
          </w:p>
        </w:tc>
        <w:tc>
          <w:tcPr>
            <w:tcW w:w="8600" w:type="dxa"/>
            <w:vAlign w:val="bottom"/>
            <w:tcBorders>
              <w:top w:val="single" w:sz="8" w:color="7F7F7F"/>
              <w:right w:val="single" w:sz="8" w:color="7F7F7F"/>
            </w:tcBorders>
            <w:shd w:val="clear" w:color="auto" w:fill="D8D8D8"/>
          </w:tcPr>
          <w:p>
            <w:pPr>
              <w:ind w:left="160"/>
              <w:spacing w:after="0"/>
              <w:rPr>
                <w:sz w:val="20"/>
                <w:szCs w:val="20"/>
                <w:color w:val="auto"/>
              </w:rPr>
            </w:pPr>
            <w:r>
              <w:rPr>
                <w:rFonts w:ascii="Arial" w:cs="Arial" w:eastAsia="Arial" w:hAnsi="Arial"/>
                <w:sz w:val="13"/>
                <w:szCs w:val="13"/>
                <w:color w:val="auto"/>
              </w:rPr>
              <w:t>•  Monitors overall corporate performance, the integrity of financial and other controls, and the effectiveness of Chevron’s legal</w:t>
            </w:r>
          </w:p>
        </w:tc>
        <w:tc>
          <w:tcPr>
            <w:tcW w:w="0" w:type="dxa"/>
            <w:vAlign w:val="bottom"/>
          </w:tcPr>
          <w:p>
            <w:pPr>
              <w:spacing w:after="0"/>
              <w:rPr>
                <w:sz w:val="1"/>
                <w:szCs w:val="1"/>
                <w:color w:val="auto"/>
              </w:rPr>
            </w:pPr>
          </w:p>
        </w:tc>
      </w:tr>
      <w:tr>
        <w:trPr>
          <w:trHeight w:val="148"/>
        </w:trPr>
        <w:tc>
          <w:tcPr>
            <w:tcW w:w="2320" w:type="dxa"/>
            <w:vAlign w:val="bottom"/>
            <w:tcBorders>
              <w:left w:val="single" w:sz="8" w:color="7F7F7F"/>
            </w:tcBorders>
            <w:vMerge w:val="restart"/>
            <w:shd w:val="clear" w:color="auto" w:fill="D8D8D8"/>
          </w:tcPr>
          <w:p>
            <w:pPr>
              <w:ind w:left="200"/>
              <w:spacing w:after="0"/>
              <w:rPr>
                <w:sz w:val="20"/>
                <w:szCs w:val="20"/>
                <w:color w:val="auto"/>
              </w:rPr>
            </w:pPr>
            <w:r>
              <w:rPr>
                <w:rFonts w:ascii="Arial" w:cs="Arial" w:eastAsia="Arial" w:hAnsi="Arial"/>
                <w:sz w:val="18"/>
                <w:szCs w:val="18"/>
                <w:b w:val="1"/>
                <w:bCs w:val="1"/>
                <w:color w:val="0B2D71"/>
              </w:rPr>
              <w:t>Board of directors</w:t>
            </w:r>
          </w:p>
        </w:tc>
        <w:tc>
          <w:tcPr>
            <w:tcW w:w="8600" w:type="dxa"/>
            <w:vAlign w:val="bottom"/>
            <w:tcBorders>
              <w:right w:val="single" w:sz="8" w:color="7F7F7F"/>
            </w:tcBorders>
            <w:shd w:val="clear" w:color="auto" w:fill="D8D8D8"/>
          </w:tcPr>
          <w:p>
            <w:pPr>
              <w:ind w:left="300"/>
              <w:spacing w:after="0"/>
              <w:rPr>
                <w:sz w:val="20"/>
                <w:szCs w:val="20"/>
                <w:color w:val="auto"/>
              </w:rPr>
            </w:pPr>
            <w:r>
              <w:rPr>
                <w:rFonts w:ascii="Arial" w:cs="Arial" w:eastAsia="Arial" w:hAnsi="Arial"/>
                <w:sz w:val="13"/>
                <w:szCs w:val="13"/>
                <w:color w:val="auto"/>
              </w:rPr>
              <w:t>compliance and enterprise risk management programs, risk governance practices, and risk mitigation efforts, particularly with regard to</w:t>
            </w:r>
          </w:p>
        </w:tc>
        <w:tc>
          <w:tcPr>
            <w:tcW w:w="0" w:type="dxa"/>
            <w:vAlign w:val="bottom"/>
          </w:tcPr>
          <w:p>
            <w:pPr>
              <w:spacing w:after="0"/>
              <w:rPr>
                <w:sz w:val="1"/>
                <w:szCs w:val="1"/>
                <w:color w:val="auto"/>
              </w:rPr>
            </w:pPr>
          </w:p>
        </w:tc>
      </w:tr>
      <w:tr>
        <w:trPr>
          <w:trHeight w:val="176"/>
        </w:trPr>
        <w:tc>
          <w:tcPr>
            <w:tcW w:w="2320" w:type="dxa"/>
            <w:vAlign w:val="bottom"/>
            <w:tcBorders>
              <w:left w:val="single" w:sz="8" w:color="7F7F7F"/>
            </w:tcBorders>
            <w:vMerge w:val="continue"/>
            <w:shd w:val="clear" w:color="auto" w:fill="D8D8D8"/>
          </w:tcPr>
          <w:p>
            <w:pPr>
              <w:spacing w:after="0"/>
              <w:rPr>
                <w:sz w:val="15"/>
                <w:szCs w:val="15"/>
                <w:color w:val="auto"/>
              </w:rPr>
            </w:pPr>
          </w:p>
        </w:tc>
        <w:tc>
          <w:tcPr>
            <w:tcW w:w="8600" w:type="dxa"/>
            <w:vAlign w:val="bottom"/>
            <w:tcBorders>
              <w:right w:val="single" w:sz="8" w:color="7F7F7F"/>
            </w:tcBorders>
            <w:shd w:val="clear" w:color="auto" w:fill="D8D8D8"/>
          </w:tcPr>
          <w:p>
            <w:pPr>
              <w:ind w:left="300"/>
              <w:spacing w:after="0"/>
              <w:rPr>
                <w:sz w:val="20"/>
                <w:szCs w:val="20"/>
                <w:color w:val="auto"/>
              </w:rPr>
            </w:pPr>
            <w:r>
              <w:rPr>
                <w:rFonts w:ascii="Arial" w:cs="Arial" w:eastAsia="Arial" w:hAnsi="Arial"/>
                <w:sz w:val="13"/>
                <w:szCs w:val="13"/>
                <w:color w:val="auto"/>
              </w:rPr>
              <w:t>those risks specified by Chevron as “Risk Factors” in its Annual Report on Form 10-K</w:t>
            </w:r>
          </w:p>
        </w:tc>
        <w:tc>
          <w:tcPr>
            <w:tcW w:w="0" w:type="dxa"/>
            <w:vAlign w:val="bottom"/>
          </w:tcPr>
          <w:p>
            <w:pPr>
              <w:spacing w:after="0"/>
              <w:rPr>
                <w:sz w:val="1"/>
                <w:szCs w:val="1"/>
                <w:color w:val="auto"/>
              </w:rPr>
            </w:pPr>
          </w:p>
        </w:tc>
      </w:tr>
      <w:tr>
        <w:trPr>
          <w:trHeight w:val="161"/>
        </w:trPr>
        <w:tc>
          <w:tcPr>
            <w:tcW w:w="2320" w:type="dxa"/>
            <w:vAlign w:val="bottom"/>
            <w:tcBorders>
              <w:left w:val="single" w:sz="8" w:color="7F7F7F"/>
            </w:tcBorders>
            <w:shd w:val="clear" w:color="auto" w:fill="D8D8D8"/>
          </w:tcPr>
          <w:p>
            <w:pPr>
              <w:spacing w:after="0"/>
              <w:rPr>
                <w:sz w:val="14"/>
                <w:szCs w:val="14"/>
                <w:color w:val="auto"/>
              </w:rPr>
            </w:pPr>
          </w:p>
        </w:tc>
        <w:tc>
          <w:tcPr>
            <w:tcW w:w="8600" w:type="dxa"/>
            <w:vAlign w:val="bottom"/>
            <w:tcBorders>
              <w:right w:val="single" w:sz="8" w:color="7F7F7F"/>
            </w:tcBorders>
            <w:shd w:val="clear" w:color="auto" w:fill="D8D8D8"/>
          </w:tcPr>
          <w:p>
            <w:pPr>
              <w:ind w:left="160"/>
              <w:spacing w:after="0"/>
              <w:rPr>
                <w:sz w:val="20"/>
                <w:szCs w:val="20"/>
                <w:color w:val="auto"/>
              </w:rPr>
            </w:pPr>
            <w:r>
              <w:rPr>
                <w:rFonts w:ascii="Arial" w:cs="Arial" w:eastAsia="Arial" w:hAnsi="Arial"/>
                <w:sz w:val="13"/>
                <w:szCs w:val="13"/>
                <w:color w:val="auto"/>
              </w:rPr>
              <w:t>•  Oversees management’s implementation and utilization of appropriate risk management systems at all levels of Chevron, including</w:t>
            </w:r>
          </w:p>
        </w:tc>
        <w:tc>
          <w:tcPr>
            <w:tcW w:w="0" w:type="dxa"/>
            <w:vAlign w:val="bottom"/>
          </w:tcPr>
          <w:p>
            <w:pPr>
              <w:spacing w:after="0"/>
              <w:rPr>
                <w:sz w:val="1"/>
                <w:szCs w:val="1"/>
                <w:color w:val="auto"/>
              </w:rPr>
            </w:pPr>
          </w:p>
        </w:tc>
      </w:tr>
      <w:tr>
        <w:trPr>
          <w:trHeight w:val="176"/>
        </w:trPr>
        <w:tc>
          <w:tcPr>
            <w:tcW w:w="2320" w:type="dxa"/>
            <w:vAlign w:val="bottom"/>
            <w:tcBorders>
              <w:left w:val="single" w:sz="8" w:color="7F7F7F"/>
            </w:tcBorders>
            <w:shd w:val="clear" w:color="auto" w:fill="D8D8D8"/>
          </w:tcPr>
          <w:p>
            <w:pPr>
              <w:spacing w:after="0"/>
              <w:rPr>
                <w:sz w:val="15"/>
                <w:szCs w:val="15"/>
                <w:color w:val="auto"/>
              </w:rPr>
            </w:pPr>
          </w:p>
        </w:tc>
        <w:tc>
          <w:tcPr>
            <w:tcW w:w="8600" w:type="dxa"/>
            <w:vAlign w:val="bottom"/>
            <w:tcBorders>
              <w:right w:val="single" w:sz="8" w:color="7F7F7F"/>
            </w:tcBorders>
            <w:shd w:val="clear" w:color="auto" w:fill="D8D8D8"/>
          </w:tcPr>
          <w:p>
            <w:pPr>
              <w:ind w:left="300"/>
              <w:spacing w:after="0"/>
              <w:rPr>
                <w:sz w:val="20"/>
                <w:szCs w:val="20"/>
                <w:color w:val="auto"/>
              </w:rPr>
            </w:pPr>
            <w:r>
              <w:rPr>
                <w:rFonts w:ascii="Arial" w:cs="Arial" w:eastAsia="Arial" w:hAnsi="Arial"/>
                <w:sz w:val="13"/>
                <w:szCs w:val="13"/>
                <w:color w:val="auto"/>
              </w:rPr>
              <w:t>operating companies, business units, corporate departments, and service companies</w:t>
            </w:r>
          </w:p>
        </w:tc>
        <w:tc>
          <w:tcPr>
            <w:tcW w:w="0" w:type="dxa"/>
            <w:vAlign w:val="bottom"/>
          </w:tcPr>
          <w:p>
            <w:pPr>
              <w:spacing w:after="0"/>
              <w:rPr>
                <w:sz w:val="1"/>
                <w:szCs w:val="1"/>
                <w:color w:val="auto"/>
              </w:rPr>
            </w:pPr>
          </w:p>
        </w:tc>
      </w:tr>
      <w:tr>
        <w:trPr>
          <w:trHeight w:val="189"/>
        </w:trPr>
        <w:tc>
          <w:tcPr>
            <w:tcW w:w="2320" w:type="dxa"/>
            <w:vAlign w:val="bottom"/>
            <w:tcBorders>
              <w:left w:val="single" w:sz="8" w:color="7F7F7F"/>
            </w:tcBorders>
            <w:shd w:val="clear" w:color="auto" w:fill="D8D8D8"/>
          </w:tcPr>
          <w:p>
            <w:pPr>
              <w:spacing w:after="0"/>
              <w:rPr>
                <w:sz w:val="16"/>
                <w:szCs w:val="16"/>
                <w:color w:val="auto"/>
              </w:rPr>
            </w:pPr>
          </w:p>
        </w:tc>
        <w:tc>
          <w:tcPr>
            <w:tcW w:w="8600" w:type="dxa"/>
            <w:vAlign w:val="bottom"/>
            <w:tcBorders>
              <w:right w:val="single" w:sz="8" w:color="7F7F7F"/>
            </w:tcBorders>
            <w:shd w:val="clear" w:color="auto" w:fill="D8D8D8"/>
          </w:tcPr>
          <w:p>
            <w:pPr>
              <w:ind w:left="160"/>
              <w:spacing w:after="0"/>
              <w:rPr>
                <w:sz w:val="20"/>
                <w:szCs w:val="20"/>
                <w:color w:val="auto"/>
              </w:rPr>
            </w:pPr>
            <w:r>
              <w:rPr>
                <w:rFonts w:ascii="Arial" w:cs="Arial" w:eastAsia="Arial" w:hAnsi="Arial"/>
                <w:sz w:val="13"/>
                <w:szCs w:val="13"/>
                <w:color w:val="auto"/>
              </w:rPr>
              <w:t>•  Reviews specific facilities and operational risks as part of visits to Chevron operations</w:t>
            </w:r>
          </w:p>
        </w:tc>
        <w:tc>
          <w:tcPr>
            <w:tcW w:w="0" w:type="dxa"/>
            <w:vAlign w:val="bottom"/>
          </w:tcPr>
          <w:p>
            <w:pPr>
              <w:spacing w:after="0"/>
              <w:rPr>
                <w:sz w:val="1"/>
                <w:szCs w:val="1"/>
                <w:color w:val="auto"/>
              </w:rPr>
            </w:pPr>
          </w:p>
        </w:tc>
      </w:tr>
      <w:tr>
        <w:trPr>
          <w:trHeight w:val="161"/>
        </w:trPr>
        <w:tc>
          <w:tcPr>
            <w:tcW w:w="2320" w:type="dxa"/>
            <w:vAlign w:val="bottom"/>
            <w:tcBorders>
              <w:left w:val="single" w:sz="8" w:color="7F7F7F"/>
            </w:tcBorders>
            <w:shd w:val="clear" w:color="auto" w:fill="D8D8D8"/>
          </w:tcPr>
          <w:p>
            <w:pPr>
              <w:spacing w:after="0"/>
              <w:rPr>
                <w:sz w:val="14"/>
                <w:szCs w:val="14"/>
                <w:color w:val="auto"/>
              </w:rPr>
            </w:pPr>
          </w:p>
        </w:tc>
        <w:tc>
          <w:tcPr>
            <w:tcW w:w="8600" w:type="dxa"/>
            <w:vAlign w:val="bottom"/>
            <w:tcBorders>
              <w:right w:val="single" w:sz="8" w:color="7F7F7F"/>
            </w:tcBorders>
            <w:shd w:val="clear" w:color="auto" w:fill="D8D8D8"/>
          </w:tcPr>
          <w:p>
            <w:pPr>
              <w:ind w:left="160"/>
              <w:spacing w:after="0"/>
              <w:rPr>
                <w:sz w:val="20"/>
                <w:szCs w:val="20"/>
                <w:color w:val="auto"/>
              </w:rPr>
            </w:pPr>
            <w:r>
              <w:rPr>
                <w:rFonts w:ascii="Arial" w:cs="Arial" w:eastAsia="Arial" w:hAnsi="Arial"/>
                <w:sz w:val="13"/>
                <w:szCs w:val="13"/>
                <w:color w:val="auto"/>
              </w:rPr>
              <w:t>•  Reviews portfolio, capital allocation, and geopolitical risks in the context of the Board’s annual strategy session and the annual</w:t>
            </w:r>
          </w:p>
        </w:tc>
        <w:tc>
          <w:tcPr>
            <w:tcW w:w="0" w:type="dxa"/>
            <w:vAlign w:val="bottom"/>
          </w:tcPr>
          <w:p>
            <w:pPr>
              <w:spacing w:after="0"/>
              <w:rPr>
                <w:sz w:val="1"/>
                <w:szCs w:val="1"/>
                <w:color w:val="auto"/>
              </w:rPr>
            </w:pPr>
          </w:p>
        </w:tc>
      </w:tr>
      <w:tr>
        <w:trPr>
          <w:trHeight w:val="176"/>
        </w:trPr>
        <w:tc>
          <w:tcPr>
            <w:tcW w:w="2320" w:type="dxa"/>
            <w:vAlign w:val="bottom"/>
            <w:tcBorders>
              <w:left w:val="single" w:sz="8" w:color="7F7F7F"/>
            </w:tcBorders>
            <w:shd w:val="clear" w:color="auto" w:fill="D8D8D8"/>
          </w:tcPr>
          <w:p>
            <w:pPr>
              <w:spacing w:after="0"/>
              <w:rPr>
                <w:sz w:val="15"/>
                <w:szCs w:val="15"/>
                <w:color w:val="auto"/>
              </w:rPr>
            </w:pPr>
          </w:p>
        </w:tc>
        <w:tc>
          <w:tcPr>
            <w:tcW w:w="8600" w:type="dxa"/>
            <w:vAlign w:val="bottom"/>
            <w:tcBorders>
              <w:right w:val="single" w:sz="8" w:color="7F7F7F"/>
            </w:tcBorders>
            <w:shd w:val="clear" w:color="auto" w:fill="D8D8D8"/>
          </w:tcPr>
          <w:p>
            <w:pPr>
              <w:ind w:left="300"/>
              <w:spacing w:after="0"/>
              <w:rPr>
                <w:sz w:val="20"/>
                <w:szCs w:val="20"/>
                <w:color w:val="auto"/>
              </w:rPr>
            </w:pPr>
            <w:r>
              <w:rPr>
                <w:rFonts w:ascii="Arial" w:cs="Arial" w:eastAsia="Arial" w:hAnsi="Arial"/>
                <w:sz w:val="13"/>
                <w:szCs w:val="13"/>
                <w:color w:val="auto"/>
              </w:rPr>
              <w:t>business plan and capital budget review and approval process</w:t>
            </w:r>
          </w:p>
        </w:tc>
        <w:tc>
          <w:tcPr>
            <w:tcW w:w="0" w:type="dxa"/>
            <w:vAlign w:val="bottom"/>
          </w:tcPr>
          <w:p>
            <w:pPr>
              <w:spacing w:after="0"/>
              <w:rPr>
                <w:sz w:val="1"/>
                <w:szCs w:val="1"/>
                <w:color w:val="auto"/>
              </w:rPr>
            </w:pPr>
          </w:p>
        </w:tc>
      </w:tr>
      <w:tr>
        <w:trPr>
          <w:trHeight w:val="161"/>
        </w:trPr>
        <w:tc>
          <w:tcPr>
            <w:tcW w:w="2320" w:type="dxa"/>
            <w:vAlign w:val="bottom"/>
            <w:tcBorders>
              <w:left w:val="single" w:sz="8" w:color="7F7F7F"/>
            </w:tcBorders>
            <w:shd w:val="clear" w:color="auto" w:fill="D8D8D8"/>
          </w:tcPr>
          <w:p>
            <w:pPr>
              <w:spacing w:after="0"/>
              <w:rPr>
                <w:sz w:val="14"/>
                <w:szCs w:val="14"/>
                <w:color w:val="auto"/>
              </w:rPr>
            </w:pPr>
          </w:p>
        </w:tc>
        <w:tc>
          <w:tcPr>
            <w:tcW w:w="8600" w:type="dxa"/>
            <w:vAlign w:val="bottom"/>
            <w:tcBorders>
              <w:right w:val="single" w:sz="8" w:color="7F7F7F"/>
            </w:tcBorders>
            <w:shd w:val="clear" w:color="auto" w:fill="D8D8D8"/>
          </w:tcPr>
          <w:p>
            <w:pPr>
              <w:ind w:left="160"/>
              <w:spacing w:after="0"/>
              <w:rPr>
                <w:sz w:val="20"/>
                <w:szCs w:val="20"/>
                <w:color w:val="auto"/>
              </w:rPr>
            </w:pPr>
            <w:r>
              <w:rPr>
                <w:rFonts w:ascii="Arial" w:cs="Arial" w:eastAsia="Arial" w:hAnsi="Arial"/>
                <w:sz w:val="13"/>
                <w:szCs w:val="13"/>
                <w:color w:val="auto"/>
              </w:rPr>
              <w:t>•  Receives reports from management on and considers risk matters in the context of Chevron’s strategic, business, and operational</w:t>
            </w:r>
          </w:p>
        </w:tc>
        <w:tc>
          <w:tcPr>
            <w:tcW w:w="0" w:type="dxa"/>
            <w:vAlign w:val="bottom"/>
          </w:tcPr>
          <w:p>
            <w:pPr>
              <w:spacing w:after="0"/>
              <w:rPr>
                <w:sz w:val="1"/>
                <w:szCs w:val="1"/>
                <w:color w:val="auto"/>
              </w:rPr>
            </w:pPr>
          </w:p>
        </w:tc>
      </w:tr>
      <w:tr>
        <w:trPr>
          <w:trHeight w:val="176"/>
        </w:trPr>
        <w:tc>
          <w:tcPr>
            <w:tcW w:w="2320" w:type="dxa"/>
            <w:vAlign w:val="bottom"/>
            <w:tcBorders>
              <w:left w:val="single" w:sz="8" w:color="7F7F7F"/>
            </w:tcBorders>
            <w:shd w:val="clear" w:color="auto" w:fill="D8D8D8"/>
          </w:tcPr>
          <w:p>
            <w:pPr>
              <w:spacing w:after="0"/>
              <w:rPr>
                <w:sz w:val="15"/>
                <w:szCs w:val="15"/>
                <w:color w:val="auto"/>
              </w:rPr>
            </w:pPr>
          </w:p>
        </w:tc>
        <w:tc>
          <w:tcPr>
            <w:tcW w:w="8600" w:type="dxa"/>
            <w:vAlign w:val="bottom"/>
            <w:tcBorders>
              <w:right w:val="single" w:sz="8" w:color="7F7F7F"/>
            </w:tcBorders>
            <w:shd w:val="clear" w:color="auto" w:fill="D8D8D8"/>
          </w:tcPr>
          <w:p>
            <w:pPr>
              <w:ind w:left="300"/>
              <w:spacing w:after="0"/>
              <w:rPr>
                <w:sz w:val="20"/>
                <w:szCs w:val="20"/>
                <w:color w:val="auto"/>
              </w:rPr>
            </w:pPr>
            <w:r>
              <w:rPr>
                <w:rFonts w:ascii="Arial" w:cs="Arial" w:eastAsia="Arial" w:hAnsi="Arial"/>
                <w:sz w:val="13"/>
                <w:szCs w:val="13"/>
                <w:color w:val="auto"/>
              </w:rPr>
              <w:t>planning and decision making</w:t>
            </w:r>
          </w:p>
        </w:tc>
        <w:tc>
          <w:tcPr>
            <w:tcW w:w="0" w:type="dxa"/>
            <w:vAlign w:val="bottom"/>
          </w:tcPr>
          <w:p>
            <w:pPr>
              <w:spacing w:after="0"/>
              <w:rPr>
                <w:sz w:val="1"/>
                <w:szCs w:val="1"/>
                <w:color w:val="auto"/>
              </w:rPr>
            </w:pPr>
          </w:p>
        </w:tc>
      </w:tr>
      <w:tr>
        <w:trPr>
          <w:trHeight w:val="161"/>
        </w:trPr>
        <w:tc>
          <w:tcPr>
            <w:tcW w:w="2320" w:type="dxa"/>
            <w:vAlign w:val="bottom"/>
            <w:tcBorders>
              <w:left w:val="single" w:sz="8" w:color="7F7F7F"/>
            </w:tcBorders>
            <w:shd w:val="clear" w:color="auto" w:fill="D8D8D8"/>
          </w:tcPr>
          <w:p>
            <w:pPr>
              <w:spacing w:after="0"/>
              <w:rPr>
                <w:sz w:val="14"/>
                <w:szCs w:val="14"/>
                <w:color w:val="auto"/>
              </w:rPr>
            </w:pPr>
          </w:p>
        </w:tc>
        <w:tc>
          <w:tcPr>
            <w:tcW w:w="8600" w:type="dxa"/>
            <w:vAlign w:val="bottom"/>
            <w:tcBorders>
              <w:right w:val="single" w:sz="8" w:color="7F7F7F"/>
            </w:tcBorders>
            <w:shd w:val="clear" w:color="auto" w:fill="D8D8D8"/>
          </w:tcPr>
          <w:p>
            <w:pPr>
              <w:ind w:left="160"/>
              <w:spacing w:after="0"/>
              <w:rPr>
                <w:sz w:val="20"/>
                <w:szCs w:val="20"/>
                <w:color w:val="auto"/>
              </w:rPr>
            </w:pPr>
            <w:r>
              <w:rPr>
                <w:rFonts w:ascii="Arial" w:cs="Arial" w:eastAsia="Arial" w:hAnsi="Arial"/>
                <w:sz w:val="13"/>
                <w:szCs w:val="13"/>
                <w:color w:val="auto"/>
              </w:rPr>
              <w:t>•  Receives reports from management on, and routinely considers, critical risk topics such as operational, financial,</w:t>
            </w:r>
          </w:p>
        </w:tc>
        <w:tc>
          <w:tcPr>
            <w:tcW w:w="0" w:type="dxa"/>
            <w:vAlign w:val="bottom"/>
          </w:tcPr>
          <w:p>
            <w:pPr>
              <w:spacing w:after="0"/>
              <w:rPr>
                <w:sz w:val="1"/>
                <w:szCs w:val="1"/>
                <w:color w:val="auto"/>
              </w:rPr>
            </w:pPr>
          </w:p>
        </w:tc>
      </w:tr>
      <w:tr>
        <w:trPr>
          <w:trHeight w:val="148"/>
        </w:trPr>
        <w:tc>
          <w:tcPr>
            <w:tcW w:w="2320" w:type="dxa"/>
            <w:vAlign w:val="bottom"/>
            <w:tcBorders>
              <w:left w:val="single" w:sz="8" w:color="7F7F7F"/>
            </w:tcBorders>
            <w:shd w:val="clear" w:color="auto" w:fill="D8D8D8"/>
          </w:tcPr>
          <w:p>
            <w:pPr>
              <w:spacing w:after="0"/>
              <w:rPr>
                <w:sz w:val="12"/>
                <w:szCs w:val="12"/>
                <w:color w:val="auto"/>
              </w:rPr>
            </w:pPr>
          </w:p>
        </w:tc>
        <w:tc>
          <w:tcPr>
            <w:tcW w:w="8600" w:type="dxa"/>
            <w:vAlign w:val="bottom"/>
            <w:tcBorders>
              <w:right w:val="single" w:sz="8" w:color="7F7F7F"/>
            </w:tcBorders>
            <w:shd w:val="clear" w:color="auto" w:fill="D8D8D8"/>
          </w:tcPr>
          <w:p>
            <w:pPr>
              <w:ind w:left="300"/>
              <w:spacing w:after="0"/>
              <w:rPr>
                <w:sz w:val="20"/>
                <w:szCs w:val="20"/>
                <w:color w:val="auto"/>
              </w:rPr>
            </w:pPr>
            <w:r>
              <w:rPr>
                <w:rFonts w:ascii="Arial" w:cs="Arial" w:eastAsia="Arial" w:hAnsi="Arial"/>
                <w:sz w:val="13"/>
                <w:szCs w:val="13"/>
                <w:color w:val="auto"/>
              </w:rPr>
              <w:t>geopolitical/legislative, strategic, geological, security, commodity trading, skilled personnel/human capital, capital project execution, civil</w:t>
            </w:r>
          </w:p>
        </w:tc>
        <w:tc>
          <w:tcPr>
            <w:tcW w:w="0" w:type="dxa"/>
            <w:vAlign w:val="bottom"/>
          </w:tcPr>
          <w:p>
            <w:pPr>
              <w:spacing w:after="0"/>
              <w:rPr>
                <w:sz w:val="1"/>
                <w:szCs w:val="1"/>
                <w:color w:val="auto"/>
              </w:rPr>
            </w:pPr>
          </w:p>
        </w:tc>
      </w:tr>
      <w:tr>
        <w:trPr>
          <w:trHeight w:val="182"/>
        </w:trPr>
        <w:tc>
          <w:tcPr>
            <w:tcW w:w="2320" w:type="dxa"/>
            <w:vAlign w:val="bottom"/>
            <w:tcBorders>
              <w:left w:val="single" w:sz="8" w:color="7F7F7F"/>
              <w:bottom w:val="single" w:sz="8" w:color="D8D8D8"/>
            </w:tcBorders>
            <w:shd w:val="clear" w:color="auto" w:fill="D8D8D8"/>
          </w:tcPr>
          <w:p>
            <w:pPr>
              <w:spacing w:after="0"/>
              <w:rPr>
                <w:sz w:val="15"/>
                <w:szCs w:val="15"/>
                <w:color w:val="auto"/>
              </w:rPr>
            </w:pPr>
          </w:p>
        </w:tc>
        <w:tc>
          <w:tcPr>
            <w:tcW w:w="8600" w:type="dxa"/>
            <w:vAlign w:val="bottom"/>
            <w:tcBorders>
              <w:bottom w:val="single" w:sz="8" w:color="D8D8D8"/>
              <w:right w:val="single" w:sz="8" w:color="7F7F7F"/>
            </w:tcBorders>
            <w:shd w:val="clear" w:color="auto" w:fill="D8D8D8"/>
          </w:tcPr>
          <w:p>
            <w:pPr>
              <w:ind w:left="300"/>
              <w:spacing w:after="0"/>
              <w:rPr>
                <w:sz w:val="20"/>
                <w:szCs w:val="20"/>
                <w:color w:val="auto"/>
              </w:rPr>
            </w:pPr>
            <w:r>
              <w:rPr>
                <w:rFonts w:ascii="Arial" w:cs="Arial" w:eastAsia="Arial" w:hAnsi="Arial"/>
                <w:sz w:val="13"/>
                <w:szCs w:val="13"/>
                <w:color w:val="auto"/>
              </w:rPr>
              <w:t>unrest, legal, technology/cybersecurity risk, and climate change risks</w:t>
            </w:r>
          </w:p>
        </w:tc>
        <w:tc>
          <w:tcPr>
            <w:tcW w:w="0" w:type="dxa"/>
            <w:vAlign w:val="bottom"/>
          </w:tcPr>
          <w:p>
            <w:pPr>
              <w:spacing w:after="0"/>
              <w:rPr>
                <w:sz w:val="1"/>
                <w:szCs w:val="1"/>
                <w:color w:val="auto"/>
              </w:rPr>
            </w:pPr>
          </w:p>
        </w:tc>
      </w:tr>
      <w:tr>
        <w:trPr>
          <w:trHeight w:val="149"/>
        </w:trPr>
        <w:tc>
          <w:tcPr>
            <w:tcW w:w="2320" w:type="dxa"/>
            <w:vAlign w:val="bottom"/>
            <w:tcBorders>
              <w:left w:val="single" w:sz="8" w:color="7F7F7F"/>
            </w:tcBorders>
          </w:tcPr>
          <w:p>
            <w:pPr>
              <w:spacing w:after="0"/>
              <w:rPr>
                <w:sz w:val="12"/>
                <w:szCs w:val="12"/>
                <w:color w:val="auto"/>
              </w:rPr>
            </w:pPr>
          </w:p>
        </w:tc>
        <w:tc>
          <w:tcPr>
            <w:tcW w:w="8600" w:type="dxa"/>
            <w:vAlign w:val="bottom"/>
            <w:tcBorders>
              <w:right w:val="single" w:sz="8" w:color="7F7F7F"/>
            </w:tcBorders>
          </w:tcPr>
          <w:p>
            <w:pPr>
              <w:ind w:left="160"/>
              <w:spacing w:after="0"/>
              <w:rPr>
                <w:sz w:val="20"/>
                <w:szCs w:val="20"/>
                <w:color w:val="auto"/>
              </w:rPr>
            </w:pPr>
            <w:r>
              <w:rPr>
                <w:rFonts w:ascii="Arial" w:cs="Arial" w:eastAsia="Arial" w:hAnsi="Arial"/>
                <w:sz w:val="13"/>
                <w:szCs w:val="13"/>
                <w:color w:val="auto"/>
              </w:rPr>
              <w:t>•  Assists the Board in fulfilling its oversight of accounting and financial reporting processes, including the audits and integrity of</w:t>
            </w:r>
          </w:p>
        </w:tc>
        <w:tc>
          <w:tcPr>
            <w:tcW w:w="0" w:type="dxa"/>
            <w:vAlign w:val="bottom"/>
          </w:tcPr>
          <w:p>
            <w:pPr>
              <w:spacing w:after="0"/>
              <w:rPr>
                <w:sz w:val="1"/>
                <w:szCs w:val="1"/>
                <w:color w:val="auto"/>
              </w:rPr>
            </w:pPr>
          </w:p>
        </w:tc>
      </w:tr>
      <w:tr>
        <w:trPr>
          <w:trHeight w:val="149"/>
        </w:trPr>
        <w:tc>
          <w:tcPr>
            <w:tcW w:w="2320" w:type="dxa"/>
            <w:vAlign w:val="bottom"/>
            <w:tcBorders>
              <w:left w:val="single" w:sz="8" w:color="7F7F7F"/>
            </w:tcBorders>
            <w:vMerge w:val="restart"/>
          </w:tcPr>
          <w:p>
            <w:pPr>
              <w:ind w:left="200"/>
              <w:spacing w:after="0"/>
              <w:rPr>
                <w:sz w:val="20"/>
                <w:szCs w:val="20"/>
                <w:color w:val="auto"/>
              </w:rPr>
            </w:pPr>
            <w:r>
              <w:rPr>
                <w:rFonts w:ascii="Arial" w:cs="Arial" w:eastAsia="Arial" w:hAnsi="Arial"/>
                <w:sz w:val="18"/>
                <w:szCs w:val="18"/>
                <w:b w:val="1"/>
                <w:bCs w:val="1"/>
                <w:color w:val="0B2D71"/>
              </w:rPr>
              <w:t>Audit committee</w:t>
            </w:r>
          </w:p>
        </w:tc>
        <w:tc>
          <w:tcPr>
            <w:tcW w:w="8600" w:type="dxa"/>
            <w:vAlign w:val="bottom"/>
            <w:tcBorders>
              <w:right w:val="single" w:sz="8" w:color="7F7F7F"/>
            </w:tcBorders>
          </w:tcPr>
          <w:p>
            <w:pPr>
              <w:ind w:left="300"/>
              <w:spacing w:after="0"/>
              <w:rPr>
                <w:sz w:val="20"/>
                <w:szCs w:val="20"/>
                <w:color w:val="auto"/>
              </w:rPr>
            </w:pPr>
            <w:r>
              <w:rPr>
                <w:rFonts w:ascii="Arial" w:cs="Arial" w:eastAsia="Arial" w:hAnsi="Arial"/>
                <w:sz w:val="13"/>
                <w:szCs w:val="13"/>
                <w:color w:val="auto"/>
              </w:rPr>
              <w:t>Chevron’s financial statements, financial risk exposures as part of Chevron’s broad enterprise management program, Chevron’s</w:t>
            </w:r>
          </w:p>
        </w:tc>
        <w:tc>
          <w:tcPr>
            <w:tcW w:w="0" w:type="dxa"/>
            <w:vAlign w:val="bottom"/>
          </w:tcPr>
          <w:p>
            <w:pPr>
              <w:spacing w:after="0"/>
              <w:rPr>
                <w:sz w:val="1"/>
                <w:szCs w:val="1"/>
                <w:color w:val="auto"/>
              </w:rPr>
            </w:pPr>
          </w:p>
        </w:tc>
      </w:tr>
      <w:tr>
        <w:trPr>
          <w:trHeight w:val="148"/>
        </w:trPr>
        <w:tc>
          <w:tcPr>
            <w:tcW w:w="2320" w:type="dxa"/>
            <w:vAlign w:val="bottom"/>
            <w:tcBorders>
              <w:left w:val="single" w:sz="8" w:color="7F7F7F"/>
            </w:tcBorders>
            <w:vMerge w:val="continue"/>
          </w:tcPr>
          <w:p>
            <w:pPr>
              <w:spacing w:after="0"/>
              <w:rPr>
                <w:sz w:val="12"/>
                <w:szCs w:val="12"/>
                <w:color w:val="auto"/>
              </w:rPr>
            </w:pPr>
          </w:p>
        </w:tc>
        <w:tc>
          <w:tcPr>
            <w:tcW w:w="8600" w:type="dxa"/>
            <w:vAlign w:val="bottom"/>
            <w:tcBorders>
              <w:right w:val="single" w:sz="8" w:color="7F7F7F"/>
            </w:tcBorders>
          </w:tcPr>
          <w:p>
            <w:pPr>
              <w:ind w:left="300"/>
              <w:spacing w:after="0"/>
              <w:rPr>
                <w:sz w:val="20"/>
                <w:szCs w:val="20"/>
                <w:color w:val="auto"/>
              </w:rPr>
            </w:pPr>
            <w:r>
              <w:rPr>
                <w:rFonts w:ascii="Arial" w:cs="Arial" w:eastAsia="Arial" w:hAnsi="Arial"/>
                <w:sz w:val="13"/>
                <w:szCs w:val="13"/>
                <w:color w:val="auto"/>
              </w:rPr>
              <w:t>Operational Excellence audit and assurance process, the qualifications, performance and independence of the independent auditor, the</w:t>
            </w:r>
          </w:p>
        </w:tc>
        <w:tc>
          <w:tcPr>
            <w:tcW w:w="0" w:type="dxa"/>
            <w:vAlign w:val="bottom"/>
          </w:tcPr>
          <w:p>
            <w:pPr>
              <w:spacing w:after="0"/>
              <w:rPr>
                <w:sz w:val="1"/>
                <w:szCs w:val="1"/>
                <w:color w:val="auto"/>
              </w:rPr>
            </w:pPr>
          </w:p>
        </w:tc>
      </w:tr>
      <w:tr>
        <w:trPr>
          <w:trHeight w:val="148"/>
        </w:trPr>
        <w:tc>
          <w:tcPr>
            <w:tcW w:w="2320" w:type="dxa"/>
            <w:vAlign w:val="bottom"/>
            <w:tcBorders>
              <w:left w:val="single" w:sz="8" w:color="7F7F7F"/>
            </w:tcBorders>
          </w:tcPr>
          <w:p>
            <w:pPr>
              <w:spacing w:after="0"/>
              <w:rPr>
                <w:sz w:val="12"/>
                <w:szCs w:val="12"/>
                <w:color w:val="auto"/>
              </w:rPr>
            </w:pPr>
          </w:p>
        </w:tc>
        <w:tc>
          <w:tcPr>
            <w:tcW w:w="8600" w:type="dxa"/>
            <w:vAlign w:val="bottom"/>
            <w:tcBorders>
              <w:right w:val="single" w:sz="8" w:color="7F7F7F"/>
            </w:tcBorders>
          </w:tcPr>
          <w:p>
            <w:pPr>
              <w:ind w:left="300"/>
              <w:spacing w:after="0"/>
              <w:rPr>
                <w:sz w:val="20"/>
                <w:szCs w:val="20"/>
                <w:color w:val="auto"/>
              </w:rPr>
            </w:pPr>
            <w:r>
              <w:rPr>
                <w:rFonts w:ascii="Arial" w:cs="Arial" w:eastAsia="Arial" w:hAnsi="Arial"/>
                <w:sz w:val="13"/>
                <w:szCs w:val="13"/>
                <w:color w:val="auto"/>
              </w:rPr>
              <w:t>effectiveness of internal controls over financial reporting, and the implementation and effectiveness of Chevron’s compliance programs</w:t>
            </w:r>
          </w:p>
        </w:tc>
        <w:tc>
          <w:tcPr>
            <w:tcW w:w="0" w:type="dxa"/>
            <w:vAlign w:val="bottom"/>
          </w:tcPr>
          <w:p>
            <w:pPr>
              <w:spacing w:after="0"/>
              <w:rPr>
                <w:sz w:val="1"/>
                <w:szCs w:val="1"/>
                <w:color w:val="auto"/>
              </w:rPr>
            </w:pPr>
          </w:p>
        </w:tc>
      </w:tr>
      <w:tr>
        <w:trPr>
          <w:trHeight w:val="176"/>
        </w:trPr>
        <w:tc>
          <w:tcPr>
            <w:tcW w:w="2320" w:type="dxa"/>
            <w:vAlign w:val="bottom"/>
            <w:tcBorders>
              <w:left w:val="single" w:sz="8" w:color="7F7F7F"/>
            </w:tcBorders>
          </w:tcPr>
          <w:p>
            <w:pPr>
              <w:spacing w:after="0"/>
              <w:rPr>
                <w:sz w:val="15"/>
                <w:szCs w:val="15"/>
                <w:color w:val="auto"/>
              </w:rPr>
            </w:pPr>
          </w:p>
        </w:tc>
        <w:tc>
          <w:tcPr>
            <w:tcW w:w="8600" w:type="dxa"/>
            <w:vAlign w:val="bottom"/>
            <w:tcBorders>
              <w:right w:val="single" w:sz="8" w:color="7F7F7F"/>
            </w:tcBorders>
          </w:tcPr>
          <w:p>
            <w:pPr>
              <w:ind w:left="300"/>
              <w:spacing w:after="0"/>
              <w:rPr>
                <w:sz w:val="20"/>
                <w:szCs w:val="20"/>
                <w:color w:val="auto"/>
              </w:rPr>
            </w:pPr>
            <w:r>
              <w:rPr>
                <w:rFonts w:ascii="Arial" w:cs="Arial" w:eastAsia="Arial" w:hAnsi="Arial"/>
                <w:sz w:val="13"/>
                <w:szCs w:val="13"/>
                <w:color w:val="auto"/>
              </w:rPr>
              <w:t>and Internal Audit function</w:t>
            </w:r>
          </w:p>
        </w:tc>
        <w:tc>
          <w:tcPr>
            <w:tcW w:w="0" w:type="dxa"/>
            <w:vAlign w:val="bottom"/>
          </w:tcPr>
          <w:p>
            <w:pPr>
              <w:spacing w:after="0"/>
              <w:rPr>
                <w:sz w:val="1"/>
                <w:szCs w:val="1"/>
                <w:color w:val="auto"/>
              </w:rPr>
            </w:pPr>
          </w:p>
        </w:tc>
      </w:tr>
      <w:tr>
        <w:trPr>
          <w:trHeight w:val="189"/>
        </w:trPr>
        <w:tc>
          <w:tcPr>
            <w:tcW w:w="2320" w:type="dxa"/>
            <w:vAlign w:val="bottom"/>
            <w:tcBorders>
              <w:left w:val="single" w:sz="8" w:color="7F7F7F"/>
            </w:tcBorders>
          </w:tcPr>
          <w:p>
            <w:pPr>
              <w:spacing w:after="0"/>
              <w:rPr>
                <w:sz w:val="16"/>
                <w:szCs w:val="16"/>
                <w:color w:val="auto"/>
              </w:rPr>
            </w:pPr>
          </w:p>
        </w:tc>
        <w:tc>
          <w:tcPr>
            <w:tcW w:w="8600" w:type="dxa"/>
            <w:vAlign w:val="bottom"/>
            <w:tcBorders>
              <w:right w:val="single" w:sz="8" w:color="7F7F7F"/>
            </w:tcBorders>
          </w:tcPr>
          <w:p>
            <w:pPr>
              <w:ind w:left="160"/>
              <w:spacing w:after="0"/>
              <w:rPr>
                <w:sz w:val="20"/>
                <w:szCs w:val="20"/>
                <w:color w:val="auto"/>
              </w:rPr>
            </w:pPr>
            <w:r>
              <w:rPr>
                <w:rFonts w:ascii="Arial" w:cs="Arial" w:eastAsia="Arial" w:hAnsi="Arial"/>
                <w:sz w:val="13"/>
                <w:szCs w:val="13"/>
                <w:color w:val="auto"/>
              </w:rPr>
              <w:t>•  Meets with and reviews reports from Chevron’s independent registered public accounting firm and internal auditors</w:t>
            </w:r>
          </w:p>
        </w:tc>
        <w:tc>
          <w:tcPr>
            <w:tcW w:w="0" w:type="dxa"/>
            <w:vAlign w:val="bottom"/>
          </w:tcPr>
          <w:p>
            <w:pPr>
              <w:spacing w:after="0"/>
              <w:rPr>
                <w:sz w:val="1"/>
                <w:szCs w:val="1"/>
                <w:color w:val="auto"/>
              </w:rPr>
            </w:pPr>
          </w:p>
        </w:tc>
      </w:tr>
      <w:tr>
        <w:trPr>
          <w:trHeight w:val="161"/>
        </w:trPr>
        <w:tc>
          <w:tcPr>
            <w:tcW w:w="2320" w:type="dxa"/>
            <w:vAlign w:val="bottom"/>
            <w:tcBorders>
              <w:left w:val="single" w:sz="8" w:color="7F7F7F"/>
            </w:tcBorders>
          </w:tcPr>
          <w:p>
            <w:pPr>
              <w:spacing w:after="0"/>
              <w:rPr>
                <w:sz w:val="14"/>
                <w:szCs w:val="14"/>
                <w:color w:val="auto"/>
              </w:rPr>
            </w:pPr>
          </w:p>
        </w:tc>
        <w:tc>
          <w:tcPr>
            <w:tcW w:w="8600" w:type="dxa"/>
            <w:vAlign w:val="bottom"/>
            <w:tcBorders>
              <w:right w:val="single" w:sz="8" w:color="7F7F7F"/>
            </w:tcBorders>
          </w:tcPr>
          <w:p>
            <w:pPr>
              <w:ind w:left="160"/>
              <w:spacing w:after="0"/>
              <w:rPr>
                <w:sz w:val="20"/>
                <w:szCs w:val="20"/>
                <w:color w:val="auto"/>
              </w:rPr>
            </w:pPr>
            <w:r>
              <w:rPr>
                <w:rFonts w:ascii="Arial" w:cs="Arial" w:eastAsia="Arial" w:hAnsi="Arial"/>
                <w:sz w:val="13"/>
                <w:szCs w:val="13"/>
                <w:color w:val="auto"/>
              </w:rPr>
              <w:t>•  Discusses Chevron’s policies with respect to financial risk assessment and financial risk management including, but not limited to,</w:t>
            </w:r>
          </w:p>
        </w:tc>
        <w:tc>
          <w:tcPr>
            <w:tcW w:w="0" w:type="dxa"/>
            <w:vAlign w:val="bottom"/>
          </w:tcPr>
          <w:p>
            <w:pPr>
              <w:spacing w:after="0"/>
              <w:rPr>
                <w:sz w:val="1"/>
                <w:szCs w:val="1"/>
                <w:color w:val="auto"/>
              </w:rPr>
            </w:pPr>
          </w:p>
        </w:tc>
      </w:tr>
      <w:tr>
        <w:trPr>
          <w:trHeight w:val="176"/>
        </w:trPr>
        <w:tc>
          <w:tcPr>
            <w:tcW w:w="2320" w:type="dxa"/>
            <w:vAlign w:val="bottom"/>
            <w:tcBorders>
              <w:left w:val="single" w:sz="8" w:color="7F7F7F"/>
            </w:tcBorders>
          </w:tcPr>
          <w:p>
            <w:pPr>
              <w:spacing w:after="0"/>
              <w:rPr>
                <w:sz w:val="15"/>
                <w:szCs w:val="15"/>
                <w:color w:val="auto"/>
              </w:rPr>
            </w:pPr>
          </w:p>
        </w:tc>
        <w:tc>
          <w:tcPr>
            <w:tcW w:w="8600" w:type="dxa"/>
            <w:vAlign w:val="bottom"/>
            <w:tcBorders>
              <w:right w:val="single" w:sz="8" w:color="7F7F7F"/>
            </w:tcBorders>
          </w:tcPr>
          <w:p>
            <w:pPr>
              <w:ind w:left="300"/>
              <w:spacing w:after="0"/>
              <w:rPr>
                <w:sz w:val="20"/>
                <w:szCs w:val="20"/>
                <w:color w:val="auto"/>
              </w:rPr>
            </w:pPr>
            <w:r>
              <w:rPr>
                <w:rFonts w:ascii="Arial" w:cs="Arial" w:eastAsia="Arial" w:hAnsi="Arial"/>
                <w:sz w:val="13"/>
                <w:szCs w:val="13"/>
                <w:color w:val="auto"/>
              </w:rPr>
              <w:t>cybersecurity and sustainability and climate change risks</w:t>
            </w:r>
          </w:p>
        </w:tc>
        <w:tc>
          <w:tcPr>
            <w:tcW w:w="0" w:type="dxa"/>
            <w:vAlign w:val="bottom"/>
          </w:tcPr>
          <w:p>
            <w:pPr>
              <w:spacing w:after="0"/>
              <w:rPr>
                <w:sz w:val="1"/>
                <w:szCs w:val="1"/>
                <w:color w:val="auto"/>
              </w:rPr>
            </w:pPr>
          </w:p>
        </w:tc>
      </w:tr>
      <w:tr>
        <w:trPr>
          <w:trHeight w:val="161"/>
        </w:trPr>
        <w:tc>
          <w:tcPr>
            <w:tcW w:w="2320" w:type="dxa"/>
            <w:vAlign w:val="bottom"/>
            <w:tcBorders>
              <w:left w:val="single" w:sz="8" w:color="7F7F7F"/>
            </w:tcBorders>
          </w:tcPr>
          <w:p>
            <w:pPr>
              <w:spacing w:after="0"/>
              <w:rPr>
                <w:sz w:val="14"/>
                <w:szCs w:val="14"/>
                <w:color w:val="auto"/>
              </w:rPr>
            </w:pPr>
          </w:p>
        </w:tc>
        <w:tc>
          <w:tcPr>
            <w:tcW w:w="8600" w:type="dxa"/>
            <w:vAlign w:val="bottom"/>
            <w:tcBorders>
              <w:right w:val="single" w:sz="8" w:color="7F7F7F"/>
            </w:tcBorders>
          </w:tcPr>
          <w:p>
            <w:pPr>
              <w:ind w:left="160"/>
              <w:spacing w:after="0"/>
              <w:rPr>
                <w:sz w:val="20"/>
                <w:szCs w:val="20"/>
                <w:color w:val="auto"/>
              </w:rPr>
            </w:pPr>
            <w:r>
              <w:rPr>
                <w:rFonts w:ascii="Arial" w:cs="Arial" w:eastAsia="Arial" w:hAnsi="Arial"/>
                <w:sz w:val="13"/>
                <w:szCs w:val="13"/>
                <w:color w:val="auto"/>
              </w:rPr>
              <w:t>•  Meets with Chevron’s Chief Compliance Officer and certain members of Chevron’s Compliance Policy Committee to receive</w:t>
            </w:r>
          </w:p>
        </w:tc>
        <w:tc>
          <w:tcPr>
            <w:tcW w:w="0" w:type="dxa"/>
            <w:vAlign w:val="bottom"/>
          </w:tcPr>
          <w:p>
            <w:pPr>
              <w:spacing w:after="0"/>
              <w:rPr>
                <w:sz w:val="1"/>
                <w:szCs w:val="1"/>
                <w:color w:val="auto"/>
              </w:rPr>
            </w:pPr>
          </w:p>
        </w:tc>
      </w:tr>
      <w:tr>
        <w:trPr>
          <w:trHeight w:val="176"/>
        </w:trPr>
        <w:tc>
          <w:tcPr>
            <w:tcW w:w="2320" w:type="dxa"/>
            <w:vAlign w:val="bottom"/>
            <w:tcBorders>
              <w:left w:val="single" w:sz="8" w:color="7F7F7F"/>
            </w:tcBorders>
          </w:tcPr>
          <w:p>
            <w:pPr>
              <w:spacing w:after="0"/>
              <w:rPr>
                <w:sz w:val="15"/>
                <w:szCs w:val="15"/>
                <w:color w:val="auto"/>
              </w:rPr>
            </w:pPr>
          </w:p>
        </w:tc>
        <w:tc>
          <w:tcPr>
            <w:tcW w:w="8600" w:type="dxa"/>
            <w:vAlign w:val="bottom"/>
            <w:tcBorders>
              <w:right w:val="single" w:sz="8" w:color="7F7F7F"/>
            </w:tcBorders>
          </w:tcPr>
          <w:p>
            <w:pPr>
              <w:ind w:left="300"/>
              <w:spacing w:after="0"/>
              <w:rPr>
                <w:sz w:val="20"/>
                <w:szCs w:val="20"/>
                <w:color w:val="auto"/>
              </w:rPr>
            </w:pPr>
            <w:r>
              <w:rPr>
                <w:rFonts w:ascii="Arial" w:cs="Arial" w:eastAsia="Arial" w:hAnsi="Arial"/>
                <w:sz w:val="13"/>
                <w:szCs w:val="13"/>
                <w:color w:val="auto"/>
              </w:rPr>
              <w:t>information regarding compliance policies and procedures and internal controls</w:t>
            </w:r>
          </w:p>
        </w:tc>
        <w:tc>
          <w:tcPr>
            <w:tcW w:w="0" w:type="dxa"/>
            <w:vAlign w:val="bottom"/>
          </w:tcPr>
          <w:p>
            <w:pPr>
              <w:spacing w:after="0"/>
              <w:rPr>
                <w:sz w:val="1"/>
                <w:szCs w:val="1"/>
                <w:color w:val="auto"/>
              </w:rPr>
            </w:pPr>
          </w:p>
        </w:tc>
      </w:tr>
      <w:tr>
        <w:trPr>
          <w:trHeight w:val="161"/>
        </w:trPr>
        <w:tc>
          <w:tcPr>
            <w:tcW w:w="2320" w:type="dxa"/>
            <w:vAlign w:val="bottom"/>
            <w:tcBorders>
              <w:left w:val="single" w:sz="8" w:color="7F7F7F"/>
            </w:tcBorders>
          </w:tcPr>
          <w:p>
            <w:pPr>
              <w:spacing w:after="0"/>
              <w:rPr>
                <w:sz w:val="14"/>
                <w:szCs w:val="14"/>
                <w:color w:val="auto"/>
              </w:rPr>
            </w:pPr>
          </w:p>
        </w:tc>
        <w:tc>
          <w:tcPr>
            <w:tcW w:w="8600" w:type="dxa"/>
            <w:vAlign w:val="bottom"/>
            <w:tcBorders>
              <w:right w:val="single" w:sz="8" w:color="7F7F7F"/>
            </w:tcBorders>
          </w:tcPr>
          <w:p>
            <w:pPr>
              <w:ind w:left="160"/>
              <w:spacing w:after="0"/>
              <w:rPr>
                <w:sz w:val="20"/>
                <w:szCs w:val="20"/>
                <w:color w:val="auto"/>
              </w:rPr>
            </w:pPr>
            <w:r>
              <w:rPr>
                <w:rFonts w:ascii="Arial" w:cs="Arial" w:eastAsia="Arial" w:hAnsi="Arial"/>
                <w:sz w:val="13"/>
                <w:szCs w:val="13"/>
                <w:color w:val="auto"/>
              </w:rPr>
              <w:t>•  Meets with Chevron’s Chief Information Officer at least twice a year to review cybersecurity implications and risk management on</w:t>
            </w:r>
          </w:p>
        </w:tc>
        <w:tc>
          <w:tcPr>
            <w:tcW w:w="0" w:type="dxa"/>
            <w:vAlign w:val="bottom"/>
          </w:tcPr>
          <w:p>
            <w:pPr>
              <w:spacing w:after="0"/>
              <w:rPr>
                <w:sz w:val="1"/>
                <w:szCs w:val="1"/>
                <w:color w:val="auto"/>
              </w:rPr>
            </w:pPr>
          </w:p>
        </w:tc>
      </w:tr>
      <w:tr>
        <w:trPr>
          <w:trHeight w:val="176"/>
        </w:trPr>
        <w:tc>
          <w:tcPr>
            <w:tcW w:w="2320" w:type="dxa"/>
            <w:vAlign w:val="bottom"/>
            <w:tcBorders>
              <w:left w:val="single" w:sz="8" w:color="7F7F7F"/>
            </w:tcBorders>
          </w:tcPr>
          <w:p>
            <w:pPr>
              <w:spacing w:after="0"/>
              <w:rPr>
                <w:sz w:val="15"/>
                <w:szCs w:val="15"/>
                <w:color w:val="auto"/>
              </w:rPr>
            </w:pPr>
          </w:p>
        </w:tc>
        <w:tc>
          <w:tcPr>
            <w:tcW w:w="8600" w:type="dxa"/>
            <w:vAlign w:val="bottom"/>
            <w:tcBorders>
              <w:right w:val="single" w:sz="8" w:color="7F7F7F"/>
            </w:tcBorders>
          </w:tcPr>
          <w:p>
            <w:pPr>
              <w:ind w:left="300"/>
              <w:spacing w:after="0"/>
              <w:rPr>
                <w:sz w:val="20"/>
                <w:szCs w:val="20"/>
                <w:color w:val="auto"/>
              </w:rPr>
            </w:pPr>
            <w:r>
              <w:rPr>
                <w:rFonts w:ascii="Arial" w:cs="Arial" w:eastAsia="Arial" w:hAnsi="Arial"/>
                <w:sz w:val="13"/>
                <w:szCs w:val="13"/>
                <w:color w:val="auto"/>
              </w:rPr>
              <w:t>financial exposures</w:t>
            </w:r>
          </w:p>
        </w:tc>
        <w:tc>
          <w:tcPr>
            <w:tcW w:w="0" w:type="dxa"/>
            <w:vAlign w:val="bottom"/>
          </w:tcPr>
          <w:p>
            <w:pPr>
              <w:spacing w:after="0"/>
              <w:rPr>
                <w:sz w:val="1"/>
                <w:szCs w:val="1"/>
                <w:color w:val="auto"/>
              </w:rPr>
            </w:pPr>
          </w:p>
        </w:tc>
      </w:tr>
      <w:tr>
        <w:trPr>
          <w:trHeight w:val="161"/>
        </w:trPr>
        <w:tc>
          <w:tcPr>
            <w:tcW w:w="2320" w:type="dxa"/>
            <w:vAlign w:val="bottom"/>
            <w:tcBorders>
              <w:left w:val="single" w:sz="8" w:color="7F7F7F"/>
            </w:tcBorders>
          </w:tcPr>
          <w:p>
            <w:pPr>
              <w:spacing w:after="0"/>
              <w:rPr>
                <w:sz w:val="14"/>
                <w:szCs w:val="14"/>
                <w:color w:val="auto"/>
              </w:rPr>
            </w:pPr>
          </w:p>
        </w:tc>
        <w:tc>
          <w:tcPr>
            <w:tcW w:w="8600" w:type="dxa"/>
            <w:vAlign w:val="bottom"/>
            <w:tcBorders>
              <w:right w:val="single" w:sz="8" w:color="7F7F7F"/>
            </w:tcBorders>
          </w:tcPr>
          <w:p>
            <w:pPr>
              <w:ind w:left="160"/>
              <w:spacing w:after="0"/>
              <w:rPr>
                <w:sz w:val="20"/>
                <w:szCs w:val="20"/>
                <w:color w:val="auto"/>
              </w:rPr>
            </w:pPr>
            <w:r>
              <w:rPr>
                <w:rFonts w:ascii="Arial" w:cs="Arial" w:eastAsia="Arial" w:hAnsi="Arial"/>
                <w:sz w:val="13"/>
                <w:szCs w:val="13"/>
                <w:color w:val="auto"/>
              </w:rPr>
              <w:t>•  Meets with Chevron’s General Manager, Operational Excellence (“OE”) Audit and Assurance, at least once a year to review findings of</w:t>
            </w:r>
          </w:p>
        </w:tc>
        <w:tc>
          <w:tcPr>
            <w:tcW w:w="0" w:type="dxa"/>
            <w:vAlign w:val="bottom"/>
          </w:tcPr>
          <w:p>
            <w:pPr>
              <w:spacing w:after="0"/>
              <w:rPr>
                <w:sz w:val="1"/>
                <w:szCs w:val="1"/>
                <w:color w:val="auto"/>
              </w:rPr>
            </w:pPr>
          </w:p>
        </w:tc>
      </w:tr>
      <w:tr>
        <w:trPr>
          <w:trHeight w:val="176"/>
        </w:trPr>
        <w:tc>
          <w:tcPr>
            <w:tcW w:w="2320" w:type="dxa"/>
            <w:vAlign w:val="bottom"/>
            <w:tcBorders>
              <w:left w:val="single" w:sz="8" w:color="7F7F7F"/>
            </w:tcBorders>
          </w:tcPr>
          <w:p>
            <w:pPr>
              <w:spacing w:after="0"/>
              <w:rPr>
                <w:sz w:val="15"/>
                <w:szCs w:val="15"/>
                <w:color w:val="auto"/>
              </w:rPr>
            </w:pPr>
          </w:p>
        </w:tc>
        <w:tc>
          <w:tcPr>
            <w:tcW w:w="8600" w:type="dxa"/>
            <w:vAlign w:val="bottom"/>
            <w:tcBorders>
              <w:right w:val="single" w:sz="8" w:color="7F7F7F"/>
            </w:tcBorders>
          </w:tcPr>
          <w:p>
            <w:pPr>
              <w:ind w:left="300"/>
              <w:spacing w:after="0"/>
              <w:rPr>
                <w:sz w:val="20"/>
                <w:szCs w:val="20"/>
                <w:color w:val="auto"/>
              </w:rPr>
            </w:pPr>
            <w:r>
              <w:rPr>
                <w:rFonts w:ascii="Arial" w:cs="Arial" w:eastAsia="Arial" w:hAnsi="Arial"/>
                <w:sz w:val="13"/>
                <w:szCs w:val="13"/>
                <w:color w:val="auto"/>
              </w:rPr>
              <w:t>OE audits and corrective actions being taken to address priority findings</w:t>
            </w:r>
          </w:p>
        </w:tc>
        <w:tc>
          <w:tcPr>
            <w:tcW w:w="0" w:type="dxa"/>
            <w:vAlign w:val="bottom"/>
          </w:tcPr>
          <w:p>
            <w:pPr>
              <w:spacing w:after="0"/>
              <w:rPr>
                <w:sz w:val="1"/>
                <w:szCs w:val="1"/>
                <w:color w:val="auto"/>
              </w:rPr>
            </w:pPr>
          </w:p>
        </w:tc>
      </w:tr>
      <w:tr>
        <w:trPr>
          <w:trHeight w:val="189"/>
        </w:trPr>
        <w:tc>
          <w:tcPr>
            <w:tcW w:w="2320" w:type="dxa"/>
            <w:vAlign w:val="bottom"/>
            <w:tcBorders>
              <w:left w:val="single" w:sz="8" w:color="7F7F7F"/>
            </w:tcBorders>
          </w:tcPr>
          <w:p>
            <w:pPr>
              <w:spacing w:after="0"/>
              <w:rPr>
                <w:sz w:val="16"/>
                <w:szCs w:val="16"/>
                <w:color w:val="auto"/>
              </w:rPr>
            </w:pPr>
          </w:p>
        </w:tc>
        <w:tc>
          <w:tcPr>
            <w:tcW w:w="8600" w:type="dxa"/>
            <w:vAlign w:val="bottom"/>
            <w:tcBorders>
              <w:right w:val="single" w:sz="8" w:color="7F7F7F"/>
            </w:tcBorders>
          </w:tcPr>
          <w:p>
            <w:pPr>
              <w:ind w:left="160"/>
              <w:spacing w:after="0"/>
              <w:rPr>
                <w:sz w:val="20"/>
                <w:szCs w:val="20"/>
                <w:color w:val="auto"/>
              </w:rPr>
            </w:pPr>
            <w:r>
              <w:rPr>
                <w:rFonts w:ascii="Arial" w:cs="Arial" w:eastAsia="Arial" w:hAnsi="Arial"/>
                <w:sz w:val="13"/>
                <w:szCs w:val="13"/>
                <w:color w:val="auto"/>
              </w:rPr>
              <w:t>•  Reports its discussions to the full Board for consideration and action when appropriate</w:t>
            </w:r>
          </w:p>
        </w:tc>
        <w:tc>
          <w:tcPr>
            <w:tcW w:w="0" w:type="dxa"/>
            <w:vAlign w:val="bottom"/>
          </w:tcPr>
          <w:p>
            <w:pPr>
              <w:spacing w:after="0"/>
              <w:rPr>
                <w:sz w:val="1"/>
                <w:szCs w:val="1"/>
                <w:color w:val="auto"/>
              </w:rPr>
            </w:pPr>
          </w:p>
        </w:tc>
      </w:tr>
      <w:tr>
        <w:trPr>
          <w:trHeight w:val="25"/>
        </w:trPr>
        <w:tc>
          <w:tcPr>
            <w:tcW w:w="2320" w:type="dxa"/>
            <w:vAlign w:val="bottom"/>
            <w:tcBorders>
              <w:left w:val="single" w:sz="8" w:color="7F7F7F"/>
            </w:tcBorders>
          </w:tcPr>
          <w:p>
            <w:pPr>
              <w:spacing w:after="0"/>
              <w:rPr>
                <w:sz w:val="2"/>
                <w:szCs w:val="2"/>
                <w:color w:val="auto"/>
              </w:rPr>
            </w:pPr>
          </w:p>
        </w:tc>
        <w:tc>
          <w:tcPr>
            <w:tcW w:w="8600" w:type="dxa"/>
            <w:vAlign w:val="bottom"/>
            <w:tcBorders>
              <w:right w:val="single" w:sz="8" w:color="7F7F7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320" w:type="dxa"/>
            <w:vAlign w:val="bottom"/>
            <w:tcBorders>
              <w:left w:val="single" w:sz="8" w:color="7F7F7F"/>
            </w:tcBorders>
            <w:shd w:val="clear" w:color="auto" w:fill="D8D8D8"/>
          </w:tcPr>
          <w:p>
            <w:pPr>
              <w:spacing w:after="0"/>
              <w:rPr>
                <w:sz w:val="17"/>
                <w:szCs w:val="17"/>
                <w:color w:val="auto"/>
              </w:rPr>
            </w:pPr>
          </w:p>
        </w:tc>
        <w:tc>
          <w:tcPr>
            <w:tcW w:w="8600" w:type="dxa"/>
            <w:vAlign w:val="bottom"/>
            <w:tcBorders>
              <w:right w:val="single" w:sz="8" w:color="7F7F7F"/>
            </w:tcBorders>
            <w:shd w:val="clear" w:color="auto" w:fill="D8D8D8"/>
          </w:tcPr>
          <w:p>
            <w:pPr>
              <w:ind w:left="160"/>
              <w:spacing w:after="0"/>
              <w:rPr>
                <w:sz w:val="20"/>
                <w:szCs w:val="20"/>
                <w:color w:val="auto"/>
              </w:rPr>
            </w:pPr>
            <w:r>
              <w:rPr>
                <w:rFonts w:ascii="Arial" w:cs="Arial" w:eastAsia="Arial" w:hAnsi="Arial"/>
                <w:sz w:val="13"/>
                <w:szCs w:val="13"/>
                <w:color w:val="auto"/>
              </w:rPr>
              <w:t>•  Assists the Board in fulfilling its oversight of risks that may arise in connection with Chevron’s governance practices and processes</w:t>
            </w:r>
          </w:p>
        </w:tc>
        <w:tc>
          <w:tcPr>
            <w:tcW w:w="0" w:type="dxa"/>
            <w:vAlign w:val="bottom"/>
          </w:tcPr>
          <w:p>
            <w:pPr>
              <w:spacing w:after="0"/>
              <w:rPr>
                <w:sz w:val="1"/>
                <w:szCs w:val="1"/>
                <w:color w:val="auto"/>
              </w:rPr>
            </w:pPr>
          </w:p>
        </w:tc>
      </w:tr>
      <w:tr>
        <w:trPr>
          <w:trHeight w:val="202"/>
        </w:trPr>
        <w:tc>
          <w:tcPr>
            <w:tcW w:w="2320" w:type="dxa"/>
            <w:vAlign w:val="bottom"/>
            <w:tcBorders>
              <w:left w:val="single" w:sz="8" w:color="7F7F7F"/>
            </w:tcBorders>
            <w:shd w:val="clear" w:color="auto" w:fill="D8D8D8"/>
          </w:tcPr>
          <w:p>
            <w:pPr>
              <w:ind w:left="200"/>
              <w:spacing w:after="0" w:line="202" w:lineRule="exact"/>
              <w:rPr>
                <w:sz w:val="20"/>
                <w:szCs w:val="20"/>
                <w:color w:val="auto"/>
              </w:rPr>
            </w:pPr>
            <w:r>
              <w:rPr>
                <w:rFonts w:ascii="Arial" w:cs="Arial" w:eastAsia="Arial" w:hAnsi="Arial"/>
                <w:sz w:val="18"/>
                <w:szCs w:val="18"/>
                <w:b w:val="1"/>
                <w:bCs w:val="1"/>
                <w:color w:val="0B2D71"/>
              </w:rPr>
              <w:t>Board nominating</w:t>
            </w:r>
          </w:p>
        </w:tc>
        <w:tc>
          <w:tcPr>
            <w:tcW w:w="8600" w:type="dxa"/>
            <w:vAlign w:val="bottom"/>
            <w:tcBorders>
              <w:right w:val="single" w:sz="8" w:color="7F7F7F"/>
            </w:tcBorders>
            <w:shd w:val="clear" w:color="auto" w:fill="D8D8D8"/>
          </w:tcPr>
          <w:p>
            <w:pPr>
              <w:ind w:left="160"/>
              <w:spacing w:after="0"/>
              <w:rPr>
                <w:sz w:val="20"/>
                <w:szCs w:val="20"/>
                <w:color w:val="auto"/>
              </w:rPr>
            </w:pPr>
            <w:r>
              <w:rPr>
                <w:rFonts w:ascii="Arial" w:cs="Arial" w:eastAsia="Arial" w:hAnsi="Arial"/>
                <w:sz w:val="13"/>
                <w:szCs w:val="13"/>
                <w:color w:val="auto"/>
              </w:rPr>
              <w:t>•  Conducts an annual evaluation of Chevron’s governance practices with the help of the Corporate Governance Department</w:t>
            </w:r>
          </w:p>
        </w:tc>
        <w:tc>
          <w:tcPr>
            <w:tcW w:w="0" w:type="dxa"/>
            <w:vAlign w:val="bottom"/>
          </w:tcPr>
          <w:p>
            <w:pPr>
              <w:spacing w:after="0"/>
              <w:rPr>
                <w:sz w:val="1"/>
                <w:szCs w:val="1"/>
                <w:color w:val="auto"/>
              </w:rPr>
            </w:pPr>
          </w:p>
        </w:tc>
      </w:tr>
      <w:tr>
        <w:trPr>
          <w:trHeight w:val="148"/>
        </w:trPr>
        <w:tc>
          <w:tcPr>
            <w:tcW w:w="2320" w:type="dxa"/>
            <w:vAlign w:val="bottom"/>
            <w:tcBorders>
              <w:left w:val="single" w:sz="8" w:color="7F7F7F"/>
            </w:tcBorders>
            <w:vMerge w:val="restart"/>
            <w:shd w:val="clear" w:color="auto" w:fill="D8D8D8"/>
          </w:tcPr>
          <w:p>
            <w:pPr>
              <w:ind w:left="200"/>
              <w:spacing w:after="0"/>
              <w:rPr>
                <w:sz w:val="20"/>
                <w:szCs w:val="20"/>
                <w:color w:val="auto"/>
              </w:rPr>
            </w:pPr>
            <w:r>
              <w:rPr>
                <w:rFonts w:ascii="Arial" w:cs="Arial" w:eastAsia="Arial" w:hAnsi="Arial"/>
                <w:sz w:val="18"/>
                <w:szCs w:val="18"/>
                <w:b w:val="1"/>
                <w:bCs w:val="1"/>
                <w:color w:val="0B2D71"/>
              </w:rPr>
              <w:t>and</w:t>
            </w:r>
          </w:p>
        </w:tc>
        <w:tc>
          <w:tcPr>
            <w:tcW w:w="8600" w:type="dxa"/>
            <w:vAlign w:val="bottom"/>
            <w:tcBorders>
              <w:right w:val="single" w:sz="8" w:color="7F7F7F"/>
            </w:tcBorders>
            <w:shd w:val="clear" w:color="auto" w:fill="D8D8D8"/>
          </w:tcPr>
          <w:p>
            <w:pPr>
              <w:ind w:left="160"/>
              <w:spacing w:after="0"/>
              <w:rPr>
                <w:sz w:val="20"/>
                <w:szCs w:val="20"/>
                <w:color w:val="auto"/>
              </w:rPr>
            </w:pPr>
            <w:r>
              <w:rPr>
                <w:rFonts w:ascii="Arial" w:cs="Arial" w:eastAsia="Arial" w:hAnsi="Arial"/>
                <w:sz w:val="13"/>
                <w:szCs w:val="13"/>
                <w:color w:val="auto"/>
              </w:rPr>
              <w:t>•  Discusses risk management in the context of general governance matters, including topics such as Board succession planning to</w:t>
            </w:r>
          </w:p>
        </w:tc>
        <w:tc>
          <w:tcPr>
            <w:tcW w:w="0" w:type="dxa"/>
            <w:vAlign w:val="bottom"/>
          </w:tcPr>
          <w:p>
            <w:pPr>
              <w:spacing w:after="0"/>
              <w:rPr>
                <w:sz w:val="1"/>
                <w:szCs w:val="1"/>
                <w:color w:val="auto"/>
              </w:rPr>
            </w:pPr>
          </w:p>
        </w:tc>
      </w:tr>
      <w:tr>
        <w:trPr>
          <w:trHeight w:val="75"/>
        </w:trPr>
        <w:tc>
          <w:tcPr>
            <w:tcW w:w="2320" w:type="dxa"/>
            <w:vAlign w:val="bottom"/>
            <w:tcBorders>
              <w:left w:val="single" w:sz="8" w:color="7F7F7F"/>
            </w:tcBorders>
            <w:vMerge w:val="continue"/>
            <w:shd w:val="clear" w:color="auto" w:fill="D8D8D8"/>
          </w:tcPr>
          <w:p>
            <w:pPr>
              <w:spacing w:after="0"/>
              <w:rPr>
                <w:sz w:val="6"/>
                <w:szCs w:val="6"/>
                <w:color w:val="auto"/>
              </w:rPr>
            </w:pPr>
          </w:p>
        </w:tc>
        <w:tc>
          <w:tcPr>
            <w:tcW w:w="8600" w:type="dxa"/>
            <w:vAlign w:val="bottom"/>
            <w:tcBorders>
              <w:right w:val="single" w:sz="8" w:color="7F7F7F"/>
            </w:tcBorders>
            <w:vMerge w:val="restart"/>
            <w:shd w:val="clear" w:color="auto" w:fill="D8D8D8"/>
          </w:tcPr>
          <w:p>
            <w:pPr>
              <w:ind w:left="300"/>
              <w:spacing w:after="0"/>
              <w:rPr>
                <w:sz w:val="20"/>
                <w:szCs w:val="20"/>
                <w:color w:val="auto"/>
              </w:rPr>
            </w:pPr>
            <w:r>
              <w:rPr>
                <w:rFonts w:ascii="Arial" w:cs="Arial" w:eastAsia="Arial" w:hAnsi="Arial"/>
                <w:sz w:val="13"/>
                <w:szCs w:val="13"/>
                <w:color w:val="auto"/>
              </w:rPr>
              <w:t>ensure desired skills and attributes are represented, including but not limited to diversity, business leadership, finance, policy, and</w:t>
            </w:r>
          </w:p>
        </w:tc>
        <w:tc>
          <w:tcPr>
            <w:tcW w:w="0" w:type="dxa"/>
            <w:vAlign w:val="bottom"/>
          </w:tcPr>
          <w:p>
            <w:pPr>
              <w:spacing w:after="0"/>
              <w:rPr>
                <w:sz w:val="1"/>
                <w:szCs w:val="1"/>
                <w:color w:val="auto"/>
              </w:rPr>
            </w:pPr>
          </w:p>
        </w:tc>
      </w:tr>
      <w:tr>
        <w:trPr>
          <w:trHeight w:val="74"/>
        </w:trPr>
        <w:tc>
          <w:tcPr>
            <w:tcW w:w="2320" w:type="dxa"/>
            <w:vAlign w:val="bottom"/>
            <w:tcBorders>
              <w:left w:val="single" w:sz="8" w:color="7F7F7F"/>
            </w:tcBorders>
            <w:vMerge w:val="restart"/>
            <w:shd w:val="clear" w:color="auto" w:fill="D8D8D8"/>
          </w:tcPr>
          <w:p>
            <w:pPr>
              <w:ind w:left="200"/>
              <w:spacing w:after="0"/>
              <w:rPr>
                <w:sz w:val="20"/>
                <w:szCs w:val="20"/>
                <w:color w:val="auto"/>
              </w:rPr>
            </w:pPr>
            <w:r>
              <w:rPr>
                <w:rFonts w:ascii="Arial" w:cs="Arial" w:eastAsia="Arial" w:hAnsi="Arial"/>
                <w:sz w:val="18"/>
                <w:szCs w:val="18"/>
                <w:b w:val="1"/>
                <w:bCs w:val="1"/>
                <w:color w:val="0B2D71"/>
              </w:rPr>
              <w:t>governance committee</w:t>
            </w:r>
          </w:p>
        </w:tc>
        <w:tc>
          <w:tcPr>
            <w:tcW w:w="8600" w:type="dxa"/>
            <w:vAlign w:val="bottom"/>
            <w:tcBorders>
              <w:right w:val="single" w:sz="8" w:color="7F7F7F"/>
            </w:tcBorders>
            <w:vMerge w:val="continue"/>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320" w:type="dxa"/>
            <w:vAlign w:val="bottom"/>
            <w:tcBorders>
              <w:left w:val="single" w:sz="8" w:color="7F7F7F"/>
            </w:tcBorders>
            <w:vMerge w:val="continue"/>
            <w:shd w:val="clear" w:color="auto" w:fill="D8D8D8"/>
          </w:tcPr>
          <w:p>
            <w:pPr>
              <w:spacing w:after="0"/>
              <w:rPr>
                <w:sz w:val="12"/>
                <w:szCs w:val="12"/>
                <w:color w:val="auto"/>
              </w:rPr>
            </w:pPr>
          </w:p>
        </w:tc>
        <w:tc>
          <w:tcPr>
            <w:tcW w:w="8600" w:type="dxa"/>
            <w:vAlign w:val="bottom"/>
            <w:tcBorders>
              <w:right w:val="single" w:sz="8" w:color="7F7F7F"/>
            </w:tcBorders>
            <w:shd w:val="clear" w:color="auto" w:fill="D8D8D8"/>
          </w:tcPr>
          <w:p>
            <w:pPr>
              <w:ind w:left="300"/>
              <w:spacing w:after="0"/>
              <w:rPr>
                <w:sz w:val="20"/>
                <w:szCs w:val="20"/>
                <w:color w:val="auto"/>
              </w:rPr>
            </w:pPr>
            <w:r>
              <w:rPr>
                <w:rFonts w:ascii="Arial" w:cs="Arial" w:eastAsia="Arial" w:hAnsi="Arial"/>
                <w:sz w:val="13"/>
                <w:szCs w:val="13"/>
                <w:color w:val="auto"/>
              </w:rPr>
              <w:t>environmental and climate change experience; Board and individual Director assessment; delegations of authority and internal</w:t>
            </w:r>
          </w:p>
        </w:tc>
        <w:tc>
          <w:tcPr>
            <w:tcW w:w="0" w:type="dxa"/>
            <w:vAlign w:val="bottom"/>
          </w:tcPr>
          <w:p>
            <w:pPr>
              <w:spacing w:after="0"/>
              <w:rPr>
                <w:sz w:val="1"/>
                <w:szCs w:val="1"/>
                <w:color w:val="auto"/>
              </w:rPr>
            </w:pPr>
          </w:p>
        </w:tc>
      </w:tr>
      <w:tr>
        <w:trPr>
          <w:trHeight w:val="176"/>
        </w:trPr>
        <w:tc>
          <w:tcPr>
            <w:tcW w:w="2320" w:type="dxa"/>
            <w:vAlign w:val="bottom"/>
            <w:tcBorders>
              <w:left w:val="single" w:sz="8" w:color="7F7F7F"/>
            </w:tcBorders>
            <w:shd w:val="clear" w:color="auto" w:fill="D8D8D8"/>
          </w:tcPr>
          <w:p>
            <w:pPr>
              <w:spacing w:after="0"/>
              <w:rPr>
                <w:sz w:val="15"/>
                <w:szCs w:val="15"/>
                <w:color w:val="auto"/>
              </w:rPr>
            </w:pPr>
          </w:p>
        </w:tc>
        <w:tc>
          <w:tcPr>
            <w:tcW w:w="8600" w:type="dxa"/>
            <w:vAlign w:val="bottom"/>
            <w:tcBorders>
              <w:right w:val="single" w:sz="8" w:color="7F7F7F"/>
            </w:tcBorders>
            <w:shd w:val="clear" w:color="auto" w:fill="D8D8D8"/>
          </w:tcPr>
          <w:p>
            <w:pPr>
              <w:ind w:left="300"/>
              <w:spacing w:after="0"/>
              <w:rPr>
                <w:sz w:val="20"/>
                <w:szCs w:val="20"/>
                <w:color w:val="auto"/>
              </w:rPr>
            </w:pPr>
            <w:r>
              <w:rPr>
                <w:rFonts w:ascii="Arial" w:cs="Arial" w:eastAsia="Arial" w:hAnsi="Arial"/>
                <w:sz w:val="13"/>
                <w:szCs w:val="13"/>
                <w:color w:val="auto"/>
              </w:rPr>
              <w:t>approval processes; stockholder proposals and activism; and Director and officer liability insurance</w:t>
            </w:r>
          </w:p>
        </w:tc>
        <w:tc>
          <w:tcPr>
            <w:tcW w:w="0" w:type="dxa"/>
            <w:vAlign w:val="bottom"/>
          </w:tcPr>
          <w:p>
            <w:pPr>
              <w:spacing w:after="0"/>
              <w:rPr>
                <w:sz w:val="1"/>
                <w:szCs w:val="1"/>
                <w:color w:val="auto"/>
              </w:rPr>
            </w:pPr>
          </w:p>
        </w:tc>
      </w:tr>
      <w:tr>
        <w:trPr>
          <w:trHeight w:val="161"/>
        </w:trPr>
        <w:tc>
          <w:tcPr>
            <w:tcW w:w="2320" w:type="dxa"/>
            <w:vAlign w:val="bottom"/>
            <w:tcBorders>
              <w:left w:val="single" w:sz="8" w:color="7F7F7F"/>
            </w:tcBorders>
            <w:shd w:val="clear" w:color="auto" w:fill="D8D8D8"/>
          </w:tcPr>
          <w:p>
            <w:pPr>
              <w:spacing w:after="0"/>
              <w:rPr>
                <w:sz w:val="14"/>
                <w:szCs w:val="14"/>
                <w:color w:val="auto"/>
              </w:rPr>
            </w:pPr>
          </w:p>
        </w:tc>
        <w:tc>
          <w:tcPr>
            <w:tcW w:w="8600" w:type="dxa"/>
            <w:vAlign w:val="bottom"/>
            <w:tcBorders>
              <w:right w:val="single" w:sz="8" w:color="7F7F7F"/>
            </w:tcBorders>
            <w:shd w:val="clear" w:color="auto" w:fill="D8D8D8"/>
          </w:tcPr>
          <w:p>
            <w:pPr>
              <w:ind w:left="160"/>
              <w:spacing w:after="0"/>
              <w:rPr>
                <w:sz w:val="20"/>
                <w:szCs w:val="20"/>
                <w:color w:val="auto"/>
              </w:rPr>
            </w:pPr>
            <w:r>
              <w:rPr>
                <w:rFonts w:ascii="Arial" w:cs="Arial" w:eastAsia="Arial" w:hAnsi="Arial"/>
                <w:sz w:val="13"/>
                <w:szCs w:val="13"/>
                <w:color w:val="auto"/>
              </w:rPr>
              <w:t>•  In conjunction with the Public Policy and Sustainability Committee, oversees Chevron’s stockholder engagement program and makes</w:t>
            </w:r>
          </w:p>
        </w:tc>
        <w:tc>
          <w:tcPr>
            <w:tcW w:w="0" w:type="dxa"/>
            <w:vAlign w:val="bottom"/>
          </w:tcPr>
          <w:p>
            <w:pPr>
              <w:spacing w:after="0"/>
              <w:rPr>
                <w:sz w:val="1"/>
                <w:szCs w:val="1"/>
                <w:color w:val="auto"/>
              </w:rPr>
            </w:pPr>
          </w:p>
        </w:tc>
      </w:tr>
      <w:tr>
        <w:trPr>
          <w:trHeight w:val="176"/>
        </w:trPr>
        <w:tc>
          <w:tcPr>
            <w:tcW w:w="2320" w:type="dxa"/>
            <w:vAlign w:val="bottom"/>
            <w:tcBorders>
              <w:left w:val="single" w:sz="8" w:color="7F7F7F"/>
            </w:tcBorders>
            <w:shd w:val="clear" w:color="auto" w:fill="D8D8D8"/>
          </w:tcPr>
          <w:p>
            <w:pPr>
              <w:spacing w:after="0"/>
              <w:rPr>
                <w:sz w:val="15"/>
                <w:szCs w:val="15"/>
                <w:color w:val="auto"/>
              </w:rPr>
            </w:pPr>
          </w:p>
        </w:tc>
        <w:tc>
          <w:tcPr>
            <w:tcW w:w="8600" w:type="dxa"/>
            <w:vAlign w:val="bottom"/>
            <w:tcBorders>
              <w:right w:val="single" w:sz="8" w:color="7F7F7F"/>
            </w:tcBorders>
            <w:shd w:val="clear" w:color="auto" w:fill="D8D8D8"/>
          </w:tcPr>
          <w:p>
            <w:pPr>
              <w:ind w:left="300"/>
              <w:spacing w:after="0"/>
              <w:rPr>
                <w:sz w:val="20"/>
                <w:szCs w:val="20"/>
                <w:color w:val="auto"/>
              </w:rPr>
            </w:pPr>
            <w:r>
              <w:rPr>
                <w:rFonts w:ascii="Arial" w:cs="Arial" w:eastAsia="Arial" w:hAnsi="Arial"/>
                <w:sz w:val="13"/>
                <w:szCs w:val="13"/>
                <w:color w:val="auto"/>
              </w:rPr>
              <w:t>recommendations regarding stockholder engagement</w:t>
            </w:r>
          </w:p>
        </w:tc>
        <w:tc>
          <w:tcPr>
            <w:tcW w:w="0" w:type="dxa"/>
            <w:vAlign w:val="bottom"/>
          </w:tcPr>
          <w:p>
            <w:pPr>
              <w:spacing w:after="0"/>
              <w:rPr>
                <w:sz w:val="1"/>
                <w:szCs w:val="1"/>
                <w:color w:val="auto"/>
              </w:rPr>
            </w:pPr>
          </w:p>
        </w:tc>
      </w:tr>
      <w:tr>
        <w:trPr>
          <w:trHeight w:val="220"/>
        </w:trPr>
        <w:tc>
          <w:tcPr>
            <w:tcW w:w="2320" w:type="dxa"/>
            <w:vAlign w:val="bottom"/>
            <w:tcBorders>
              <w:left w:val="single" w:sz="8" w:color="7F7F7F"/>
              <w:bottom w:val="single" w:sz="8" w:color="D8D8D8"/>
            </w:tcBorders>
            <w:shd w:val="clear" w:color="auto" w:fill="D8D8D8"/>
          </w:tcPr>
          <w:p>
            <w:pPr>
              <w:spacing w:after="0"/>
              <w:rPr>
                <w:sz w:val="18"/>
                <w:szCs w:val="18"/>
                <w:color w:val="auto"/>
              </w:rPr>
            </w:pPr>
          </w:p>
        </w:tc>
        <w:tc>
          <w:tcPr>
            <w:tcW w:w="8600" w:type="dxa"/>
            <w:vAlign w:val="bottom"/>
            <w:tcBorders>
              <w:bottom w:val="single" w:sz="8" w:color="D8D8D8"/>
              <w:right w:val="single" w:sz="8" w:color="7F7F7F"/>
            </w:tcBorders>
            <w:shd w:val="clear" w:color="auto" w:fill="D8D8D8"/>
          </w:tcPr>
          <w:p>
            <w:pPr>
              <w:ind w:left="160"/>
              <w:spacing w:after="0"/>
              <w:rPr>
                <w:sz w:val="20"/>
                <w:szCs w:val="20"/>
                <w:color w:val="auto"/>
              </w:rPr>
            </w:pPr>
            <w:r>
              <w:rPr>
                <w:rFonts w:ascii="Arial" w:cs="Arial" w:eastAsia="Arial" w:hAnsi="Arial"/>
                <w:sz w:val="13"/>
                <w:szCs w:val="13"/>
                <w:color w:val="auto"/>
              </w:rPr>
              <w:t>•  Reports its discussions to the full Board for consideration and action when appropriate</w:t>
            </w:r>
          </w:p>
        </w:tc>
        <w:tc>
          <w:tcPr>
            <w:tcW w:w="0" w:type="dxa"/>
            <w:vAlign w:val="bottom"/>
          </w:tcPr>
          <w:p>
            <w:pPr>
              <w:spacing w:after="0"/>
              <w:rPr>
                <w:sz w:val="1"/>
                <w:szCs w:val="1"/>
                <w:color w:val="auto"/>
              </w:rPr>
            </w:pPr>
          </w:p>
        </w:tc>
      </w:tr>
      <w:tr>
        <w:trPr>
          <w:trHeight w:val="198"/>
        </w:trPr>
        <w:tc>
          <w:tcPr>
            <w:tcW w:w="2320" w:type="dxa"/>
            <w:vAlign w:val="bottom"/>
            <w:tcBorders>
              <w:top w:val="single" w:sz="8" w:color="7F7F7F"/>
              <w:left w:val="single" w:sz="8" w:color="7F7F7F"/>
            </w:tcBorders>
          </w:tcPr>
          <w:p>
            <w:pPr>
              <w:spacing w:after="0"/>
              <w:rPr>
                <w:sz w:val="17"/>
                <w:szCs w:val="17"/>
                <w:color w:val="auto"/>
              </w:rPr>
            </w:pPr>
          </w:p>
        </w:tc>
        <w:tc>
          <w:tcPr>
            <w:tcW w:w="8600" w:type="dxa"/>
            <w:vAlign w:val="bottom"/>
            <w:tcBorders>
              <w:top w:val="single" w:sz="8" w:color="7F7F7F"/>
              <w:right w:val="single" w:sz="8" w:color="7F7F7F"/>
            </w:tcBorders>
          </w:tcPr>
          <w:p>
            <w:pPr>
              <w:ind w:left="160"/>
              <w:spacing w:after="0"/>
              <w:rPr>
                <w:sz w:val="20"/>
                <w:szCs w:val="20"/>
                <w:color w:val="auto"/>
              </w:rPr>
            </w:pPr>
            <w:r>
              <w:rPr>
                <w:rFonts w:ascii="Arial" w:cs="Arial" w:eastAsia="Arial" w:hAnsi="Arial"/>
                <w:sz w:val="13"/>
                <w:szCs w:val="13"/>
                <w:color w:val="auto"/>
              </w:rPr>
              <w:t>•  Assists the Board in fulfilling its oversight of risks that may arise in connection with Chevron’s compensation programs and practices</w:t>
            </w:r>
          </w:p>
        </w:tc>
        <w:tc>
          <w:tcPr>
            <w:tcW w:w="0" w:type="dxa"/>
            <w:vAlign w:val="bottom"/>
          </w:tcPr>
          <w:p>
            <w:pPr>
              <w:spacing w:after="0"/>
              <w:rPr>
                <w:sz w:val="1"/>
                <w:szCs w:val="1"/>
                <w:color w:val="auto"/>
              </w:rPr>
            </w:pPr>
          </w:p>
        </w:tc>
      </w:tr>
      <w:tr>
        <w:trPr>
          <w:trHeight w:val="201"/>
        </w:trPr>
        <w:tc>
          <w:tcPr>
            <w:tcW w:w="2320" w:type="dxa"/>
            <w:vAlign w:val="bottom"/>
            <w:tcBorders>
              <w:left w:val="single" w:sz="8" w:color="7F7F7F"/>
            </w:tcBorders>
          </w:tcPr>
          <w:p>
            <w:pPr>
              <w:ind w:left="200"/>
              <w:spacing w:after="0" w:line="201" w:lineRule="exact"/>
              <w:rPr>
                <w:sz w:val="20"/>
                <w:szCs w:val="20"/>
                <w:color w:val="auto"/>
              </w:rPr>
            </w:pPr>
            <w:r>
              <w:rPr>
                <w:rFonts w:ascii="Arial" w:cs="Arial" w:eastAsia="Arial" w:hAnsi="Arial"/>
                <w:sz w:val="18"/>
                <w:szCs w:val="18"/>
                <w:b w:val="1"/>
                <w:bCs w:val="1"/>
                <w:color w:val="0B2D71"/>
              </w:rPr>
              <w:t>Management</w:t>
            </w:r>
          </w:p>
        </w:tc>
        <w:tc>
          <w:tcPr>
            <w:tcW w:w="8600" w:type="dxa"/>
            <w:vAlign w:val="bottom"/>
            <w:tcBorders>
              <w:right w:val="single" w:sz="8" w:color="7F7F7F"/>
            </w:tcBorders>
          </w:tcPr>
          <w:p>
            <w:pPr>
              <w:ind w:left="160"/>
              <w:spacing w:after="0"/>
              <w:rPr>
                <w:sz w:val="20"/>
                <w:szCs w:val="20"/>
                <w:color w:val="auto"/>
              </w:rPr>
            </w:pPr>
            <w:r>
              <w:rPr>
                <w:rFonts w:ascii="Arial" w:cs="Arial" w:eastAsia="Arial" w:hAnsi="Arial"/>
                <w:sz w:val="13"/>
                <w:szCs w:val="13"/>
                <w:color w:val="auto"/>
              </w:rPr>
              <w:t>•  Reviews the design and goals of Chevron’s compensation programs and practices in the context of possible risks to Chevron’s</w:t>
            </w:r>
          </w:p>
        </w:tc>
        <w:tc>
          <w:tcPr>
            <w:tcW w:w="0" w:type="dxa"/>
            <w:vAlign w:val="bottom"/>
          </w:tcPr>
          <w:p>
            <w:pPr>
              <w:spacing w:after="0"/>
              <w:rPr>
                <w:sz w:val="1"/>
                <w:szCs w:val="1"/>
                <w:color w:val="auto"/>
              </w:rPr>
            </w:pPr>
          </w:p>
        </w:tc>
      </w:tr>
      <w:tr>
        <w:trPr>
          <w:trHeight w:val="109"/>
        </w:trPr>
        <w:tc>
          <w:tcPr>
            <w:tcW w:w="2320" w:type="dxa"/>
            <w:vAlign w:val="bottom"/>
            <w:tcBorders>
              <w:left w:val="single" w:sz="8" w:color="7F7F7F"/>
            </w:tcBorders>
            <w:vMerge w:val="restart"/>
          </w:tcPr>
          <w:p>
            <w:pPr>
              <w:ind w:left="200"/>
              <w:spacing w:after="0"/>
              <w:rPr>
                <w:sz w:val="20"/>
                <w:szCs w:val="20"/>
                <w:color w:val="auto"/>
              </w:rPr>
            </w:pPr>
            <w:r>
              <w:rPr>
                <w:rFonts w:ascii="Arial" w:cs="Arial" w:eastAsia="Arial" w:hAnsi="Arial"/>
                <w:sz w:val="18"/>
                <w:szCs w:val="18"/>
                <w:b w:val="1"/>
                <w:bCs w:val="1"/>
                <w:color w:val="0B2D71"/>
              </w:rPr>
              <w:t>compensation</w:t>
            </w:r>
          </w:p>
        </w:tc>
        <w:tc>
          <w:tcPr>
            <w:tcW w:w="8600" w:type="dxa"/>
            <w:vAlign w:val="bottom"/>
            <w:tcBorders>
              <w:right w:val="single" w:sz="8" w:color="7F7F7F"/>
            </w:tcBorders>
          </w:tcPr>
          <w:p>
            <w:pPr>
              <w:ind w:left="300"/>
              <w:spacing w:after="0" w:line="109" w:lineRule="exact"/>
              <w:rPr>
                <w:sz w:val="20"/>
                <w:szCs w:val="20"/>
                <w:color w:val="auto"/>
              </w:rPr>
            </w:pPr>
            <w:r>
              <w:rPr>
                <w:rFonts w:ascii="Arial" w:cs="Arial" w:eastAsia="Arial" w:hAnsi="Arial"/>
                <w:sz w:val="12"/>
                <w:szCs w:val="12"/>
                <w:color w:val="auto"/>
              </w:rPr>
              <w:t>financial and reputational well-being, and alignment with stockholders’ interests, including those related to sustainability and climate</w:t>
            </w:r>
          </w:p>
        </w:tc>
        <w:tc>
          <w:tcPr>
            <w:tcW w:w="0" w:type="dxa"/>
            <w:vAlign w:val="bottom"/>
          </w:tcPr>
          <w:p>
            <w:pPr>
              <w:spacing w:after="0"/>
              <w:rPr>
                <w:sz w:val="1"/>
                <w:szCs w:val="1"/>
                <w:color w:val="auto"/>
              </w:rPr>
            </w:pPr>
          </w:p>
        </w:tc>
      </w:tr>
      <w:tr>
        <w:trPr>
          <w:trHeight w:val="134"/>
        </w:trPr>
        <w:tc>
          <w:tcPr>
            <w:tcW w:w="2320" w:type="dxa"/>
            <w:vAlign w:val="bottom"/>
            <w:tcBorders>
              <w:left w:val="single" w:sz="8" w:color="7F7F7F"/>
            </w:tcBorders>
            <w:vMerge w:val="continue"/>
          </w:tcPr>
          <w:p>
            <w:pPr>
              <w:spacing w:after="0"/>
              <w:rPr>
                <w:sz w:val="11"/>
                <w:szCs w:val="11"/>
                <w:color w:val="auto"/>
              </w:rPr>
            </w:pPr>
          </w:p>
        </w:tc>
        <w:tc>
          <w:tcPr>
            <w:tcW w:w="8600" w:type="dxa"/>
            <w:vAlign w:val="bottom"/>
            <w:tcBorders>
              <w:right w:val="single" w:sz="8" w:color="7F7F7F"/>
            </w:tcBorders>
          </w:tcPr>
          <w:p>
            <w:pPr>
              <w:ind w:left="300"/>
              <w:spacing w:after="0" w:line="134" w:lineRule="exact"/>
              <w:rPr>
                <w:sz w:val="20"/>
                <w:szCs w:val="20"/>
                <w:color w:val="auto"/>
              </w:rPr>
            </w:pPr>
            <w:r>
              <w:rPr>
                <w:rFonts w:ascii="Arial" w:cs="Arial" w:eastAsia="Arial" w:hAnsi="Arial"/>
                <w:sz w:val="13"/>
                <w:szCs w:val="13"/>
                <w:color w:val="auto"/>
              </w:rPr>
              <w:t>change risks and opportunities</w:t>
            </w:r>
          </w:p>
        </w:tc>
        <w:tc>
          <w:tcPr>
            <w:tcW w:w="0" w:type="dxa"/>
            <w:vAlign w:val="bottom"/>
          </w:tcPr>
          <w:p>
            <w:pPr>
              <w:spacing w:after="0"/>
              <w:rPr>
                <w:sz w:val="1"/>
                <w:szCs w:val="1"/>
                <w:color w:val="auto"/>
              </w:rPr>
            </w:pPr>
          </w:p>
        </w:tc>
      </w:tr>
      <w:tr>
        <w:trPr>
          <w:trHeight w:val="244"/>
        </w:trPr>
        <w:tc>
          <w:tcPr>
            <w:tcW w:w="2320" w:type="dxa"/>
            <w:vAlign w:val="bottom"/>
            <w:tcBorders>
              <w:left w:val="single" w:sz="8" w:color="7F7F7F"/>
            </w:tcBorders>
          </w:tcPr>
          <w:p>
            <w:pPr>
              <w:ind w:left="200"/>
              <w:spacing w:after="0"/>
              <w:rPr>
                <w:sz w:val="20"/>
                <w:szCs w:val="20"/>
                <w:color w:val="auto"/>
              </w:rPr>
            </w:pPr>
            <w:r>
              <w:rPr>
                <w:rFonts w:ascii="Arial" w:cs="Arial" w:eastAsia="Arial" w:hAnsi="Arial"/>
                <w:sz w:val="18"/>
                <w:szCs w:val="18"/>
                <w:b w:val="1"/>
                <w:bCs w:val="1"/>
                <w:color w:val="0B2D71"/>
              </w:rPr>
              <w:t>committee</w:t>
            </w:r>
          </w:p>
        </w:tc>
        <w:tc>
          <w:tcPr>
            <w:tcW w:w="8600" w:type="dxa"/>
            <w:vAlign w:val="bottom"/>
            <w:tcBorders>
              <w:right w:val="single" w:sz="8" w:color="7F7F7F"/>
            </w:tcBorders>
          </w:tcPr>
          <w:p>
            <w:pPr>
              <w:ind w:left="160"/>
              <w:spacing w:after="0"/>
              <w:rPr>
                <w:sz w:val="20"/>
                <w:szCs w:val="20"/>
                <w:color w:val="auto"/>
              </w:rPr>
            </w:pPr>
            <w:r>
              <w:rPr>
                <w:rFonts w:ascii="Arial" w:cs="Arial" w:eastAsia="Arial" w:hAnsi="Arial"/>
                <w:sz w:val="13"/>
                <w:szCs w:val="13"/>
                <w:color w:val="auto"/>
              </w:rPr>
              <w:t>•  Reviews Chevron’s strategies and supporting processes for executive retention and diversity</w:t>
            </w:r>
          </w:p>
        </w:tc>
        <w:tc>
          <w:tcPr>
            <w:tcW w:w="0" w:type="dxa"/>
            <w:vAlign w:val="bottom"/>
          </w:tcPr>
          <w:p>
            <w:pPr>
              <w:spacing w:after="0"/>
              <w:rPr>
                <w:sz w:val="1"/>
                <w:szCs w:val="1"/>
                <w:color w:val="auto"/>
              </w:rPr>
            </w:pPr>
          </w:p>
        </w:tc>
      </w:tr>
      <w:tr>
        <w:trPr>
          <w:trHeight w:val="176"/>
        </w:trPr>
        <w:tc>
          <w:tcPr>
            <w:tcW w:w="2320" w:type="dxa"/>
            <w:vAlign w:val="bottom"/>
            <w:tcBorders>
              <w:left w:val="single" w:sz="8" w:color="7F7F7F"/>
            </w:tcBorders>
          </w:tcPr>
          <w:p>
            <w:pPr>
              <w:spacing w:after="0"/>
              <w:rPr>
                <w:sz w:val="15"/>
                <w:szCs w:val="15"/>
                <w:color w:val="auto"/>
              </w:rPr>
            </w:pPr>
          </w:p>
        </w:tc>
        <w:tc>
          <w:tcPr>
            <w:tcW w:w="8600" w:type="dxa"/>
            <w:vAlign w:val="bottom"/>
            <w:tcBorders>
              <w:right w:val="single" w:sz="8" w:color="7F7F7F"/>
            </w:tcBorders>
          </w:tcPr>
          <w:p>
            <w:pPr>
              <w:ind w:left="160"/>
              <w:spacing w:after="0"/>
              <w:rPr>
                <w:sz w:val="20"/>
                <w:szCs w:val="20"/>
                <w:color w:val="auto"/>
              </w:rPr>
            </w:pPr>
            <w:r>
              <w:rPr>
                <w:rFonts w:ascii="Arial" w:cs="Arial" w:eastAsia="Arial" w:hAnsi="Arial"/>
                <w:sz w:val="13"/>
                <w:szCs w:val="13"/>
                <w:color w:val="auto"/>
              </w:rPr>
              <w:t>•  Reports its discussions to the full Board for consideration and action when appropriate</w:t>
            </w:r>
          </w:p>
        </w:tc>
        <w:tc>
          <w:tcPr>
            <w:tcW w:w="0" w:type="dxa"/>
            <w:vAlign w:val="bottom"/>
          </w:tcPr>
          <w:p>
            <w:pPr>
              <w:spacing w:after="0"/>
              <w:rPr>
                <w:sz w:val="1"/>
                <w:szCs w:val="1"/>
                <w:color w:val="auto"/>
              </w:rPr>
            </w:pPr>
          </w:p>
        </w:tc>
      </w:tr>
      <w:tr>
        <w:trPr>
          <w:trHeight w:val="25"/>
        </w:trPr>
        <w:tc>
          <w:tcPr>
            <w:tcW w:w="2320" w:type="dxa"/>
            <w:vAlign w:val="bottom"/>
            <w:tcBorders>
              <w:left w:val="single" w:sz="8" w:color="7F7F7F"/>
              <w:bottom w:val="single" w:sz="8" w:color="7F7F7F"/>
            </w:tcBorders>
          </w:tcPr>
          <w:p>
            <w:pPr>
              <w:spacing w:after="0"/>
              <w:rPr>
                <w:sz w:val="2"/>
                <w:szCs w:val="2"/>
                <w:color w:val="auto"/>
              </w:rPr>
            </w:pPr>
          </w:p>
        </w:tc>
        <w:tc>
          <w:tcPr>
            <w:tcW w:w="8600" w:type="dxa"/>
            <w:vAlign w:val="bottom"/>
            <w:tcBorders>
              <w:bottom w:val="single" w:sz="8" w:color="7F7F7F"/>
              <w:right w:val="single" w:sz="8" w:color="7F7F7F"/>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320" w:type="dxa"/>
            <w:vAlign w:val="bottom"/>
            <w:tcBorders>
              <w:left w:val="single" w:sz="8" w:color="7F7F7F"/>
            </w:tcBorders>
            <w:shd w:val="clear" w:color="auto" w:fill="D8D8D8"/>
          </w:tcPr>
          <w:p>
            <w:pPr>
              <w:spacing w:after="0"/>
              <w:rPr>
                <w:sz w:val="14"/>
                <w:szCs w:val="14"/>
                <w:color w:val="auto"/>
              </w:rPr>
            </w:pPr>
          </w:p>
        </w:tc>
        <w:tc>
          <w:tcPr>
            <w:tcW w:w="8600" w:type="dxa"/>
            <w:vAlign w:val="bottom"/>
            <w:tcBorders>
              <w:right w:val="single" w:sz="8" w:color="7F7F7F"/>
            </w:tcBorders>
            <w:shd w:val="clear" w:color="auto" w:fill="D8D8D8"/>
          </w:tcPr>
          <w:p>
            <w:pPr>
              <w:ind w:left="160"/>
              <w:spacing w:after="0"/>
              <w:rPr>
                <w:sz w:val="20"/>
                <w:szCs w:val="20"/>
                <w:color w:val="auto"/>
              </w:rPr>
            </w:pPr>
            <w:r>
              <w:rPr>
                <w:rFonts w:ascii="Arial" w:cs="Arial" w:eastAsia="Arial" w:hAnsi="Arial"/>
                <w:sz w:val="13"/>
                <w:szCs w:val="13"/>
                <w:color w:val="auto"/>
              </w:rPr>
              <w:t>•  Assists the Board in fulfilling its oversight of risks that may arise in connection with the social, political, environmental, human rights,</w:t>
            </w:r>
          </w:p>
        </w:tc>
        <w:tc>
          <w:tcPr>
            <w:tcW w:w="0" w:type="dxa"/>
            <w:vAlign w:val="bottom"/>
          </w:tcPr>
          <w:p>
            <w:pPr>
              <w:spacing w:after="0"/>
              <w:rPr>
                <w:sz w:val="1"/>
                <w:szCs w:val="1"/>
                <w:color w:val="auto"/>
              </w:rPr>
            </w:pPr>
          </w:p>
        </w:tc>
      </w:tr>
      <w:tr>
        <w:trPr>
          <w:trHeight w:val="176"/>
        </w:trPr>
        <w:tc>
          <w:tcPr>
            <w:tcW w:w="2320" w:type="dxa"/>
            <w:vAlign w:val="bottom"/>
            <w:tcBorders>
              <w:left w:val="single" w:sz="8" w:color="7F7F7F"/>
            </w:tcBorders>
            <w:vMerge w:val="restart"/>
            <w:shd w:val="clear" w:color="auto" w:fill="D8D8D8"/>
          </w:tcPr>
          <w:p>
            <w:pPr>
              <w:ind w:left="200"/>
              <w:spacing w:after="0"/>
              <w:rPr>
                <w:sz w:val="20"/>
                <w:szCs w:val="20"/>
                <w:color w:val="auto"/>
              </w:rPr>
            </w:pPr>
            <w:r>
              <w:rPr>
                <w:rFonts w:ascii="Arial" w:cs="Arial" w:eastAsia="Arial" w:hAnsi="Arial"/>
                <w:sz w:val="18"/>
                <w:szCs w:val="18"/>
                <w:b w:val="1"/>
                <w:bCs w:val="1"/>
                <w:color w:val="0B2D71"/>
              </w:rPr>
              <w:t>Public policy and</w:t>
            </w:r>
          </w:p>
        </w:tc>
        <w:tc>
          <w:tcPr>
            <w:tcW w:w="8600" w:type="dxa"/>
            <w:vAlign w:val="bottom"/>
            <w:tcBorders>
              <w:right w:val="single" w:sz="8" w:color="7F7F7F"/>
            </w:tcBorders>
            <w:shd w:val="clear" w:color="auto" w:fill="D8D8D8"/>
          </w:tcPr>
          <w:p>
            <w:pPr>
              <w:ind w:left="300"/>
              <w:spacing w:after="0"/>
              <w:rPr>
                <w:sz w:val="20"/>
                <w:szCs w:val="20"/>
                <w:color w:val="auto"/>
              </w:rPr>
            </w:pPr>
            <w:r>
              <w:rPr>
                <w:rFonts w:ascii="Arial" w:cs="Arial" w:eastAsia="Arial" w:hAnsi="Arial"/>
                <w:sz w:val="13"/>
                <w:szCs w:val="13"/>
                <w:color w:val="auto"/>
              </w:rPr>
              <w:t>and public policy aspects of Chevron’s business and the communities in which it operates</w:t>
            </w:r>
          </w:p>
        </w:tc>
        <w:tc>
          <w:tcPr>
            <w:tcW w:w="0" w:type="dxa"/>
            <w:vAlign w:val="bottom"/>
          </w:tcPr>
          <w:p>
            <w:pPr>
              <w:spacing w:after="0"/>
              <w:rPr>
                <w:sz w:val="1"/>
                <w:szCs w:val="1"/>
                <w:color w:val="auto"/>
              </w:rPr>
            </w:pPr>
          </w:p>
        </w:tc>
      </w:tr>
      <w:tr>
        <w:trPr>
          <w:trHeight w:val="74"/>
        </w:trPr>
        <w:tc>
          <w:tcPr>
            <w:tcW w:w="2320" w:type="dxa"/>
            <w:vAlign w:val="bottom"/>
            <w:tcBorders>
              <w:left w:val="single" w:sz="8" w:color="7F7F7F"/>
            </w:tcBorders>
            <w:vMerge w:val="continue"/>
            <w:shd w:val="clear" w:color="auto" w:fill="D8D8D8"/>
          </w:tcPr>
          <w:p>
            <w:pPr>
              <w:spacing w:after="0"/>
              <w:rPr>
                <w:sz w:val="6"/>
                <w:szCs w:val="6"/>
                <w:color w:val="auto"/>
              </w:rPr>
            </w:pPr>
          </w:p>
        </w:tc>
        <w:tc>
          <w:tcPr>
            <w:tcW w:w="8600" w:type="dxa"/>
            <w:vAlign w:val="bottom"/>
            <w:tcBorders>
              <w:right w:val="single" w:sz="8" w:color="7F7F7F"/>
            </w:tcBorders>
            <w:vMerge w:val="restart"/>
            <w:shd w:val="clear" w:color="auto" w:fill="D8D8D8"/>
          </w:tcPr>
          <w:p>
            <w:pPr>
              <w:ind w:left="160"/>
              <w:spacing w:after="0"/>
              <w:rPr>
                <w:sz w:val="20"/>
                <w:szCs w:val="20"/>
                <w:color w:val="auto"/>
              </w:rPr>
            </w:pPr>
            <w:r>
              <w:rPr>
                <w:rFonts w:ascii="Arial" w:cs="Arial" w:eastAsia="Arial" w:hAnsi="Arial"/>
                <w:sz w:val="13"/>
                <w:szCs w:val="13"/>
                <w:color w:val="auto"/>
              </w:rPr>
              <w:t>•  Provides oversight and guidance on and receives reports regarding environmental matters, including those related to sustainability and</w:t>
            </w:r>
          </w:p>
        </w:tc>
        <w:tc>
          <w:tcPr>
            <w:tcW w:w="0" w:type="dxa"/>
            <w:vAlign w:val="bottom"/>
          </w:tcPr>
          <w:p>
            <w:pPr>
              <w:spacing w:after="0"/>
              <w:rPr>
                <w:sz w:val="1"/>
                <w:szCs w:val="1"/>
                <w:color w:val="auto"/>
              </w:rPr>
            </w:pPr>
          </w:p>
        </w:tc>
      </w:tr>
      <w:tr>
        <w:trPr>
          <w:trHeight w:val="87"/>
        </w:trPr>
        <w:tc>
          <w:tcPr>
            <w:tcW w:w="2320" w:type="dxa"/>
            <w:vAlign w:val="bottom"/>
            <w:tcBorders>
              <w:left w:val="single" w:sz="8" w:color="7F7F7F"/>
            </w:tcBorders>
            <w:vMerge w:val="restart"/>
            <w:shd w:val="clear" w:color="auto" w:fill="D8D8D8"/>
          </w:tcPr>
          <w:p>
            <w:pPr>
              <w:ind w:left="200"/>
              <w:spacing w:after="0"/>
              <w:rPr>
                <w:sz w:val="20"/>
                <w:szCs w:val="20"/>
                <w:color w:val="auto"/>
              </w:rPr>
            </w:pPr>
            <w:r>
              <w:rPr>
                <w:rFonts w:ascii="Arial" w:cs="Arial" w:eastAsia="Arial" w:hAnsi="Arial"/>
                <w:sz w:val="18"/>
                <w:szCs w:val="18"/>
                <w:b w:val="1"/>
                <w:bCs w:val="1"/>
                <w:color w:val="0B2D71"/>
              </w:rPr>
              <w:t>sustainability</w:t>
            </w:r>
          </w:p>
        </w:tc>
        <w:tc>
          <w:tcPr>
            <w:tcW w:w="8600" w:type="dxa"/>
            <w:vAlign w:val="bottom"/>
            <w:tcBorders>
              <w:right w:val="single" w:sz="8" w:color="7F7F7F"/>
            </w:tcBorders>
            <w:vMerge w:val="continue"/>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320" w:type="dxa"/>
            <w:vAlign w:val="bottom"/>
            <w:tcBorders>
              <w:left w:val="single" w:sz="8" w:color="7F7F7F"/>
            </w:tcBorders>
            <w:vMerge w:val="continue"/>
            <w:shd w:val="clear" w:color="auto" w:fill="D8D8D8"/>
          </w:tcPr>
          <w:p>
            <w:pPr>
              <w:spacing w:after="0"/>
              <w:rPr>
                <w:sz w:val="11"/>
                <w:szCs w:val="11"/>
                <w:color w:val="auto"/>
              </w:rPr>
            </w:pPr>
          </w:p>
        </w:tc>
        <w:tc>
          <w:tcPr>
            <w:tcW w:w="8600" w:type="dxa"/>
            <w:vAlign w:val="bottom"/>
            <w:tcBorders>
              <w:right w:val="single" w:sz="8" w:color="7F7F7F"/>
            </w:tcBorders>
            <w:shd w:val="clear" w:color="auto" w:fill="D8D8D8"/>
          </w:tcPr>
          <w:p>
            <w:pPr>
              <w:ind w:left="300"/>
              <w:spacing w:after="0" w:line="134" w:lineRule="exact"/>
              <w:rPr>
                <w:sz w:val="20"/>
                <w:szCs w:val="20"/>
                <w:color w:val="auto"/>
              </w:rPr>
            </w:pPr>
            <w:r>
              <w:rPr>
                <w:rFonts w:ascii="Arial" w:cs="Arial" w:eastAsia="Arial" w:hAnsi="Arial"/>
                <w:sz w:val="13"/>
                <w:szCs w:val="13"/>
                <w:color w:val="auto"/>
              </w:rPr>
              <w:t>climate change, in connection with Chevron’s projects and operations</w:t>
            </w:r>
          </w:p>
        </w:tc>
        <w:tc>
          <w:tcPr>
            <w:tcW w:w="0" w:type="dxa"/>
            <w:vAlign w:val="bottom"/>
          </w:tcPr>
          <w:p>
            <w:pPr>
              <w:spacing w:after="0"/>
              <w:rPr>
                <w:sz w:val="1"/>
                <w:szCs w:val="1"/>
                <w:color w:val="auto"/>
              </w:rPr>
            </w:pPr>
          </w:p>
        </w:tc>
      </w:tr>
      <w:tr>
        <w:trPr>
          <w:trHeight w:val="203"/>
        </w:trPr>
        <w:tc>
          <w:tcPr>
            <w:tcW w:w="2320" w:type="dxa"/>
            <w:vAlign w:val="bottom"/>
            <w:tcBorders>
              <w:left w:val="single" w:sz="8" w:color="7F7F7F"/>
            </w:tcBorders>
            <w:shd w:val="clear" w:color="auto" w:fill="D8D8D8"/>
          </w:tcPr>
          <w:p>
            <w:pPr>
              <w:ind w:left="200"/>
              <w:spacing w:after="0" w:line="203" w:lineRule="exact"/>
              <w:rPr>
                <w:sz w:val="20"/>
                <w:szCs w:val="20"/>
                <w:color w:val="auto"/>
              </w:rPr>
            </w:pPr>
            <w:r>
              <w:rPr>
                <w:rFonts w:ascii="Arial" w:cs="Arial" w:eastAsia="Arial" w:hAnsi="Arial"/>
                <w:sz w:val="18"/>
                <w:szCs w:val="18"/>
                <w:b w:val="1"/>
                <w:bCs w:val="1"/>
                <w:color w:val="0B2D71"/>
              </w:rPr>
              <w:t>committee</w:t>
            </w:r>
          </w:p>
        </w:tc>
        <w:tc>
          <w:tcPr>
            <w:tcW w:w="8600" w:type="dxa"/>
            <w:vAlign w:val="bottom"/>
            <w:tcBorders>
              <w:right w:val="single" w:sz="8" w:color="7F7F7F"/>
            </w:tcBorders>
            <w:shd w:val="clear" w:color="auto" w:fill="D8D8D8"/>
          </w:tcPr>
          <w:p>
            <w:pPr>
              <w:ind w:left="160"/>
              <w:spacing w:after="0"/>
              <w:rPr>
                <w:sz w:val="20"/>
                <w:szCs w:val="20"/>
                <w:color w:val="auto"/>
              </w:rPr>
            </w:pPr>
            <w:r>
              <w:rPr>
                <w:rFonts w:ascii="Arial" w:cs="Arial" w:eastAsia="Arial" w:hAnsi="Arial"/>
                <w:sz w:val="13"/>
                <w:szCs w:val="13"/>
                <w:color w:val="auto"/>
              </w:rPr>
              <w:t>•  Discusses risk management in the context of, among other things, legislative and regulatory initiatives (including political activities such</w:t>
            </w:r>
          </w:p>
        </w:tc>
        <w:tc>
          <w:tcPr>
            <w:tcW w:w="0" w:type="dxa"/>
            <w:vAlign w:val="bottom"/>
          </w:tcPr>
          <w:p>
            <w:pPr>
              <w:spacing w:after="0"/>
              <w:rPr>
                <w:sz w:val="1"/>
                <w:szCs w:val="1"/>
                <w:color w:val="auto"/>
              </w:rPr>
            </w:pPr>
          </w:p>
        </w:tc>
      </w:tr>
      <w:tr>
        <w:trPr>
          <w:trHeight w:val="149"/>
        </w:trPr>
        <w:tc>
          <w:tcPr>
            <w:tcW w:w="2320" w:type="dxa"/>
            <w:vAlign w:val="bottom"/>
            <w:tcBorders>
              <w:left w:val="single" w:sz="8" w:color="7F7F7F"/>
            </w:tcBorders>
            <w:shd w:val="clear" w:color="auto" w:fill="D8D8D8"/>
          </w:tcPr>
          <w:p>
            <w:pPr>
              <w:spacing w:after="0"/>
              <w:rPr>
                <w:sz w:val="12"/>
                <w:szCs w:val="12"/>
                <w:color w:val="auto"/>
              </w:rPr>
            </w:pPr>
          </w:p>
        </w:tc>
        <w:tc>
          <w:tcPr>
            <w:tcW w:w="8600" w:type="dxa"/>
            <w:vAlign w:val="bottom"/>
            <w:tcBorders>
              <w:right w:val="single" w:sz="8" w:color="7F7F7F"/>
            </w:tcBorders>
            <w:shd w:val="clear" w:color="auto" w:fill="D8D8D8"/>
          </w:tcPr>
          <w:p>
            <w:pPr>
              <w:ind w:left="300"/>
              <w:spacing w:after="0"/>
              <w:rPr>
                <w:sz w:val="20"/>
                <w:szCs w:val="20"/>
                <w:color w:val="auto"/>
              </w:rPr>
            </w:pPr>
            <w:r>
              <w:rPr>
                <w:rFonts w:ascii="Arial" w:cs="Arial" w:eastAsia="Arial" w:hAnsi="Arial"/>
                <w:sz w:val="13"/>
                <w:szCs w:val="13"/>
                <w:color w:val="auto"/>
              </w:rPr>
              <w:t>as political contributions and lobbying), safety and environmental stewardship, community relations, government and nongovernmental</w:t>
            </w:r>
          </w:p>
        </w:tc>
        <w:tc>
          <w:tcPr>
            <w:tcW w:w="0" w:type="dxa"/>
            <w:vAlign w:val="bottom"/>
          </w:tcPr>
          <w:p>
            <w:pPr>
              <w:spacing w:after="0"/>
              <w:rPr>
                <w:sz w:val="1"/>
                <w:szCs w:val="1"/>
                <w:color w:val="auto"/>
              </w:rPr>
            </w:pPr>
          </w:p>
        </w:tc>
      </w:tr>
      <w:tr>
        <w:trPr>
          <w:trHeight w:val="176"/>
        </w:trPr>
        <w:tc>
          <w:tcPr>
            <w:tcW w:w="2320" w:type="dxa"/>
            <w:vAlign w:val="bottom"/>
            <w:tcBorders>
              <w:left w:val="single" w:sz="8" w:color="7F7F7F"/>
            </w:tcBorders>
            <w:shd w:val="clear" w:color="auto" w:fill="D8D8D8"/>
          </w:tcPr>
          <w:p>
            <w:pPr>
              <w:spacing w:after="0"/>
              <w:rPr>
                <w:sz w:val="15"/>
                <w:szCs w:val="15"/>
                <w:color w:val="auto"/>
              </w:rPr>
            </w:pPr>
          </w:p>
        </w:tc>
        <w:tc>
          <w:tcPr>
            <w:tcW w:w="8600" w:type="dxa"/>
            <w:vAlign w:val="bottom"/>
            <w:tcBorders>
              <w:right w:val="single" w:sz="8" w:color="7F7F7F"/>
            </w:tcBorders>
            <w:shd w:val="clear" w:color="auto" w:fill="D8D8D8"/>
          </w:tcPr>
          <w:p>
            <w:pPr>
              <w:ind w:left="300"/>
              <w:spacing w:after="0"/>
              <w:rPr>
                <w:sz w:val="20"/>
                <w:szCs w:val="20"/>
                <w:color w:val="auto"/>
              </w:rPr>
            </w:pPr>
            <w:r>
              <w:rPr>
                <w:rFonts w:ascii="Arial" w:cs="Arial" w:eastAsia="Arial" w:hAnsi="Arial"/>
                <w:sz w:val="13"/>
                <w:szCs w:val="13"/>
                <w:color w:val="auto"/>
              </w:rPr>
              <w:t>organization relations, and Chevron’s global reputation</w:t>
            </w:r>
          </w:p>
        </w:tc>
        <w:tc>
          <w:tcPr>
            <w:tcW w:w="0" w:type="dxa"/>
            <w:vAlign w:val="bottom"/>
          </w:tcPr>
          <w:p>
            <w:pPr>
              <w:spacing w:after="0"/>
              <w:rPr>
                <w:sz w:val="1"/>
                <w:szCs w:val="1"/>
                <w:color w:val="auto"/>
              </w:rPr>
            </w:pPr>
          </w:p>
        </w:tc>
      </w:tr>
      <w:tr>
        <w:trPr>
          <w:trHeight w:val="161"/>
        </w:trPr>
        <w:tc>
          <w:tcPr>
            <w:tcW w:w="2320" w:type="dxa"/>
            <w:vAlign w:val="bottom"/>
            <w:tcBorders>
              <w:left w:val="single" w:sz="8" w:color="7F7F7F"/>
            </w:tcBorders>
            <w:shd w:val="clear" w:color="auto" w:fill="D8D8D8"/>
          </w:tcPr>
          <w:p>
            <w:pPr>
              <w:spacing w:after="0"/>
              <w:rPr>
                <w:sz w:val="14"/>
                <w:szCs w:val="14"/>
                <w:color w:val="auto"/>
              </w:rPr>
            </w:pPr>
          </w:p>
        </w:tc>
        <w:tc>
          <w:tcPr>
            <w:tcW w:w="8600" w:type="dxa"/>
            <w:vAlign w:val="bottom"/>
            <w:tcBorders>
              <w:right w:val="single" w:sz="8" w:color="7F7F7F"/>
            </w:tcBorders>
            <w:shd w:val="clear" w:color="auto" w:fill="D8D8D8"/>
          </w:tcPr>
          <w:p>
            <w:pPr>
              <w:ind w:left="160"/>
              <w:spacing w:after="0"/>
              <w:rPr>
                <w:sz w:val="20"/>
                <w:szCs w:val="20"/>
                <w:color w:val="auto"/>
              </w:rPr>
            </w:pPr>
            <w:r>
              <w:rPr>
                <w:rFonts w:ascii="Arial" w:cs="Arial" w:eastAsia="Arial" w:hAnsi="Arial"/>
                <w:sz w:val="13"/>
                <w:szCs w:val="13"/>
                <w:color w:val="auto"/>
              </w:rPr>
              <w:t>•  In conjunction with the Governance Committee, oversees Chevron’s stockholder engagement program and makes recommendations</w:t>
            </w:r>
          </w:p>
        </w:tc>
        <w:tc>
          <w:tcPr>
            <w:tcW w:w="0" w:type="dxa"/>
            <w:vAlign w:val="bottom"/>
          </w:tcPr>
          <w:p>
            <w:pPr>
              <w:spacing w:after="0"/>
              <w:rPr>
                <w:sz w:val="1"/>
                <w:szCs w:val="1"/>
                <w:color w:val="auto"/>
              </w:rPr>
            </w:pPr>
          </w:p>
        </w:tc>
      </w:tr>
      <w:tr>
        <w:trPr>
          <w:trHeight w:val="176"/>
        </w:trPr>
        <w:tc>
          <w:tcPr>
            <w:tcW w:w="2320" w:type="dxa"/>
            <w:vAlign w:val="bottom"/>
            <w:tcBorders>
              <w:left w:val="single" w:sz="8" w:color="7F7F7F"/>
            </w:tcBorders>
            <w:shd w:val="clear" w:color="auto" w:fill="D8D8D8"/>
          </w:tcPr>
          <w:p>
            <w:pPr>
              <w:spacing w:after="0"/>
              <w:rPr>
                <w:sz w:val="15"/>
                <w:szCs w:val="15"/>
                <w:color w:val="auto"/>
              </w:rPr>
            </w:pPr>
          </w:p>
        </w:tc>
        <w:tc>
          <w:tcPr>
            <w:tcW w:w="8600" w:type="dxa"/>
            <w:vAlign w:val="bottom"/>
            <w:tcBorders>
              <w:right w:val="single" w:sz="8" w:color="7F7F7F"/>
            </w:tcBorders>
            <w:shd w:val="clear" w:color="auto" w:fill="D8D8D8"/>
          </w:tcPr>
          <w:p>
            <w:pPr>
              <w:ind w:left="300"/>
              <w:spacing w:after="0"/>
              <w:rPr>
                <w:sz w:val="20"/>
                <w:szCs w:val="20"/>
                <w:color w:val="auto"/>
              </w:rPr>
            </w:pPr>
            <w:r>
              <w:rPr>
                <w:rFonts w:ascii="Arial" w:cs="Arial" w:eastAsia="Arial" w:hAnsi="Arial"/>
                <w:sz w:val="13"/>
                <w:szCs w:val="13"/>
                <w:color w:val="auto"/>
              </w:rPr>
              <w:t>regarding stockholder engagement</w:t>
            </w:r>
          </w:p>
        </w:tc>
        <w:tc>
          <w:tcPr>
            <w:tcW w:w="0" w:type="dxa"/>
            <w:vAlign w:val="bottom"/>
          </w:tcPr>
          <w:p>
            <w:pPr>
              <w:spacing w:after="0"/>
              <w:rPr>
                <w:sz w:val="1"/>
                <w:szCs w:val="1"/>
                <w:color w:val="auto"/>
              </w:rPr>
            </w:pPr>
          </w:p>
        </w:tc>
      </w:tr>
      <w:tr>
        <w:trPr>
          <w:trHeight w:val="219"/>
        </w:trPr>
        <w:tc>
          <w:tcPr>
            <w:tcW w:w="2320" w:type="dxa"/>
            <w:vAlign w:val="bottom"/>
            <w:tcBorders>
              <w:left w:val="single" w:sz="8" w:color="7F7F7F"/>
              <w:bottom w:val="single" w:sz="8" w:color="D8D8D8"/>
            </w:tcBorders>
            <w:shd w:val="clear" w:color="auto" w:fill="D8D8D8"/>
          </w:tcPr>
          <w:p>
            <w:pPr>
              <w:spacing w:after="0"/>
              <w:rPr>
                <w:sz w:val="18"/>
                <w:szCs w:val="18"/>
                <w:color w:val="auto"/>
              </w:rPr>
            </w:pPr>
          </w:p>
        </w:tc>
        <w:tc>
          <w:tcPr>
            <w:tcW w:w="8600" w:type="dxa"/>
            <w:vAlign w:val="bottom"/>
            <w:tcBorders>
              <w:bottom w:val="single" w:sz="8" w:color="D8D8D8"/>
              <w:right w:val="single" w:sz="8" w:color="7F7F7F"/>
            </w:tcBorders>
            <w:shd w:val="clear" w:color="auto" w:fill="D8D8D8"/>
          </w:tcPr>
          <w:p>
            <w:pPr>
              <w:ind w:left="160"/>
              <w:spacing w:after="0"/>
              <w:rPr>
                <w:sz w:val="20"/>
                <w:szCs w:val="20"/>
                <w:color w:val="auto"/>
              </w:rPr>
            </w:pPr>
            <w:r>
              <w:rPr>
                <w:rFonts w:ascii="Arial" w:cs="Arial" w:eastAsia="Arial" w:hAnsi="Arial"/>
                <w:sz w:val="13"/>
                <w:szCs w:val="13"/>
                <w:color w:val="auto"/>
              </w:rPr>
              <w:t>•  Reports its discussions to the full Board for consideration and action when appropriate</w:t>
            </w:r>
          </w:p>
        </w:tc>
        <w:tc>
          <w:tcPr>
            <w:tcW w:w="0" w:type="dxa"/>
            <w:vAlign w:val="bottom"/>
          </w:tcPr>
          <w:p>
            <w:pPr>
              <w:spacing w:after="0"/>
              <w:rPr>
                <w:sz w:val="1"/>
                <w:szCs w:val="1"/>
                <w:color w:val="auto"/>
              </w:rPr>
            </w:pPr>
          </w:p>
        </w:tc>
      </w:tr>
      <w:tr>
        <w:trPr>
          <w:trHeight w:val="290"/>
        </w:trPr>
        <w:tc>
          <w:tcPr>
            <w:tcW w:w="2320" w:type="dxa"/>
            <w:vAlign w:val="bottom"/>
            <w:tcBorders>
              <w:top w:val="single" w:sz="8" w:color="7F7F7F"/>
            </w:tcBorders>
          </w:tcPr>
          <w:p>
            <w:pPr>
              <w:spacing w:after="0"/>
              <w:rPr>
                <w:sz w:val="24"/>
                <w:szCs w:val="24"/>
                <w:color w:val="auto"/>
              </w:rPr>
            </w:pPr>
          </w:p>
        </w:tc>
        <w:tc>
          <w:tcPr>
            <w:tcW w:w="8600" w:type="dxa"/>
            <w:vAlign w:val="bottom"/>
            <w:tcBorders>
              <w:top w:val="single" w:sz="8" w:color="7F7F7F"/>
            </w:tcBorders>
          </w:tcPr>
          <w:p>
            <w:pPr>
              <w:ind w:left="1900"/>
              <w:spacing w:after="0"/>
              <w:rPr>
                <w:sz w:val="20"/>
                <w:szCs w:val="20"/>
                <w:color w:val="auto"/>
              </w:rPr>
            </w:pPr>
            <w:r>
              <w:rPr>
                <w:rFonts w:ascii="Arial" w:cs="Arial" w:eastAsia="Arial" w:hAnsi="Arial"/>
                <w:sz w:val="13"/>
                <w:szCs w:val="13"/>
                <w:color w:val="auto"/>
              </w:rPr>
              <w:t>Chevron Corporation – 2022 Proxy Statement</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8600" w:type="dxa"/>
            <w:vAlign w:val="bottom"/>
          </w:tcPr>
          <w:p>
            <w:pPr>
              <w:ind w:left="312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bl>
    <w:p>
      <w:pPr>
        <w:sectPr>
          <w:pgSz w:w="11900" w:h="16838" w:orient="portrait"/>
          <w:cols w:equalWidth="0" w:num="1">
            <w:col w:w="11020"/>
          </w:cols>
          <w:pgMar w:left="320" w:top="455" w:right="5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208280</wp:posOffset>
            </wp:positionV>
            <wp:extent cx="140589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05890" cy="145415"/>
                    </a:xfrm>
                    <a:prstGeom prst="rect">
                      <a:avLst/>
                    </a:prstGeom>
                    <a:noFill/>
                  </pic:spPr>
                </pic:pic>
              </a:graphicData>
            </a:graphic>
          </wp:anchor>
        </w:drawing>
      </w:r>
    </w:p>
    <w:p>
      <w:pPr>
        <w:spacing w:after="0" w:line="339" w:lineRule="exact"/>
        <w:rPr>
          <w:sz w:val="20"/>
          <w:szCs w:val="20"/>
          <w:color w:val="auto"/>
        </w:rPr>
      </w:pPr>
    </w:p>
    <w:p>
      <w:pPr>
        <w:jc w:val="right"/>
        <w:ind w:right="340"/>
        <w:spacing w:after="0"/>
        <w:rPr>
          <w:sz w:val="20"/>
          <w:szCs w:val="20"/>
          <w:color w:val="auto"/>
        </w:rPr>
      </w:pPr>
      <w:r>
        <w:rPr>
          <w:rFonts w:ascii="Arial" w:cs="Arial" w:eastAsia="Arial" w:hAnsi="Arial"/>
          <w:sz w:val="14"/>
          <w:szCs w:val="14"/>
          <w:b w:val="1"/>
          <w:bCs w:val="1"/>
          <w:color w:val="FFFFFF"/>
        </w:rPr>
        <w:t>Corporate governance</w:t>
      </w:r>
    </w:p>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0B2D71"/>
        </w:rPr>
        <w:t>Board oversight of strategy</w:t>
      </w:r>
    </w:p>
    <w:p>
      <w:pPr>
        <w:sectPr>
          <w:pgSz w:w="11900" w:h="16838" w:orient="portrait"/>
          <w:cols w:equalWidth="0" w:num="1">
            <w:col w:w="11140"/>
          </w:cols>
          <w:pgMar w:left="320" w:top="455" w:right="439" w:bottom="1440" w:gutter="0" w:footer="0" w:header="0"/>
        </w:sectPr>
      </w:pPr>
    </w:p>
    <w:p>
      <w:pPr>
        <w:spacing w:after="0" w:line="202"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The Board of Directors and the Board Committees provide guidance to and oversight of management with respect to Chevron’s business strategy throughout the year. The Board dedicates at least one meeting each year to focus on Chevron’s strategic planning. In three of the past four years, the Board participated in expanded offsite strategy sessions that included presentations by a third-party expert to discuss energy transition issues. In addition, various elements of strategy are discussed at every Board meeting, as well as at many meetings of the Board’s Committees. The Board also dedicates one meeting each year to review Chevron’s five-year business plan and to endorse the business plan, performance objectives, and capital and exploratory budget for the coming year. Our strategic plan sets direction, aligns our organization, and differentiates us from the competition. It guides our actions to successfully manage risk and deliver</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stockholder value. The Board of Directors and the Board Committees oversee fundamental components of our strategic plan, and management is charged with executing the business strategy. In order to assess performance against our strategic plans, the Board receives regular updates on progress and execution and provides guidance and direction throughout the year. In addition, the vice president of Chevron Strategy &amp; Sustainability chairs the Global Issues Committee, an executive-level committee that oversees the development of Chevron’s policies and positions related to global issues that may have significant impact on Chevron’s business interests and reputation. The vice president of Chevron Strategy &amp; Sustainability also serves as secretary to the Public Policy and Sustainability Committee, helping to connect the Global Issue Committee’s work to the Public Policy and Sustainability Committee.</w:t>
      </w:r>
    </w:p>
    <w:p>
      <w:pPr>
        <w:spacing w:after="0" w:line="390" w:lineRule="exact"/>
        <w:rPr>
          <w:sz w:val="20"/>
          <w:szCs w:val="20"/>
          <w:color w:val="auto"/>
        </w:rPr>
      </w:pPr>
    </w:p>
    <w:p>
      <w:pPr>
        <w:sectPr>
          <w:pgSz w:w="11900" w:h="16838" w:orient="portrait"/>
          <w:cols w:equalWidth="0" w:num="2">
            <w:col w:w="5300" w:space="440"/>
            <w:col w:w="5400"/>
          </w:cols>
          <w:pgMar w:left="320" w:top="455" w:right="439" w:bottom="1440" w:gutter="0" w:footer="0" w:header="0"/>
          <w:type w:val="continuous"/>
        </w:sectPr>
      </w:pP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0B2D71"/>
        </w:rPr>
        <w:t>Human capital management</w:t>
      </w:r>
    </w:p>
    <w:p>
      <w:pPr>
        <w:sectPr>
          <w:pgSz w:w="11900" w:h="16838" w:orient="portrait"/>
          <w:cols w:equalWidth="0" w:num="1">
            <w:col w:w="11140"/>
          </w:cols>
          <w:pgMar w:left="320" w:top="455" w:right="439" w:bottom="1440" w:gutter="0" w:footer="0" w:header="0"/>
          <w:type w:val="continuous"/>
        </w:sectPr>
      </w:pPr>
    </w:p>
    <w:p>
      <w:pPr>
        <w:spacing w:after="0" w:line="202"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We invest in our people and culture, with the objective of developing the full potential of our workforce to deliver energy solutions and drive human progress. The Chevron Way explains our beliefs, vision, purpose and values. It guides how our employees work and establishes a common understanding of culture and aspirations. We hire, develop, and strive to retain a diverse workforce of high-performing talent, and foster a culture that values diversity, inclusion, and employee engagement. Our leadership is accountable for our investment in people and culture. This includes reviews of measures addressing critical function hiring, leadership development, retention, diversity and inclusion, and employee engagement.</w:t>
      </w:r>
    </w:p>
    <w:p>
      <w:pPr>
        <w:spacing w:after="0" w:line="79"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color w:val="auto"/>
        </w:rPr>
        <w:t>As we strive to empower our team, we are proud of the external recognition we have received, including, among other accolades, an EDGE certification for being among the top certified companies for gender equality and a rating of 100% on the Human Rights Campaign Equality Index. Additional information about our efforts to put our people at the center of everything we do can be found on the “Social” and “Diversity and Inclusion” pages on our website.</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Hiring, development, and retention</w:t>
      </w:r>
    </w:p>
    <w:p>
      <w:pPr>
        <w:spacing w:after="0" w:line="58"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color w:val="auto"/>
        </w:rPr>
        <w:t>Our approach to attracting, developing and retaining a diverse workforce of high-performing talent is anchored in a long-term employment model that fosters an environment of personal growth and engagement. Our philosophy is to offer compelling career opportunities and a competitive total compensation and benefits package linked to individual and enterprise performance. We recruit new employees in part through partnerships with universities and diversity associations. In addition, we recruit experienced hires to provide specialized skills.</w:t>
      </w:r>
    </w:p>
    <w:p>
      <w:pPr>
        <w:spacing w:after="0" w:line="75" w:lineRule="exact"/>
        <w:rPr>
          <w:sz w:val="20"/>
          <w:szCs w:val="20"/>
          <w:color w:val="auto"/>
        </w:rPr>
      </w:pPr>
    </w:p>
    <w:p>
      <w:pPr>
        <w:jc w:val="both"/>
        <w:ind w:left="120"/>
        <w:spacing w:after="0" w:line="266" w:lineRule="auto"/>
        <w:rPr>
          <w:sz w:val="20"/>
          <w:szCs w:val="20"/>
          <w:color w:val="auto"/>
        </w:rPr>
      </w:pPr>
      <w:r>
        <w:rPr>
          <w:rFonts w:ascii="Arial" w:cs="Arial" w:eastAsia="Arial" w:hAnsi="Arial"/>
          <w:sz w:val="16"/>
          <w:szCs w:val="16"/>
          <w:color w:val="auto"/>
        </w:rPr>
        <w:t>Our learning and development programs are designed to help employees achieve their full potential by building technical, operating, and leadership capabilities at all levels to</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produce energy safely, reliably, and efficiently. Our management regularly reviews measures on employee training and development programs, which are continually changing to meet the needs of our evolving business. For example, we deliver learning experiences digitally to empower our employees, in any location, to develop, maintain and enhance critical skills. In addition, to ensure business continuity, management regularly reviews the talent pipeline, identifies and develops succession candidates, and builds succession plans for key positions.</w:t>
      </w:r>
    </w:p>
    <w:p>
      <w:pPr>
        <w:spacing w:after="0" w:line="7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Board is actively involved in reviewing and approving executive compensation, personnel selections, and succession plans to ensure we have leadership in place with the requisite skills and experience. In addition to the annual review of the CEO led by the Lead Director, the CEO periodically provides the Board with an assessment of senior executives and their potential as successors for the CEO position, as well as perspectives on potential candidates for other senior management positions. Members of the Board also meet directly with potential candidates for senior management positions. Our development programs and succession planning practices prepare us to continue providing the energy that enables human progress around the world.</w:t>
      </w:r>
    </w:p>
    <w:p>
      <w:pPr>
        <w:spacing w:after="0" w:line="7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Management routinely reviews the retention of its professional population, which includes executives, all levels of management, and the majority of its regular employee population; the annual voluntary attrition for this population was 4.5% in 2021, which is in line with rates over a five-year comparison period. The voluntary attrition rate generally excludes employee departures under enterprise-wide restructuring programs. We believe our low voluntary attrition rate is in part a result of the Company’s commitment to employee development, its long-term employment model, and competitive pay and benefits, and our culture.</w:t>
      </w:r>
    </w:p>
    <w:p>
      <w:pPr>
        <w:spacing w:after="0" w:line="807" w:lineRule="exact"/>
        <w:rPr>
          <w:sz w:val="20"/>
          <w:szCs w:val="20"/>
          <w:color w:val="auto"/>
        </w:rPr>
      </w:pPr>
    </w:p>
    <w:p>
      <w:pPr>
        <w:sectPr>
          <w:pgSz w:w="11900" w:h="16838" w:orient="portrait"/>
          <w:cols w:equalWidth="0" w:num="2">
            <w:col w:w="5360" w:space="380"/>
            <w:col w:w="5400"/>
          </w:cols>
          <w:pgMar w:left="320" w:top="455" w:right="439" w:bottom="1440" w:gutter="0" w:footer="0" w:header="0"/>
          <w:type w:val="continuous"/>
        </w:sectPr>
      </w:pPr>
    </w:p>
    <w:p>
      <w:pPr>
        <w:spacing w:after="0" w:line="48"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Chevron Corporation – 2022 Proxy Statement</w:t>
      </w:r>
    </w:p>
    <w:p>
      <w:pPr>
        <w:spacing w:after="0" w:line="6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140"/>
          </w:cols>
          <w:pgMar w:left="320" w:top="455" w:right="43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3731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37310" cy="145415"/>
                    </a:xfrm>
                    <a:prstGeom prst="rect">
                      <a:avLst/>
                    </a:prstGeom>
                    <a:noFill/>
                  </pic:spPr>
                </pic:pic>
              </a:graphicData>
            </a:graphic>
          </wp:anchor>
        </w:drawing>
      </w:r>
    </w:p>
    <w:p>
      <w:pPr>
        <w:spacing w:after="0" w:line="33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FFFFFF"/>
        </w:rPr>
        <w:t>Corporate governance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Diversity and inclusion</w:t>
      </w:r>
    </w:p>
    <w:p>
      <w:pPr>
        <w:spacing w:after="0" w:line="126"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We believe innovative solutions to the most complex challenges emerge when diverse people, ideas, and experiences come together in an inclusive environment. We reinforce the values of diversity and inclusion through recruitment and talent development, equitable selection processes, community partnerships and supplier diversity. Examples of initiatives to further advance diversity and inclusion include our MARC (Men Advocating Real Change) program launched in 2017 in partnership with the non-profit organization Catalyst to facilitate discussions on gender equity in the workplace, and selection processes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Employee engagement</w:t>
      </w:r>
    </w:p>
    <w:p>
      <w:pPr>
        <w:spacing w:after="0" w:line="180" w:lineRule="exact"/>
        <w:rPr>
          <w:sz w:val="20"/>
          <w:szCs w:val="20"/>
          <w:color w:val="auto"/>
        </w:rPr>
      </w:pPr>
    </w:p>
    <w:p>
      <w:pPr>
        <w:ind w:left="120" w:right="60"/>
        <w:spacing w:after="0" w:line="249" w:lineRule="auto"/>
        <w:rPr>
          <w:sz w:val="20"/>
          <w:szCs w:val="20"/>
          <w:color w:val="auto"/>
        </w:rPr>
      </w:pPr>
      <w:r>
        <w:rPr>
          <w:rFonts w:ascii="Arial" w:cs="Arial" w:eastAsia="Arial" w:hAnsi="Arial"/>
          <w:sz w:val="16"/>
          <w:szCs w:val="16"/>
          <w:color w:val="auto"/>
        </w:rPr>
        <w:t>Employee engagement is an indicator of employee well-being and commitment to the Company’s values, purpose and strategies. We regularly conduct employee surveys to assess the health of the Company’s culture, and recent surveys indicate high employee engagement. In 2021, we increased survey frequency to better understand employee sentiment throughout the year, including focused efforts to gain insights into employee well-being. Our most recent employee survey found a total engagement score of 90% – among the best in the oil and gas industry. We are proud that 94% of employees surveyed reported that they “believe strongly in the goals and objectives of Chevron” and 93% reported being “proud to be a part of Chevron.” Chevron prioritizes the health, safety and well-being of our employees. Our safety culture empowers every member of its workforce to exercise stop-work authority without repercussion to address any potentially unsafe work conditions. We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reinforce the importance of diverse selection teams and candidate slates. In addition, we have 12 employee networks (voluntary groups of employees that come together based on shared identity or interests) and a Chairman’s Inclusion Council, which provides the employee network presidents with a direct line of communication to the Chairman and Chief Executive Officer, the Chief Human Resources Officer, the Chief Diversity and Inclusion Officer, and the enterprise leadership team to collaborate and discuss how employee networks can reinforce our values of diversity 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-1979295</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360045</wp:posOffset>
            </wp:positionV>
            <wp:extent cx="5332095" cy="18002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3209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developed new safeguards and operating standards and updated existing protocols to adjust for the ever-changing conditions of the pandemic, including a return to the workplace strategy that incorporated paced, condition-based stages. We announced a hybrid work model based on employee feedback and learnings from the pandemic, which will allow certain employees the flexibility to combine in-office and remote work. Additionally, we offer long-standing employee support programs such as Ombuds, an independent resource designed to equip employees with options to address and resolve workplace issues; a company hotline, where employees can report concerns to the Corporate Compliance department; and an Employee Assistance Program, a confidential consulting service that can help employees resolve a broad range of personal, family and work-related concerns.</w:t>
      </w:r>
    </w:p>
    <w:p>
      <w:pPr>
        <w:spacing w:after="0" w:line="581" w:lineRule="exact"/>
        <w:rPr>
          <w:sz w:val="20"/>
          <w:szCs w:val="20"/>
          <w:color w:val="auto"/>
        </w:rPr>
      </w:pPr>
    </w:p>
    <w:p>
      <w:pPr>
        <w:sectPr>
          <w:pgSz w:w="11900" w:h="16838" w:orient="portrait"/>
          <w:cols w:equalWidth="0" w:num="2">
            <w:col w:w="5320" w:space="420"/>
            <w:col w:w="5380"/>
          </w:cols>
          <w:pgMar w:left="320" w:top="455" w:right="459" w:bottom="1440" w:gutter="0" w:footer="0" w:header="0"/>
        </w:sectPr>
      </w:pPr>
    </w:p>
    <w:p>
      <w:pPr>
        <w:spacing w:after="0" w:line="147" w:lineRule="exact"/>
        <w:rPr>
          <w:sz w:val="20"/>
          <w:szCs w:val="20"/>
          <w:color w:val="auto"/>
        </w:rPr>
      </w:pPr>
    </w:p>
    <w:p>
      <w:pPr>
        <w:ind w:left="520"/>
        <w:spacing w:after="0"/>
        <w:rPr>
          <w:sz w:val="20"/>
          <w:szCs w:val="20"/>
          <w:color w:val="auto"/>
        </w:rPr>
      </w:pPr>
      <w:r>
        <w:rPr>
          <w:rFonts w:ascii="Arial" w:cs="Arial" w:eastAsia="Arial" w:hAnsi="Arial"/>
          <w:sz w:val="32"/>
          <w:szCs w:val="32"/>
          <w:b w:val="1"/>
          <w:bCs w:val="1"/>
          <w:color w:val="0B2D71"/>
        </w:rPr>
        <w:t>Board oversight of environmental, social, and governance matters</w:t>
      </w:r>
    </w:p>
    <w:p>
      <w:pPr>
        <w:sectPr>
          <w:pgSz w:w="11900" w:h="16838" w:orient="portrait"/>
          <w:cols w:equalWidth="0" w:num="1">
            <w:col w:w="11120"/>
          </w:cols>
          <w:pgMar w:left="320" w:top="455" w:right="459" w:bottom="1440" w:gutter="0" w:footer="0" w:header="0"/>
          <w:type w:val="continuous"/>
        </w:sectPr>
      </w:pPr>
    </w:p>
    <w:p>
      <w:pPr>
        <w:spacing w:after="0" w:line="202"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Chevron’s sustainability efforts and environmental, social, and governance (“ESG”) priorities are focused on protecting the environment, empowering people, and getting results the right way. The Board oversees Chevron’s performance and management of various ESG issues, including climate change, ESG reporting, lobbying practices, human capital management, cybersecurity, and human rights. The Board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also offers guidance on Chevron’s Corporate Sustainability Report and on climate change reports aligned with the Financial Stability Board’s Task Force on Climate-related Financial Disclosures (“TCFD”). The Board’s four standing Committees provide oversight and guidance over different aspects of ESG issues. For example, the Public Policy and Sustainability Committee assesses and advises on risks that</w:t>
      </w:r>
    </w:p>
    <w:p>
      <w:pPr>
        <w:spacing w:after="0" w:line="200" w:lineRule="exact"/>
        <w:rPr>
          <w:sz w:val="20"/>
          <w:szCs w:val="20"/>
          <w:color w:val="auto"/>
        </w:rPr>
      </w:pPr>
    </w:p>
    <w:p>
      <w:pPr>
        <w:sectPr>
          <w:pgSz w:w="11900" w:h="16838" w:orient="portrait"/>
          <w:cols w:equalWidth="0" w:num="2">
            <w:col w:w="5340" w:space="400"/>
            <w:col w:w="5380"/>
          </w:cols>
          <w:pgMar w:left="320" w:top="455" w:right="459" w:bottom="1440" w:gutter="0" w:footer="0" w:header="0"/>
          <w:type w:val="continuous"/>
        </w:sectPr>
      </w:pPr>
    </w:p>
    <w:p>
      <w:pPr>
        <w:spacing w:after="0" w:line="45"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Chevron Corporation – 2022 Proxy Statement</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120"/>
          </w:cols>
          <w:pgMar w:left="320" w:top="455" w:right="45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may arise in connection with social, political, environmental, and public policy aspects of Chevron’s business and helps management evaluate trends and potential implications. The Public Policy and Sustainability Committee is briefed on the work of the Chevron Global Issues Committee, an executive-level committee that is regularly updated on various sustainability issues as well as ESG engagements with stockholders and other stakeholders. The Audit Committee discusses potential financial risk exposures related to sustainability. The Governance Committee discusses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ind w:left="3540"/>
        <w:spacing w:after="0"/>
        <w:rPr>
          <w:sz w:val="20"/>
          <w:szCs w:val="20"/>
          <w:color w:val="auto"/>
        </w:rPr>
      </w:pPr>
      <w:r>
        <w:rPr>
          <w:rFonts w:ascii="Arial" w:cs="Arial" w:eastAsia="Arial" w:hAnsi="Arial"/>
          <w:sz w:val="14"/>
          <w:szCs w:val="14"/>
          <w:b w:val="1"/>
          <w:bCs w:val="1"/>
          <w:color w:val="FFFF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-661670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-121285</wp:posOffset>
            </wp:positionV>
            <wp:extent cx="140589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05890" cy="145415"/>
                    </a:xfrm>
                    <a:prstGeom prst="rect">
                      <a:avLst/>
                    </a:prstGeom>
                    <a:noFill/>
                  </pic:spPr>
                </pic:pic>
              </a:graphicData>
            </a:graphic>
          </wp:anchor>
        </w:drawing>
      </w:r>
    </w:p>
    <w:p>
      <w:pPr>
        <w:spacing w:after="0" w:line="20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maintaining appropriate Board composition to oversee various sustainability and ESG issues and reviews stockholder proposals, many of which are ESG focused. The Management Compensation Committee (“MCC”) discusses how to align incentive program design with Chevron’s sustainability strategy. In addition to providing oversight, the Board is committed to fostering long-term and institution-wide relationships with stockholders and listening to their input on sustainability and ESG issues.</w:t>
      </w:r>
    </w:p>
    <w:p>
      <w:pPr>
        <w:spacing w:after="0" w:line="574" w:lineRule="exact"/>
        <w:rPr>
          <w:sz w:val="20"/>
          <w:szCs w:val="20"/>
          <w:color w:val="auto"/>
        </w:rPr>
      </w:pPr>
    </w:p>
    <w:p>
      <w:pPr>
        <w:sectPr>
          <w:pgSz w:w="11900" w:h="16838" w:orient="portrait"/>
          <w:cols w:equalWidth="0" w:num="2">
            <w:col w:w="5180" w:space="560"/>
            <w:col w:w="5360"/>
          </w:cols>
          <w:pgMar w:left="320" w:top="455" w:right="479" w:bottom="1440" w:gutter="0" w:footer="0" w:header="0"/>
        </w:sectPr>
      </w:pP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0B2D71"/>
        </w:rPr>
        <w:t>Board oversight of environmental issues</w:t>
      </w:r>
    </w:p>
    <w:p>
      <w:pPr>
        <w:sectPr>
          <w:pgSz w:w="11900" w:h="16838" w:orient="portrait"/>
          <w:cols w:equalWidth="0" w:num="1">
            <w:col w:w="11100"/>
          </w:cols>
          <w:pgMar w:left="320" w:top="455" w:right="479" w:bottom="1440" w:gutter="0" w:footer="0" w:header="0"/>
          <w:type w:val="continuous"/>
        </w:sectPr>
      </w:pPr>
    </w:p>
    <w:p>
      <w:pPr>
        <w:spacing w:after="0" w:line="202"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In 2004, we launched our Operational Excellence Management System (“OEMS”), a comprehensive system that helped build our Operational Excellence (“OE”) culture and improve our health, environment and safety performance. OEMS is a risk-based and systematic approach to identify, assess, prioritize and manage OE risks. Environment is one of the six critical OE focus areas. The OEMS Environmental Focus Area is the framework we use to manage significant environmental risks. Under the OEMS Focus Area of Environment, Chevron operates using four environmental principles that define how we develop energy in an environmentally responsible manner. These are: include environmental impact in decision making, reduce our environmental footprint, operate responsibly, and steward our sites. A description of these principles can be found on Chevron’s website. Under OEMS, we also have an environmental risk management strategy aimed at driving improvements in environmental performance across the enterprise and an environmental risk management process to identify and manage potential environmental risks across the asset life cycle.</w:t>
      </w:r>
    </w:p>
    <w:p>
      <w:pPr>
        <w:spacing w:after="0" w:line="76"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color w:val="auto"/>
        </w:rPr>
        <w:t>The Board of Directors, the Audit Committee, and the Public Policy and Sustainability Committee provide oversight and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guidance on environmental matters in connection with Chevron’s projects and operations and are regularly briefed by professionals whose focus is on environmental protection and stewardship. Members of the Board visit Chevron operations across the globe and discuss environmental matters specific and relevant to these locations. Significant environmental and process safety issues are reviewed by the Board to ensure compliance with the Company’s rigorous processes. The Audit Committee meets with Chevron’s General Manager, Operational Excellence Audit and Assurance, at least once a year to review findings of OE audits and corrective Actions being taken to address priority findings. The Public Policy and Sustainability Committee assists the Board in identifying, evaluating, and monitoring public policy trends and environmental issues that could impact the Company’s business activities and performance. It also reviews and makes recommendations for Chevron’s strategies related to corporate responsibility and reputation management. The Board of Directors and the Public Policy and Sustainability Committee regularly receive reports of stockholder engagements related to environmental issues and incorporate these into the direction they provide to management.</w:t>
      </w:r>
    </w:p>
    <w:p>
      <w:pPr>
        <w:spacing w:after="0" w:line="537" w:lineRule="exact"/>
        <w:rPr>
          <w:sz w:val="20"/>
          <w:szCs w:val="20"/>
          <w:color w:val="auto"/>
        </w:rPr>
      </w:pPr>
    </w:p>
    <w:p>
      <w:pPr>
        <w:sectPr>
          <w:pgSz w:w="11900" w:h="16838" w:orient="portrait"/>
          <w:cols w:equalWidth="0" w:num="2">
            <w:col w:w="5400" w:space="340"/>
            <w:col w:w="5360"/>
          </w:cols>
          <w:pgMar w:left="320" w:top="455" w:right="479" w:bottom="1440" w:gutter="0" w:footer="0" w:header="0"/>
          <w:type w:val="continuous"/>
        </w:sectPr>
      </w:pPr>
    </w:p>
    <w:p>
      <w:pPr>
        <w:spacing w:after="0" w:line="88"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0B2D71"/>
        </w:rPr>
        <w:t>Chevron’s approach to the energy transition</w:t>
      </w:r>
    </w:p>
    <w:p>
      <w:pPr>
        <w:spacing w:after="0" w:line="134"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At Chevron, we believe the future of energy is lower carbon, and we support the global net zero ambitions of the Paris Agreement. Affordable, reliable, ever-cleaner energy is essential to achieving a more prosperous world. Our Board has been heavily engaged in support of our energy transition strategy on our stockholders’ behalf. Our strategy is clear: Leverage our strengths to deliver lower carbon energy to a growing world. Our assets, capabilities and customers are distinct advantages. We’re building on these strengths as we aim to lead in lower carbon intensity oil, products and natural gas and to advance new products and solutions that reduce the carbon emissions of major industries – driving energy progress essential to a dynamic world.</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Chevron Corporation – 2022 Proxy Statement</w:t>
      </w:r>
    </w:p>
    <w:p>
      <w:pPr>
        <w:spacing w:after="0" w:line="53"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100"/>
          </w:cols>
          <w:pgMar w:left="320" w:top="455" w:right="47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37310"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37310" cy="145415"/>
                    </a:xfrm>
                    <a:prstGeom prst="rect">
                      <a:avLst/>
                    </a:prstGeom>
                    <a:noFill/>
                  </pic:spPr>
                </pic:pic>
              </a:graphicData>
            </a:graphic>
          </wp:anchor>
        </w:drawing>
      </w:r>
    </w:p>
    <w:p>
      <w:pPr>
        <w:spacing w:after="0" w:line="33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FFFFFF"/>
        </w:rPr>
        <w:t>Corporate governance</w:t>
      </w:r>
    </w:p>
    <w:p>
      <w:pPr>
        <w:spacing w:after="0" w:line="172"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To deliver on our strategy, our primary objective is to deliver higher returns, lower carbon by lowering the carbon intensity of our assets cost efficiently and growing lower carbon businesses. In total, Chevron is planning $10 billion in lower carbon capital investments between 2021 and 2028 to reduce the carbon intensity of our oil, products and gas business and to build new lower carbon energy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134620</wp:posOffset>
            </wp:positionV>
            <wp:extent cx="4337685" cy="18434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37685"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0" w:right="140"/>
        <w:spacing w:after="0" w:line="253" w:lineRule="auto"/>
        <w:rPr>
          <w:sz w:val="20"/>
          <w:szCs w:val="20"/>
          <w:color w:val="auto"/>
        </w:rPr>
      </w:pPr>
      <w:r>
        <w:rPr>
          <w:rFonts w:ascii="Arial" w:cs="Arial" w:eastAsia="Arial" w:hAnsi="Arial"/>
          <w:sz w:val="16"/>
          <w:szCs w:val="16"/>
          <w:b w:val="1"/>
          <w:bCs w:val="1"/>
          <w:color w:val="auto"/>
        </w:rPr>
        <w:t xml:space="preserve">Lower carbon intensity of our operations: </w:t>
      </w:r>
      <w:r>
        <w:rPr>
          <w:rFonts w:ascii="Arial" w:cs="Arial" w:eastAsia="Arial" w:hAnsi="Arial"/>
          <w:sz w:val="16"/>
          <w:szCs w:val="16"/>
          <w:color w:val="auto"/>
        </w:rPr>
        <w:t>In 2021, we built upon our previously disclosed metrics and targets and updated GHG emissions intensity</w:t>
      </w:r>
      <w:r>
        <w:rPr>
          <w:rFonts w:ascii="Arial" w:cs="Arial" w:eastAsia="Arial" w:hAnsi="Arial"/>
          <w:sz w:val="16"/>
          <w:szCs w:val="16"/>
          <w:b w:val="1"/>
          <w:bCs w:val="1"/>
          <w:color w:val="auto"/>
        </w:rPr>
        <w:t xml:space="preserve"> </w:t>
      </w:r>
      <w:r>
        <w:rPr>
          <w:rFonts w:ascii="Arial" w:cs="Arial" w:eastAsia="Arial" w:hAnsi="Arial"/>
          <w:sz w:val="16"/>
          <w:szCs w:val="16"/>
          <w:color w:val="auto"/>
        </w:rPr>
        <w:t>targets through 2028, introduced a net zero aspiration by 2050 for Upstream Scope 1 and 2 emissions, introduced the Portfolio Carbon Intensity (“PCI”) methodology to facilitate carbon-intensity accounting, and established a PCI target covering Scope 1, Scope 2, and certain Scope 3 emissions from use of products. The PCI metric encompasses the company’s Upstream and Downstream business and includes Scope 1 (direct emissions), Scope 2 (indirect emissions from imported electricity and steam), and certain Scope 3 (primarily emissions from use of sold products) emissions. Our additional GHG emissions intensity metrics are equity- and commodity- based, which means that they represent Chevron’s ownership interest in our operated and non-operated assets and consider the different uses of oil and gas (i.e., transportation and power).</w:t>
      </w:r>
    </w:p>
    <w:p>
      <w:pPr>
        <w:spacing w:after="0" w:line="73"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In our most recent Task Force for Climate Change-related Financial Disclosure (TCFD)-aligned report issued in October 2021, we described our GHG intensity targets for oil, gas, flaring, and methane for 2028. In alignment with the Paris Agreement requirement that governments report their performance in five-year stocktakes, we have set metrics for 2023 (which were achieved in 2020) and 2028 and intend to set targets every five years thereafter. We have set 2016 as our baseline to align with the year the Paris Agreement came into force. The table below summarizes Chevron’s principal GHG emissions intensity reduction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26580" cy="1525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26580" cy="1525905"/>
                    </a:xfrm>
                    <a:prstGeom prst="rect">
                      <a:avLst/>
                    </a:prstGeom>
                    <a:noFill/>
                  </pic:spPr>
                </pic:pic>
              </a:graphicData>
            </a:graphic>
          </wp:anchor>
        </w:drawing>
      </w:r>
    </w:p>
    <w:p>
      <w:pPr>
        <w:spacing w:after="0" w:line="160"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FFFFFF"/>
        </w:rPr>
        <w:t>Chevron’s Portfolio Carbon Intensity (Scope 1,2, and 3) reduction target for 2028</w:t>
      </w:r>
    </w:p>
    <w:p>
      <w:pPr>
        <w:ind w:left="480"/>
        <w:spacing w:after="0"/>
        <w:tabs>
          <w:tab w:leader="none" w:pos="1060" w:val="left"/>
          <w:tab w:leader="none" w:pos="8700" w:val="left"/>
        </w:tabs>
        <w:rPr>
          <w:sz w:val="20"/>
          <w:szCs w:val="20"/>
          <w:color w:val="auto"/>
        </w:rPr>
      </w:pPr>
      <w:r>
        <w:rPr>
          <w:rFonts w:ascii="Arial" w:cs="Arial" w:eastAsia="Arial" w:hAnsi="Arial"/>
          <w:sz w:val="16"/>
          <w:szCs w:val="16"/>
          <w:b w:val="1"/>
          <w:bCs w:val="1"/>
          <w:color w:val="0B2D71"/>
        </w:rPr>
        <w:t>PCI</w:t>
      </w:r>
      <w:r>
        <w:rPr>
          <w:sz w:val="20"/>
          <w:szCs w:val="20"/>
          <w:color w:val="auto"/>
        </w:rPr>
        <w:tab/>
      </w:r>
      <w:r>
        <w:rPr>
          <w:rFonts w:ascii="Arial" w:cs="Arial" w:eastAsia="Arial" w:hAnsi="Arial"/>
          <w:sz w:val="16"/>
          <w:szCs w:val="16"/>
          <w:b w:val="1"/>
          <w:bCs w:val="1"/>
          <w:color w:val="0B2D71"/>
        </w:rPr>
        <w:t xml:space="preserve">71 </w:t>
      </w:r>
      <w:r>
        <w:rPr>
          <w:rFonts w:ascii="Arial" w:cs="Arial" w:eastAsia="Arial" w:hAnsi="Arial"/>
          <w:sz w:val="16"/>
          <w:szCs w:val="16"/>
          <w:color w:val="000000"/>
        </w:rPr>
        <w:t>g CO</w:t>
      </w:r>
      <w:r>
        <w:rPr>
          <w:rFonts w:ascii="Arial" w:cs="Arial" w:eastAsia="Arial" w:hAnsi="Arial"/>
          <w:sz w:val="27"/>
          <w:szCs w:val="27"/>
          <w:color w:val="000000"/>
          <w:vertAlign w:val="subscript"/>
        </w:rPr>
        <w:t>2e</w:t>
      </w:r>
      <w:r>
        <w:rPr>
          <w:rFonts w:ascii="Arial" w:cs="Arial" w:eastAsia="Arial" w:hAnsi="Arial"/>
          <w:sz w:val="16"/>
          <w:szCs w:val="16"/>
          <w:color w:val="000000"/>
        </w:rPr>
        <w:t>/MJ</w:t>
      </w:r>
      <w:r>
        <w:rPr>
          <w:sz w:val="20"/>
          <w:szCs w:val="20"/>
          <w:color w:val="auto"/>
        </w:rPr>
        <w:tab/>
      </w:r>
      <w:r>
        <w:rPr>
          <w:rFonts w:ascii="Arial" w:cs="Arial" w:eastAsia="Arial" w:hAnsi="Arial"/>
          <w:sz w:val="16"/>
          <w:szCs w:val="16"/>
          <w:color w:val="auto"/>
        </w:rPr>
        <w:t>&gt; 5% reduction from 2016</w:t>
      </w:r>
    </w:p>
    <w:p>
      <w:pPr>
        <w:spacing w:after="0" w:line="77"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FFFFFF"/>
        </w:rPr>
        <w:t>Aspiration: Net-Zero Upstream business by 2050 (Scope 1 and 2)</w:t>
      </w:r>
    </w:p>
    <w:p>
      <w:pPr>
        <w:spacing w:after="0" w:line="37"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FFFFFF"/>
        </w:rPr>
        <w:t>Chevron’s Upstream Carbon Intensity (scope 1 and 2) reduction targets for 2028</w:t>
      </w:r>
    </w:p>
    <w:p>
      <w:pPr>
        <w:spacing w:after="0" w:line="12"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B2D71"/>
        </w:rPr>
        <w:t>Upstream Carbon Intensity Targets</w:t>
      </w:r>
    </w:p>
    <w:tbl>
      <w:tblPr>
        <w:tblLayout w:type="fixed"/>
        <w:tblInd w:w="120" w:type="dxa"/>
        <w:tblCellMar>
          <w:top w:w="0" w:type="dxa"/>
          <w:left w:w="0" w:type="dxa"/>
          <w:bottom w:w="0" w:type="dxa"/>
          <w:right w:w="0" w:type="dxa"/>
        </w:tblCellMar>
      </w:tblPr>
      <w:tr>
        <w:trPr>
          <w:trHeight w:val="287"/>
        </w:trPr>
        <w:tc>
          <w:tcPr>
            <w:tcW w:w="820" w:type="dxa"/>
            <w:vAlign w:val="bottom"/>
          </w:tcPr>
          <w:p>
            <w:pPr>
              <w:jc w:val="center"/>
              <w:ind w:left="79"/>
              <w:spacing w:after="0"/>
              <w:rPr>
                <w:sz w:val="20"/>
                <w:szCs w:val="20"/>
                <w:color w:val="auto"/>
              </w:rPr>
            </w:pPr>
            <w:r>
              <w:rPr>
                <w:rFonts w:ascii="Arial" w:cs="Arial" w:eastAsia="Arial" w:hAnsi="Arial"/>
                <w:sz w:val="16"/>
                <w:szCs w:val="16"/>
                <w:b w:val="1"/>
                <w:bCs w:val="1"/>
                <w:color w:val="0B2D71"/>
              </w:rPr>
              <w:t>Oil</w:t>
            </w:r>
          </w:p>
        </w:tc>
        <w:tc>
          <w:tcPr>
            <w:tcW w:w="360" w:type="dxa"/>
            <w:vAlign w:val="bottom"/>
            <w:shd w:val="clear" w:color="auto" w:fill="D8D8D8"/>
          </w:tcPr>
          <w:p>
            <w:pPr>
              <w:jc w:val="center"/>
              <w:ind w:left="19"/>
              <w:spacing w:after="0"/>
              <w:rPr>
                <w:sz w:val="20"/>
                <w:szCs w:val="20"/>
                <w:color w:val="auto"/>
              </w:rPr>
            </w:pPr>
            <w:r>
              <w:rPr>
                <w:rFonts w:ascii="Arial" w:cs="Arial" w:eastAsia="Arial" w:hAnsi="Arial"/>
                <w:sz w:val="16"/>
                <w:szCs w:val="16"/>
                <w:b w:val="1"/>
                <w:bCs w:val="1"/>
                <w:color w:val="0B2D71"/>
              </w:rPr>
              <w:t>24</w:t>
            </w:r>
          </w:p>
        </w:tc>
        <w:tc>
          <w:tcPr>
            <w:tcW w:w="6180" w:type="dxa"/>
            <w:vAlign w:val="bottom"/>
            <w:shd w:val="clear" w:color="auto" w:fill="D8D8D8"/>
          </w:tcPr>
          <w:p>
            <w:pPr>
              <w:ind w:left="60"/>
              <w:spacing w:after="0" w:line="286" w:lineRule="exact"/>
              <w:rPr>
                <w:sz w:val="20"/>
                <w:szCs w:val="20"/>
                <w:color w:val="auto"/>
              </w:rPr>
            </w:pPr>
            <w:r>
              <w:rPr>
                <w:rFonts w:ascii="Arial" w:cs="Arial" w:eastAsia="Arial" w:hAnsi="Arial"/>
                <w:sz w:val="16"/>
                <w:szCs w:val="16"/>
                <w:color w:val="auto"/>
              </w:rPr>
              <w:t>kg CO</w:t>
            </w:r>
            <w:r>
              <w:rPr>
                <w:rFonts w:ascii="Arial" w:cs="Arial" w:eastAsia="Arial" w:hAnsi="Arial"/>
                <w:sz w:val="27"/>
                <w:szCs w:val="27"/>
                <w:color w:val="auto"/>
                <w:vertAlign w:val="subscript"/>
              </w:rPr>
              <w:t>2e</w:t>
            </w:r>
            <w:r>
              <w:rPr>
                <w:rFonts w:ascii="Arial" w:cs="Arial" w:eastAsia="Arial" w:hAnsi="Arial"/>
                <w:sz w:val="16"/>
                <w:szCs w:val="16"/>
                <w:color w:val="auto"/>
              </w:rPr>
              <w:t>/boe for oil (global industry averages 46)</w:t>
            </w:r>
          </w:p>
        </w:tc>
        <w:tc>
          <w:tcPr>
            <w:tcW w:w="3540" w:type="dxa"/>
            <w:vAlign w:val="bottom"/>
            <w:shd w:val="clear" w:color="auto" w:fill="D8D8D8"/>
          </w:tcPr>
          <w:p>
            <w:pPr>
              <w:ind w:left="1240"/>
              <w:spacing w:after="0"/>
              <w:rPr>
                <w:sz w:val="20"/>
                <w:szCs w:val="20"/>
                <w:color w:val="auto"/>
              </w:rPr>
            </w:pPr>
            <w:r>
              <w:rPr>
                <w:rFonts w:ascii="Arial" w:cs="Arial" w:eastAsia="Arial" w:hAnsi="Arial"/>
                <w:sz w:val="16"/>
                <w:szCs w:val="16"/>
                <w:color w:val="auto"/>
              </w:rPr>
              <w:t>40% reduction from 2016</w:t>
            </w:r>
          </w:p>
        </w:tc>
      </w:tr>
      <w:tr>
        <w:trPr>
          <w:trHeight w:val="243"/>
        </w:trPr>
        <w:tc>
          <w:tcPr>
            <w:tcW w:w="820" w:type="dxa"/>
            <w:vAlign w:val="bottom"/>
          </w:tcPr>
          <w:p>
            <w:pPr>
              <w:jc w:val="center"/>
              <w:ind w:left="79"/>
              <w:spacing w:after="0"/>
              <w:rPr>
                <w:sz w:val="20"/>
                <w:szCs w:val="20"/>
                <w:color w:val="auto"/>
              </w:rPr>
            </w:pPr>
            <w:r>
              <w:rPr>
                <w:rFonts w:ascii="Arial" w:cs="Arial" w:eastAsia="Arial" w:hAnsi="Arial"/>
                <w:sz w:val="16"/>
                <w:szCs w:val="16"/>
                <w:b w:val="1"/>
                <w:bCs w:val="1"/>
                <w:color w:val="0B2D71"/>
                <w:w w:val="99"/>
              </w:rPr>
              <w:t>Gas</w:t>
            </w:r>
          </w:p>
        </w:tc>
        <w:tc>
          <w:tcPr>
            <w:tcW w:w="360" w:type="dxa"/>
            <w:vAlign w:val="bottom"/>
          </w:tcPr>
          <w:p>
            <w:pPr>
              <w:jc w:val="center"/>
              <w:ind w:left="19"/>
              <w:spacing w:after="0"/>
              <w:rPr>
                <w:sz w:val="20"/>
                <w:szCs w:val="20"/>
                <w:color w:val="auto"/>
              </w:rPr>
            </w:pPr>
            <w:r>
              <w:rPr>
                <w:rFonts w:ascii="Arial" w:cs="Arial" w:eastAsia="Arial" w:hAnsi="Arial"/>
                <w:sz w:val="16"/>
                <w:szCs w:val="16"/>
                <w:b w:val="1"/>
                <w:bCs w:val="1"/>
                <w:color w:val="0B2D71"/>
              </w:rPr>
              <w:t>24</w:t>
            </w:r>
          </w:p>
        </w:tc>
        <w:tc>
          <w:tcPr>
            <w:tcW w:w="6180" w:type="dxa"/>
            <w:vAlign w:val="bottom"/>
          </w:tcPr>
          <w:p>
            <w:pPr>
              <w:ind w:left="60"/>
              <w:spacing w:after="0" w:line="242" w:lineRule="exact"/>
              <w:rPr>
                <w:sz w:val="20"/>
                <w:szCs w:val="20"/>
                <w:color w:val="auto"/>
              </w:rPr>
            </w:pPr>
            <w:r>
              <w:rPr>
                <w:rFonts w:ascii="Arial" w:cs="Arial" w:eastAsia="Arial" w:hAnsi="Arial"/>
                <w:sz w:val="16"/>
                <w:szCs w:val="16"/>
                <w:color w:val="auto"/>
              </w:rPr>
              <w:t>kg CO</w:t>
            </w:r>
            <w:r>
              <w:rPr>
                <w:rFonts w:ascii="Arial" w:cs="Arial" w:eastAsia="Arial" w:hAnsi="Arial"/>
                <w:sz w:val="27"/>
                <w:szCs w:val="27"/>
                <w:color w:val="auto"/>
                <w:vertAlign w:val="subscript"/>
              </w:rPr>
              <w:t>2e</w:t>
            </w:r>
            <w:r>
              <w:rPr>
                <w:rFonts w:ascii="Arial" w:cs="Arial" w:eastAsia="Arial" w:hAnsi="Arial"/>
                <w:sz w:val="16"/>
                <w:szCs w:val="16"/>
                <w:color w:val="auto"/>
              </w:rPr>
              <w:t>/boe for gas (global industry averages 71)</w:t>
            </w:r>
          </w:p>
        </w:tc>
        <w:tc>
          <w:tcPr>
            <w:tcW w:w="3540" w:type="dxa"/>
            <w:vAlign w:val="bottom"/>
          </w:tcPr>
          <w:p>
            <w:pPr>
              <w:ind w:left="1240"/>
              <w:spacing w:after="0"/>
              <w:rPr>
                <w:sz w:val="20"/>
                <w:szCs w:val="20"/>
                <w:color w:val="auto"/>
              </w:rPr>
            </w:pPr>
            <w:r>
              <w:rPr>
                <w:rFonts w:ascii="Arial" w:cs="Arial" w:eastAsia="Arial" w:hAnsi="Arial"/>
                <w:sz w:val="16"/>
                <w:szCs w:val="16"/>
                <w:color w:val="auto"/>
              </w:rPr>
              <w:t>26% reduction from 2016</w:t>
            </w:r>
          </w:p>
        </w:tc>
      </w:tr>
      <w:tr>
        <w:trPr>
          <w:trHeight w:val="243"/>
        </w:trPr>
        <w:tc>
          <w:tcPr>
            <w:tcW w:w="820" w:type="dxa"/>
            <w:vAlign w:val="bottom"/>
            <w:shd w:val="clear" w:color="auto" w:fill="D8D8D8"/>
          </w:tcPr>
          <w:p>
            <w:pPr>
              <w:jc w:val="center"/>
              <w:ind w:left="79"/>
              <w:spacing w:after="0"/>
              <w:rPr>
                <w:sz w:val="20"/>
                <w:szCs w:val="20"/>
                <w:color w:val="auto"/>
              </w:rPr>
            </w:pPr>
            <w:r>
              <w:rPr>
                <w:rFonts w:ascii="Arial" w:cs="Arial" w:eastAsia="Arial" w:hAnsi="Arial"/>
                <w:sz w:val="16"/>
                <w:szCs w:val="16"/>
                <w:b w:val="1"/>
                <w:bCs w:val="1"/>
                <w:color w:val="0B2D71"/>
              </w:rPr>
              <w:t>Methane</w:t>
            </w:r>
          </w:p>
        </w:tc>
        <w:tc>
          <w:tcPr>
            <w:tcW w:w="360" w:type="dxa"/>
            <w:vAlign w:val="bottom"/>
            <w:shd w:val="clear" w:color="auto" w:fill="D8D8D8"/>
          </w:tcPr>
          <w:p>
            <w:pPr>
              <w:jc w:val="center"/>
              <w:ind w:left="19"/>
              <w:spacing w:after="0"/>
              <w:rPr>
                <w:sz w:val="20"/>
                <w:szCs w:val="20"/>
                <w:color w:val="auto"/>
              </w:rPr>
            </w:pPr>
            <w:r>
              <w:rPr>
                <w:rFonts w:ascii="Arial" w:cs="Arial" w:eastAsia="Arial" w:hAnsi="Arial"/>
                <w:sz w:val="16"/>
                <w:szCs w:val="16"/>
                <w:b w:val="1"/>
                <w:bCs w:val="1"/>
                <w:color w:val="0B2D71"/>
              </w:rPr>
              <w:t>2</w:t>
            </w:r>
          </w:p>
        </w:tc>
        <w:tc>
          <w:tcPr>
            <w:tcW w:w="6180" w:type="dxa"/>
            <w:vAlign w:val="bottom"/>
            <w:shd w:val="clear" w:color="auto" w:fill="D8D8D8"/>
          </w:tcPr>
          <w:p>
            <w:pPr>
              <w:ind w:left="60"/>
              <w:spacing w:after="0" w:line="242" w:lineRule="exact"/>
              <w:rPr>
                <w:sz w:val="20"/>
                <w:szCs w:val="20"/>
                <w:color w:val="auto"/>
              </w:rPr>
            </w:pPr>
            <w:r>
              <w:rPr>
                <w:rFonts w:ascii="Arial" w:cs="Arial" w:eastAsia="Arial" w:hAnsi="Arial"/>
                <w:sz w:val="16"/>
                <w:szCs w:val="16"/>
                <w:color w:val="auto"/>
              </w:rPr>
              <w:t>kg CO</w:t>
            </w:r>
            <w:r>
              <w:rPr>
                <w:rFonts w:ascii="Arial" w:cs="Arial" w:eastAsia="Arial" w:hAnsi="Arial"/>
                <w:sz w:val="27"/>
                <w:szCs w:val="27"/>
                <w:color w:val="auto"/>
                <w:vertAlign w:val="subscript"/>
              </w:rPr>
              <w:t>2e</w:t>
            </w:r>
            <w:r>
              <w:rPr>
                <w:rFonts w:ascii="Arial" w:cs="Arial" w:eastAsia="Arial" w:hAnsi="Arial"/>
                <w:sz w:val="16"/>
                <w:szCs w:val="16"/>
                <w:color w:val="auto"/>
              </w:rPr>
              <w:t>/boe for methane and a global methane detection campaign</w:t>
            </w:r>
          </w:p>
        </w:tc>
        <w:tc>
          <w:tcPr>
            <w:tcW w:w="3540" w:type="dxa"/>
            <w:vAlign w:val="bottom"/>
            <w:shd w:val="clear" w:color="auto" w:fill="D8D8D8"/>
          </w:tcPr>
          <w:p>
            <w:pPr>
              <w:ind w:left="1240"/>
              <w:spacing w:after="0"/>
              <w:rPr>
                <w:sz w:val="20"/>
                <w:szCs w:val="20"/>
                <w:color w:val="auto"/>
              </w:rPr>
            </w:pPr>
            <w:r>
              <w:rPr>
                <w:rFonts w:ascii="Arial" w:cs="Arial" w:eastAsia="Arial" w:hAnsi="Arial"/>
                <w:sz w:val="16"/>
                <w:szCs w:val="16"/>
                <w:color w:val="auto"/>
              </w:rPr>
              <w:t>53% reduction from 2016</w:t>
            </w:r>
          </w:p>
        </w:tc>
      </w:tr>
      <w:tr>
        <w:trPr>
          <w:trHeight w:val="218"/>
        </w:trPr>
        <w:tc>
          <w:tcPr>
            <w:tcW w:w="820" w:type="dxa"/>
            <w:vAlign w:val="bottom"/>
          </w:tcPr>
          <w:p>
            <w:pPr>
              <w:jc w:val="center"/>
              <w:ind w:left="79"/>
              <w:spacing w:after="0"/>
              <w:rPr>
                <w:sz w:val="20"/>
                <w:szCs w:val="20"/>
                <w:color w:val="auto"/>
              </w:rPr>
            </w:pPr>
            <w:r>
              <w:rPr>
                <w:rFonts w:ascii="Arial" w:cs="Arial" w:eastAsia="Arial" w:hAnsi="Arial"/>
                <w:sz w:val="16"/>
                <w:szCs w:val="16"/>
                <w:b w:val="1"/>
                <w:bCs w:val="1"/>
                <w:color w:val="0B2D71"/>
              </w:rPr>
              <w:t>Flaring</w:t>
            </w:r>
          </w:p>
        </w:tc>
        <w:tc>
          <w:tcPr>
            <w:tcW w:w="360" w:type="dxa"/>
            <w:vAlign w:val="bottom"/>
          </w:tcPr>
          <w:p>
            <w:pPr>
              <w:jc w:val="center"/>
              <w:ind w:left="19"/>
              <w:spacing w:after="0"/>
              <w:rPr>
                <w:sz w:val="20"/>
                <w:szCs w:val="20"/>
                <w:color w:val="auto"/>
              </w:rPr>
            </w:pPr>
            <w:r>
              <w:rPr>
                <w:rFonts w:ascii="Arial" w:cs="Arial" w:eastAsia="Arial" w:hAnsi="Arial"/>
                <w:sz w:val="16"/>
                <w:szCs w:val="16"/>
                <w:b w:val="1"/>
                <w:bCs w:val="1"/>
                <w:color w:val="0B2D71"/>
              </w:rPr>
              <w:t>3</w:t>
            </w:r>
          </w:p>
        </w:tc>
        <w:tc>
          <w:tcPr>
            <w:tcW w:w="6180" w:type="dxa"/>
            <w:vAlign w:val="bottom"/>
          </w:tcPr>
          <w:p>
            <w:pPr>
              <w:ind w:left="60"/>
              <w:spacing w:after="0"/>
              <w:rPr>
                <w:sz w:val="20"/>
                <w:szCs w:val="20"/>
                <w:color w:val="auto"/>
              </w:rPr>
            </w:pPr>
            <w:r>
              <w:rPr>
                <w:rFonts w:ascii="Arial" w:cs="Arial" w:eastAsia="Arial" w:hAnsi="Arial"/>
                <w:sz w:val="16"/>
                <w:szCs w:val="16"/>
                <w:color w:val="auto"/>
              </w:rPr>
              <w:t>kg CO</w:t>
            </w:r>
            <w:r>
              <w:rPr>
                <w:rFonts w:ascii="Arial" w:cs="Arial" w:eastAsia="Arial" w:hAnsi="Arial"/>
                <w:sz w:val="13"/>
                <w:szCs w:val="13"/>
                <w:color w:val="auto"/>
              </w:rPr>
              <w:t>2e</w:t>
            </w:r>
            <w:r>
              <w:rPr>
                <w:rFonts w:ascii="Arial" w:cs="Arial" w:eastAsia="Arial" w:hAnsi="Arial"/>
                <w:sz w:val="16"/>
                <w:szCs w:val="16"/>
                <w:color w:val="auto"/>
              </w:rPr>
              <w:t>/boe for overall flaring</w:t>
            </w:r>
          </w:p>
        </w:tc>
        <w:tc>
          <w:tcPr>
            <w:tcW w:w="3540" w:type="dxa"/>
            <w:vAlign w:val="bottom"/>
          </w:tcPr>
          <w:p>
            <w:pPr>
              <w:ind w:left="1240"/>
              <w:spacing w:after="0"/>
              <w:rPr>
                <w:sz w:val="20"/>
                <w:szCs w:val="20"/>
                <w:color w:val="auto"/>
              </w:rPr>
            </w:pPr>
            <w:r>
              <w:rPr>
                <w:rFonts w:ascii="Arial" w:cs="Arial" w:eastAsia="Arial" w:hAnsi="Arial"/>
                <w:sz w:val="16"/>
                <w:szCs w:val="16"/>
                <w:color w:val="auto"/>
              </w:rPr>
              <w:t>66% reduction from 2016</w:t>
            </w:r>
          </w:p>
        </w:tc>
      </w:tr>
    </w:tbl>
    <w:p>
      <w:pPr>
        <w:ind w:left="1360" w:hanging="236"/>
        <w:spacing w:after="0"/>
        <w:tabs>
          <w:tab w:leader="none" w:pos="1360" w:val="left"/>
        </w:tabs>
        <w:numPr>
          <w:ilvl w:val="0"/>
          <w:numId w:val="38"/>
        </w:numPr>
        <w:rPr>
          <w:rFonts w:ascii="Arial" w:cs="Arial" w:eastAsia="Arial" w:hAnsi="Arial"/>
          <w:sz w:val="16"/>
          <w:szCs w:val="16"/>
          <w:b w:val="1"/>
          <w:bCs w:val="1"/>
          <w:color w:val="0B2D71"/>
        </w:rPr>
      </w:pPr>
      <w:r>
        <w:rPr>
          <w:rFonts w:ascii="Arial" w:cs="Arial" w:eastAsia="Arial" w:hAnsi="Arial"/>
          <w:sz w:val="16"/>
          <w:szCs w:val="16"/>
          <w:color w:val="auto"/>
        </w:rPr>
        <w:t>routine flaring by 2030</w:t>
      </w:r>
    </w:p>
    <w:p>
      <w:pPr>
        <w:spacing w:after="0" w:line="30" w:lineRule="exact"/>
        <w:rPr>
          <w:sz w:val="20"/>
          <w:szCs w:val="20"/>
          <w:color w:val="auto"/>
        </w:rPr>
      </w:pPr>
    </w:p>
    <w:p>
      <w:pPr>
        <w:ind w:left="120"/>
        <w:spacing w:after="0"/>
        <w:tabs>
          <w:tab w:leader="none" w:pos="320" w:val="left"/>
          <w:tab w:leader="none" w:pos="3000" w:val="left"/>
          <w:tab w:leader="none" w:pos="4400" w:val="left"/>
          <w:tab w:leader="none" w:pos="6700" w:val="left"/>
          <w:tab w:leader="none" w:pos="7860" w:val="left"/>
        </w:tabs>
        <w:rPr>
          <w:sz w:val="20"/>
          <w:szCs w:val="20"/>
          <w:color w:val="auto"/>
        </w:rPr>
      </w:pPr>
      <w:r>
        <w:rPr>
          <w:rFonts w:ascii="Arial" w:cs="Arial" w:eastAsia="Arial" w:hAnsi="Arial"/>
          <w:sz w:val="16"/>
          <w:szCs w:val="16"/>
          <w:color w:val="auto"/>
        </w:rPr>
        <w:t>*</w:t>
        <w:tab/>
        <w:t>CO</w:t>
      </w:r>
      <w:r>
        <w:rPr>
          <w:rFonts w:ascii="Arial" w:cs="Arial" w:eastAsia="Arial" w:hAnsi="Arial"/>
          <w:sz w:val="13"/>
          <w:szCs w:val="13"/>
          <w:color w:val="auto"/>
        </w:rPr>
        <w:t>2e</w:t>
      </w:r>
      <w:r>
        <w:rPr>
          <w:rFonts w:ascii="Arial" w:cs="Arial" w:eastAsia="Arial" w:hAnsi="Arial"/>
          <w:sz w:val="16"/>
          <w:szCs w:val="16"/>
          <w:color w:val="auto"/>
        </w:rPr>
        <w:t xml:space="preserve"> = carbon dioxide equivalents</w:t>
        <w:tab/>
        <w:t>MJ = megajoules</w:t>
        <w:tab/>
        <w:t>boe = barrels of oil-equivalent</w:t>
        <w:tab/>
        <w:t>kg = kilogram</w:t>
        <w:tab/>
        <w:t>g = gram</w:t>
      </w:r>
    </w:p>
    <w:p>
      <w:pPr>
        <w:spacing w:after="0" w:line="113"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b w:val="1"/>
          <w:bCs w:val="1"/>
          <w:color w:val="auto"/>
        </w:rPr>
        <w:t>Grow lower carbon businesses</w:t>
      </w:r>
      <w:r>
        <w:rPr>
          <w:rFonts w:ascii="Arial" w:cs="Arial" w:eastAsia="Arial" w:hAnsi="Arial"/>
          <w:sz w:val="16"/>
          <w:szCs w:val="16"/>
          <w:color w:val="auto"/>
        </w:rPr>
        <w:t>: Our lower carbon strategy is focused on growing new businesses targeting harder-to-abate sectors, such as</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manufacturing, aviation, and heavy-duty transportation. To accelerate progress, we formed Chevron New Energies (“CNE”), an organization focused on areas where we believe we can build competitive advantages and that target these hard-to-abate sectors. Carbon Capture, Utilization, and Storage (“CCUS”), offsets, and hydrogen are at the core of this strategy, and we believe they are an important part of addressing climate change.</w:t>
      </w:r>
    </w:p>
    <w:p>
      <w:pPr>
        <w:spacing w:after="0" w:line="70"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We see CCUS opportunities in two areas: reducing the carbon intensity of our existing assets and growing our carbon capture business, primarily through hubs with third-party emitters as partners and customers. In addition, Chevron’s experience in developing and using offsets dates back nearly two decades and is an important part of our operations in areas like Australia,</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100"/>
          </w:cols>
          <w:pgMar w:left="320" w:top="455" w:right="4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208280</wp:posOffset>
            </wp:positionV>
            <wp:extent cx="140589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05890" cy="145415"/>
                    </a:xfrm>
                    <a:prstGeom prst="rect">
                      <a:avLst/>
                    </a:prstGeom>
                    <a:noFill/>
                  </pic:spPr>
                </pic:pic>
              </a:graphicData>
            </a:graphic>
          </wp:anchor>
        </w:drawing>
      </w:r>
    </w:p>
    <w:p>
      <w:pPr>
        <w:spacing w:after="0" w:line="339"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FFFFFF"/>
        </w:rPr>
        <w:t>Corporate governance</w:t>
      </w:r>
    </w:p>
    <w:p>
      <w:pPr>
        <w:spacing w:after="0" w:line="172"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color w:val="auto"/>
        </w:rPr>
        <w:t>Canada, Colombia, and California. We have a global carbon trading organization and actively participate in multiple registries and exchanges. We expect to be a portfolio supplier of offsets by providing more customers with offset-paired products. Chevron’s approach to hydrogen envisions the use of green, blue, and gray hydrogen. We believe the use of blue and green hydrogen as a fuel source can help reduce the amount of GHG emissions entering the atmosphere. While gray hydrogen is viewed as not directly supporting decarbonization of the energy sector, we believe that early-use cases of gray hydrogen can provide key opportunities to de-risk technology, enable development of supporting infrastructure, including fueling stations, and contribute to learnings. Renewable fuels also play a critical role in growing our lower carbon businesses and are linked to existing assets, infrastructure, and markets. CNE will support our Downstream business unit as it seeks to leverage our refining systems and customer relationships to profitably grow our renewable fuels businesses.</w:t>
      </w:r>
    </w:p>
    <w:p>
      <w:pPr>
        <w:spacing w:after="0" w:line="75"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For 2020, the MCC added “GHG management” to the “Health, environmental, and safety” performance category for the 2020 CIP scorecard. For the 2021 CIP scorecard, the MCC replaced “GHG management” with a new performance category: “Energy Transition” (see page 51 for the 2021 CIP scorecard). This important addition responds to stockholder input and reinforces Chevron’s focus on advancing a lower carbon future. This new category has a 10% weighting and measures Chevron’s progress in the area of GHG management, renewable energy and carbon offsets, and low carbon technologies. The scorecard performance outcomes impact CIP payout for all eligible employees.</w:t>
      </w:r>
    </w:p>
    <w:p>
      <w:pPr>
        <w:spacing w:after="0" w:line="72" w:lineRule="exact"/>
        <w:rPr>
          <w:sz w:val="20"/>
          <w:szCs w:val="20"/>
          <w:color w:val="auto"/>
        </w:rPr>
      </w:pPr>
    </w:p>
    <w:p>
      <w:pPr>
        <w:jc w:val="both"/>
        <w:ind w:left="120" w:right="400"/>
        <w:spacing w:after="0" w:line="266" w:lineRule="auto"/>
        <w:rPr>
          <w:sz w:val="20"/>
          <w:szCs w:val="20"/>
          <w:color w:val="auto"/>
        </w:rPr>
      </w:pPr>
      <w:r>
        <w:rPr>
          <w:rFonts w:ascii="Arial" w:cs="Arial" w:eastAsia="Arial" w:hAnsi="Arial"/>
          <w:sz w:val="16"/>
          <w:szCs w:val="16"/>
          <w:color w:val="auto"/>
        </w:rPr>
        <w:t>Reaching the ambitions of the Paris Agreement will require breakthroughs in technology and innovation, more ambitious government policy, and the ability to attract and forge new partnerships. No one country, no one industry, no one company acting alone can meet the world’s energy and climate goals. That’s why we intend to be the partner of choice for those with complementary strengths and shared aspirations.</w:t>
      </w:r>
    </w:p>
    <w:p>
      <w:pPr>
        <w:spacing w:after="0" w:line="155"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0B2D71"/>
        </w:rPr>
        <w:t>Director independence</w:t>
      </w:r>
    </w:p>
    <w:p>
      <w:pPr>
        <w:sectPr>
          <w:pgSz w:w="11900" w:h="16838" w:orient="portrait"/>
          <w:cols w:equalWidth="0" w:num="1">
            <w:col w:w="11120"/>
          </w:cols>
          <w:pgMar w:left="320" w:top="455" w:right="459" w:bottom="1440" w:gutter="0" w:footer="0" w:header="0"/>
        </w:sectPr>
      </w:pPr>
    </w:p>
    <w:p>
      <w:pPr>
        <w:spacing w:after="0" w:line="202" w:lineRule="exact"/>
        <w:rPr>
          <w:sz w:val="20"/>
          <w:szCs w:val="20"/>
          <w:color w:val="auto"/>
        </w:rPr>
      </w:pPr>
    </w:p>
    <w:p>
      <w:pPr>
        <w:ind w:left="200" w:right="140"/>
        <w:spacing w:after="0" w:line="259" w:lineRule="auto"/>
        <w:rPr>
          <w:sz w:val="20"/>
          <w:szCs w:val="20"/>
          <w:color w:val="auto"/>
        </w:rPr>
      </w:pPr>
      <w:r>
        <w:rPr>
          <w:rFonts w:ascii="Arial" w:cs="Arial" w:eastAsia="Arial" w:hAnsi="Arial"/>
          <w:sz w:val="16"/>
          <w:szCs w:val="16"/>
          <w:color w:val="auto"/>
        </w:rPr>
        <w:t>Your Board has determined that each non-employee Director who served in 2021 and non-employee Director nominee is independent in accordance with the NYSE Corporate Governance Standards and that no material relationship exists with Chevron other than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-494665</wp:posOffset>
            </wp:positionV>
            <wp:extent cx="3317240" cy="4800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17240" cy="480060"/>
                    </a:xfrm>
                    <a:prstGeom prst="rect">
                      <a:avLst/>
                    </a:prstGeom>
                    <a:noFill/>
                  </pic:spPr>
                </pic:pic>
              </a:graphicData>
            </a:graphic>
          </wp:anchor>
        </w:drawing>
      </w:r>
    </w:p>
    <w:p>
      <w:pPr>
        <w:spacing w:after="0" w:line="50"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For a Director to be considered independent, the Board must determine that the Director does not have any material relationship with Chevron, other than as a Director. In making its determinations, the Board adheres to the specific tests for independence included in the NYSE Corporate Governance Standards. In addition, the Board has determined that the following relationships of Chevron Directors occurring within the last fiscal year are categorically immaterial to a determination of independence if the relevant transaction was conducted in the ordinary course of business:</w:t>
      </w:r>
    </w:p>
    <w:p>
      <w:pPr>
        <w:spacing w:after="0" w:line="283" w:lineRule="exact"/>
        <w:rPr>
          <w:sz w:val="20"/>
          <w:szCs w:val="20"/>
          <w:color w:val="auto"/>
        </w:rPr>
      </w:pPr>
    </w:p>
    <w:p>
      <w:pPr>
        <w:jc w:val="both"/>
        <w:ind w:left="300" w:right="120" w:hanging="184"/>
        <w:spacing w:after="0" w:line="266" w:lineRule="auto"/>
        <w:tabs>
          <w:tab w:leader="none" w:pos="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director of another entity if business transactions between Chevron and that entity do not exceed $5 million or 5% of the receiving entity’s consolidated gross revenues, whichever is greater;</w:t>
      </w:r>
    </w:p>
    <w:p>
      <w:pPr>
        <w:spacing w:after="0" w:line="76" w:lineRule="exact"/>
        <w:rPr>
          <w:rFonts w:ascii="Arial" w:cs="Arial" w:eastAsia="Arial" w:hAnsi="Arial"/>
          <w:sz w:val="16"/>
          <w:szCs w:val="16"/>
          <w:color w:val="auto"/>
        </w:rPr>
      </w:pPr>
    </w:p>
    <w:p>
      <w:pPr>
        <w:ind w:left="300" w:right="20" w:hanging="184"/>
        <w:spacing w:after="0" w:line="259" w:lineRule="auto"/>
        <w:tabs>
          <w:tab w:leader="none" w:pos="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 employee of another entity if business transactions in the most recent fiscal year between Chevron and that entity do not exceed $250,000 or 0.5% of the receiving entity’s consolidated gross revenues for that year, whichever is greater;</w:t>
      </w:r>
    </w:p>
    <w:p>
      <w:pPr>
        <w:spacing w:after="0" w:line="83" w:lineRule="exact"/>
        <w:rPr>
          <w:rFonts w:ascii="Arial" w:cs="Arial" w:eastAsia="Arial" w:hAnsi="Arial"/>
          <w:sz w:val="16"/>
          <w:szCs w:val="16"/>
          <w:color w:val="auto"/>
        </w:rPr>
      </w:pPr>
    </w:p>
    <w:p>
      <w:pPr>
        <w:ind w:left="300" w:hanging="184"/>
        <w:spacing w:after="0" w:line="259" w:lineRule="auto"/>
        <w:tabs>
          <w:tab w:leader="none" w:pos="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director of another entity if Chevron’s discretionary charitable contributions to that entity do not exceed $1 million or 2% of that entity’s gross revenues, whichever is greater, and if the charitable contributions are consistent with Chevron’s philanthropic practices; and</w:t>
      </w:r>
    </w:p>
    <w:p>
      <w:pPr>
        <w:spacing w:after="0" w:line="83" w:lineRule="exact"/>
        <w:rPr>
          <w:rFonts w:ascii="Arial" w:cs="Arial" w:eastAsia="Arial" w:hAnsi="Arial"/>
          <w:sz w:val="16"/>
          <w:szCs w:val="16"/>
          <w:color w:val="auto"/>
        </w:rPr>
      </w:pPr>
    </w:p>
    <w:p>
      <w:pPr>
        <w:ind w:left="300" w:right="40" w:hanging="184"/>
        <w:spacing w:after="0" w:line="286" w:lineRule="auto"/>
        <w:tabs>
          <w:tab w:leader="none" w:pos="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relationship arising solely from a Director’s ownership of an equity or limited partnership interest in a party that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66" w:right="60"/>
        <w:spacing w:after="0" w:line="266" w:lineRule="auto"/>
        <w:rPr>
          <w:sz w:val="20"/>
          <w:szCs w:val="20"/>
          <w:color w:val="auto"/>
        </w:rPr>
      </w:pPr>
      <w:r>
        <w:rPr>
          <w:rFonts w:ascii="Arial" w:cs="Arial" w:eastAsia="Arial" w:hAnsi="Arial"/>
          <w:sz w:val="16"/>
          <w:szCs w:val="16"/>
          <w:color w:val="auto"/>
        </w:rPr>
        <w:t>engages in a transaction with Chevron as long as the Director’s ownership interest does not exceed 2% of the total equity or partnership interest in that other party.</w:t>
      </w:r>
    </w:p>
    <w:p>
      <w:pPr>
        <w:spacing w:after="0" w:line="63" w:lineRule="exact"/>
        <w:rPr>
          <w:sz w:val="20"/>
          <w:szCs w:val="20"/>
          <w:color w:val="auto"/>
        </w:rPr>
      </w:pPr>
    </w:p>
    <w:p>
      <w:pPr>
        <w:ind w:left="6" w:right="180"/>
        <w:spacing w:after="0" w:line="259" w:lineRule="auto"/>
        <w:rPr>
          <w:sz w:val="20"/>
          <w:szCs w:val="20"/>
          <w:color w:val="auto"/>
        </w:rPr>
      </w:pPr>
      <w:r>
        <w:rPr>
          <w:rFonts w:ascii="Arial" w:cs="Arial" w:eastAsia="Arial" w:hAnsi="Arial"/>
          <w:sz w:val="16"/>
          <w:szCs w:val="16"/>
          <w:color w:val="auto"/>
        </w:rPr>
        <w:t>These categorical standards are contained in our Corporate Governance Guidelines, which are available on our website at www.chevron.com/investors/corporate-governance and are available in print upon request.</w:t>
      </w:r>
    </w:p>
    <w:p>
      <w:pPr>
        <w:spacing w:after="0" w:line="70" w:lineRule="exact"/>
        <w:rPr>
          <w:sz w:val="20"/>
          <w:szCs w:val="20"/>
          <w:color w:val="auto"/>
        </w:rPr>
      </w:pPr>
    </w:p>
    <w:p>
      <w:pPr>
        <w:ind w:left="6" w:right="20"/>
        <w:spacing w:after="0" w:line="250" w:lineRule="auto"/>
        <w:rPr>
          <w:sz w:val="20"/>
          <w:szCs w:val="20"/>
          <w:color w:val="auto"/>
        </w:rPr>
      </w:pPr>
      <w:r>
        <w:rPr>
          <w:rFonts w:ascii="Arial" w:cs="Arial" w:eastAsia="Arial" w:hAnsi="Arial"/>
          <w:sz w:val="16"/>
          <w:szCs w:val="16"/>
          <w:color w:val="auto"/>
        </w:rPr>
        <w:t>Drs. Moyo and Sugar, Mses. Hewson and Reed-Klages, and Messrs. Hernandez, Huntsman, Moorman, and Umpleby served as directors of for-profit entities with which Chevron conducts business in the ordinary course. Other than Dr. Moyo, they and Drs. Austin and Gast, and Mr. Frank served as directors or trustees of, or similar advisors to, not-for-profit entities to which Chevron makes contributions. The Board has determined that all of these transactions and contributions were below the thresholds set forth in the first and second categorical standards described above (except as noted below) and are, therefore, categorically immaterial to the particular Director’s independence.</w:t>
      </w:r>
    </w:p>
    <w:p>
      <w:pPr>
        <w:spacing w:after="0" w:line="81" w:lineRule="exact"/>
        <w:rPr>
          <w:sz w:val="20"/>
          <w:szCs w:val="20"/>
          <w:color w:val="auto"/>
        </w:rPr>
      </w:pPr>
    </w:p>
    <w:p>
      <w:pPr>
        <w:ind w:left="6" w:right="480"/>
        <w:spacing w:after="0" w:line="266" w:lineRule="auto"/>
        <w:rPr>
          <w:sz w:val="20"/>
          <w:szCs w:val="20"/>
          <w:color w:val="auto"/>
        </w:rPr>
      </w:pPr>
      <w:r>
        <w:rPr>
          <w:rFonts w:ascii="Arial" w:cs="Arial" w:eastAsia="Arial" w:hAnsi="Arial"/>
          <w:sz w:val="16"/>
          <w:szCs w:val="16"/>
          <w:color w:val="auto"/>
        </w:rPr>
        <w:t>The Board reviewed the following relationships and transactions that existed or occurred in 2021 that are not covered by the categorical standards described above:</w:t>
      </w:r>
    </w:p>
    <w:p>
      <w:pPr>
        <w:spacing w:after="0" w:line="77" w:lineRule="exact"/>
        <w:rPr>
          <w:sz w:val="20"/>
          <w:szCs w:val="20"/>
          <w:color w:val="auto"/>
        </w:rPr>
      </w:pPr>
    </w:p>
    <w:p>
      <w:pPr>
        <w:ind w:left="166" w:hanging="166"/>
        <w:spacing w:after="0" w:line="251" w:lineRule="auto"/>
        <w:tabs>
          <w:tab w:leader="none" w:pos="166"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For Mr. Hernandez, the Board considered that, in 2021, Chevron purchased services from two subsidiaries of Inter-Con Security Systems, Inc., in the ordinary course of business, amounting to less than 1% of Inter-Con’s most recent annual consolidated gross revenues.</w:t>
      </w:r>
    </w:p>
    <w:p>
      <w:pPr>
        <w:spacing w:after="0" w:line="2" w:lineRule="exact"/>
        <w:rPr>
          <w:rFonts w:ascii="Arial" w:cs="Arial" w:eastAsia="Arial" w:hAnsi="Arial"/>
          <w:sz w:val="16"/>
          <w:szCs w:val="16"/>
          <w:color w:val="auto"/>
        </w:rPr>
      </w:pPr>
    </w:p>
    <w:p>
      <w:pPr>
        <w:ind w:left="166" w:right="60"/>
        <w:spacing w:after="0" w:line="252" w:lineRule="auto"/>
        <w:rPr>
          <w:rFonts w:ascii="Arial" w:cs="Arial" w:eastAsia="Arial" w:hAnsi="Arial"/>
          <w:sz w:val="16"/>
          <w:szCs w:val="16"/>
          <w:color w:val="auto"/>
        </w:rPr>
      </w:pPr>
      <w:r>
        <w:rPr>
          <w:rFonts w:ascii="Arial" w:cs="Arial" w:eastAsia="Arial" w:hAnsi="Arial"/>
          <w:sz w:val="16"/>
          <w:szCs w:val="16"/>
          <w:color w:val="auto"/>
        </w:rPr>
        <w:t>Mr. Hernandez is Chairman and a significant stockholder of Inter-Con, a privately held business. Three of Mr. Hernandez’s adult sons are executives of Inter-Con. The Board concluded that these transactions would not impair Mr. Hernandez’s independence.</w:t>
      </w:r>
    </w:p>
    <w:p>
      <w:pPr>
        <w:spacing w:after="0" w:line="200" w:lineRule="exact"/>
        <w:rPr>
          <w:sz w:val="20"/>
          <w:szCs w:val="20"/>
          <w:color w:val="auto"/>
        </w:rPr>
      </w:pPr>
    </w:p>
    <w:p>
      <w:pPr>
        <w:sectPr>
          <w:pgSz w:w="11900" w:h="16838" w:orient="portrait"/>
          <w:cols w:equalWidth="0" w:num="2">
            <w:col w:w="5380" w:space="354"/>
            <w:col w:w="5386"/>
          </w:cols>
          <w:pgMar w:left="320" w:top="455" w:right="459" w:bottom="1440" w:gutter="0" w:footer="0" w:header="0"/>
          <w:type w:val="continuous"/>
        </w:sectPr>
      </w:pPr>
    </w:p>
    <w:p>
      <w:pPr>
        <w:spacing w:after="0" w:line="60"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Chevron Corporation – 2022 Proxy Statement</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120"/>
          </w:cols>
          <w:pgMar w:left="320" w:top="455" w:right="45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3731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37310" cy="145415"/>
                    </a:xfrm>
                    <a:prstGeom prst="rect">
                      <a:avLst/>
                    </a:prstGeom>
                    <a:noFill/>
                  </pic:spPr>
                </pic:pic>
              </a:graphicData>
            </a:graphic>
          </wp:anchor>
        </w:drawing>
      </w:r>
    </w:p>
    <w:p>
      <w:pPr>
        <w:spacing w:after="0" w:line="33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FFFFFF"/>
        </w:rPr>
        <w:t>Corporate governance</w:t>
      </w: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0B2D71"/>
        </w:rPr>
        <w:t>Board committees</w:t>
      </w:r>
    </w:p>
    <w:p>
      <w:pPr>
        <w:sectPr>
          <w:pgSz w:w="11900" w:h="16838" w:orient="portrait"/>
          <w:cols w:equalWidth="0" w:num="1">
            <w:col w:w="11120"/>
          </w:cols>
          <w:pgMar w:left="320" w:top="455" w:right="459" w:bottom="1440" w:gutter="0" w:footer="0" w:header="0"/>
        </w:sectPr>
      </w:pPr>
    </w:p>
    <w:p>
      <w:pPr>
        <w:spacing w:after="0" w:line="202"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Chevron’s Board of Directors has four standing Committees: Audit; Board Nominating and Governance; Management Compensation; and Public Policy and Sustainability. The Audit, Board Nominating and Governance, and Management Compensation Committees are each constituted and operated according to the independence and other requirements of the Securities Exchange Act of 1934, as amended (“Exchange Act”) and the NYSE Corporate Governance Standards. Each independent Director, including each member of the MCC, is an “outside” Director for purposes of ensuring that certain pre-2019 grants meet the grandfather rule in Section 162(m) of the Internal Revenue Code of 1986, as amended. In addition, each member of the Audit Committee is financially literate and an “audit committee financial expert,” as such terms are defined under the Exchange Act and related rules and the NYSE Corporate Governance Standards.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Each Committee is chaired by an independent Director who determines the agenda, the frequency, and the length of the meetings and who has unlimited access to management, information, and outside advisors, as necessary. Each non-employee Director generally serves on one or two Committees. Committee members serve staggered terms, enabling Directors to rotate periodically to different Committees. Four- to six-year terms for Committee Chairs facilitate rotation of Committee Chairs while preserving experienced leadership.</w:t>
      </w:r>
    </w:p>
    <w:p>
      <w:pPr>
        <w:spacing w:after="0" w:line="7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Each Committee operates under a written charter that sets forth the purposes and responsibilities of the Committee as well as qualifications for Committee membership. Each Committee assesses the adequacy of its charter periodically and recommends changes to the Governance Committee. All Committees report regularly to the full Board of Directors with respect to their activities. Committee charters can be viewed on Chevron’s website at www.chevron.com/investors/corporate-governance.</w:t>
      </w:r>
    </w:p>
    <w:p>
      <w:pPr>
        <w:spacing w:after="0" w:line="200" w:lineRule="exact"/>
        <w:rPr>
          <w:sz w:val="20"/>
          <w:szCs w:val="20"/>
          <w:color w:val="auto"/>
        </w:rPr>
      </w:pPr>
    </w:p>
    <w:p>
      <w:pPr>
        <w:sectPr>
          <w:pgSz w:w="11900" w:h="16838" w:orient="portrait"/>
          <w:cols w:equalWidth="0" w:num="2">
            <w:col w:w="5400" w:space="340"/>
            <w:col w:w="5380"/>
          </w:cols>
          <w:pgMar w:left="320" w:top="455" w:right="459" w:bottom="1440" w:gutter="0" w:footer="0" w:header="0"/>
          <w:type w:val="continuous"/>
        </w:sectPr>
      </w:pP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0B2D71"/>
        </w:rPr>
        <w:t>Board and committee meetings and attendance</w:t>
      </w:r>
    </w:p>
    <w:p>
      <w:pPr>
        <w:sectPr>
          <w:pgSz w:w="11900" w:h="16838" w:orient="portrait"/>
          <w:cols w:equalWidth="0" w:num="1">
            <w:col w:w="11120"/>
          </w:cols>
          <w:pgMar w:left="320" w:top="455" w:right="459" w:bottom="1440" w:gutter="0" w:footer="0" w:header="0"/>
          <w:type w:val="continuous"/>
        </w:sectPr>
      </w:pPr>
    </w:p>
    <w:p>
      <w:pPr>
        <w:spacing w:after="0" w:line="202"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auto"/>
        </w:rPr>
        <w:t>In 2021, your Board held six regular Board meetings and one special Board meeting, with each regular meeting including an executive session of independent Directors led by our independent Lead Director. In addition, 25 Board Committee meetings were held in 2021, which included nine Audit Committee, five Governance Committee, four MCC, five Public Policy and Sustainability Committee and two joint meetings of the Governance and the Public Policy and Sustainability Committees. All Directors attended 100% of</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their Board and Committee meetings during 2021. Chevron’s policy regarding Directors’ attendance at the Annual Meeting, as described in the “Board Agenda and Meetings” section of Chevron’s Corporate Governance Guidelines (available at www.chevron.com/investors/corporate-governance), is that all Directors are expected to attend the Annual Meeting, absent extenuating circumstances. All Directors attended the 2021 Annual Meeting.</w:t>
      </w:r>
    </w:p>
    <w:p>
      <w:pPr>
        <w:spacing w:after="0" w:line="387" w:lineRule="exact"/>
        <w:rPr>
          <w:sz w:val="20"/>
          <w:szCs w:val="20"/>
          <w:color w:val="auto"/>
        </w:rPr>
      </w:pPr>
    </w:p>
    <w:p>
      <w:pPr>
        <w:sectPr>
          <w:pgSz w:w="11900" w:h="16838" w:orient="portrait"/>
          <w:cols w:equalWidth="0" w:num="2">
            <w:col w:w="5340" w:space="400"/>
            <w:col w:w="5380"/>
          </w:cols>
          <w:pgMar w:left="320" w:top="455" w:right="459" w:bottom="1440" w:gutter="0" w:footer="0" w:header="0"/>
          <w:type w:val="continuous"/>
        </w:sectPr>
      </w:pP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0B2D71"/>
        </w:rPr>
        <w:t>Board and committee evaluations</w:t>
      </w:r>
    </w:p>
    <w:p>
      <w:pPr>
        <w:sectPr>
          <w:pgSz w:w="11900" w:h="16838" w:orient="portrait"/>
          <w:cols w:equalWidth="0" w:num="1">
            <w:col w:w="11120"/>
          </w:cols>
          <w:pgMar w:left="320" w:top="455" w:right="459" w:bottom="1440" w:gutter="0" w:footer="0" w:header="0"/>
          <w:type w:val="continuous"/>
        </w:sectPr>
      </w:pPr>
    </w:p>
    <w:p>
      <w:pPr>
        <w:spacing w:after="0" w:line="202"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Each year, your Board and its Committees perform a rigorous self-evaluation. As required by Chevron’s Corporate Governance Guidelines, the Governance Committee oversees this process. The performance evaluations solicit anonymous input from Directors regarding the performance and effectiveness of the Board, the Board Committees, and individual Directors and provide an opportunity for Directors to identify areas for improvement. In addition, the independent Lead Director has individual conversations with each member of the Board, providing further opportunity for dialogue and improvement. In 2018, the Governance Committee augmented the individual Director evaluation by adding an individual Director performance evaluation questionnaire to more rigorously evaluate individual Director performance. Under this part of the process, each Director sends a confidential individual Director performance evaluation for each independent Director to outside counsel</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retained by the Company at the Governance Committee’s request. Outside counsel compiles the results of the evaluations into reports, which are sent to the Lead Director for consideration and used by the Lead Director during individual conversations with each independent Director (the Chair of the Audit Committee receives the report on the Lead Director and meets with the Lead Director regarding that report). The Governance Committee reviews the results and feedback from the evaluation process and makes recommendations for improvements as appropriate. The independent Lead Director leads a discussion of the evaluation results during an executive session of the Board and communicates relevant feedback to the CEO. Your Board has successfully used this process to evaluate Board, Committee, and individual Director effectiveness, and identify opportunities to strengthen the Board.</w:t>
      </w:r>
    </w:p>
    <w:p>
      <w:pPr>
        <w:spacing w:after="0" w:line="390" w:lineRule="exact"/>
        <w:rPr>
          <w:sz w:val="20"/>
          <w:szCs w:val="20"/>
          <w:color w:val="auto"/>
        </w:rPr>
      </w:pPr>
    </w:p>
    <w:p>
      <w:pPr>
        <w:sectPr>
          <w:pgSz w:w="11900" w:h="16838" w:orient="portrait"/>
          <w:cols w:equalWidth="0" w:num="2">
            <w:col w:w="5400" w:space="340"/>
            <w:col w:w="5380"/>
          </w:cols>
          <w:pgMar w:left="320" w:top="455" w:right="459" w:bottom="1440" w:gutter="0" w:footer="0" w:header="0"/>
          <w:type w:val="continuous"/>
        </w:sectPr>
      </w:pPr>
    </w:p>
    <w:p>
      <w:pPr>
        <w:spacing w:after="0" w:line="53"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Chevron Corporation – 2022 Proxy Statement</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120"/>
          </w:cols>
          <w:pgMar w:left="320" w:top="455" w:right="45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280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220" w:type="dxa"/>
            <w:vAlign w:val="bottom"/>
            <w:gridSpan w:val="2"/>
            <w:shd w:val="clear" w:color="auto" w:fill="0B2D71"/>
          </w:tcPr>
          <w:p>
            <w:pPr>
              <w:ind w:left="360"/>
              <w:spacing w:after="0"/>
              <w:rPr>
                <w:sz w:val="20"/>
                <w:szCs w:val="20"/>
                <w:color w:val="auto"/>
              </w:rPr>
            </w:pPr>
            <w:r>
              <w:rPr>
                <w:rFonts w:ascii="Arial" w:cs="Arial" w:eastAsia="Arial" w:hAnsi="Arial"/>
                <w:sz w:val="14"/>
                <w:szCs w:val="14"/>
                <w:b w:val="1"/>
                <w:bCs w:val="1"/>
                <w:color w:val="FFFFFF"/>
              </w:rPr>
              <w:t>Corporate governance</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8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0" w:type="dxa"/>
            <w:vAlign w:val="bottom"/>
            <w:vMerge w:val="restart"/>
            <w:shd w:val="clear" w:color="auto" w:fill="0066B2"/>
          </w:tcPr>
          <w:p>
            <w:pPr>
              <w:ind w:left="160"/>
              <w:spacing w:after="0"/>
              <w:rPr>
                <w:sz w:val="20"/>
                <w:szCs w:val="20"/>
                <w:color w:val="auto"/>
              </w:rPr>
            </w:pPr>
            <w:r>
              <w:rPr>
                <w:rFonts w:ascii="Arial" w:cs="Arial" w:eastAsia="Arial" w:hAnsi="Arial"/>
                <w:sz w:val="16"/>
                <w:szCs w:val="16"/>
                <w:b w:val="1"/>
                <w:bCs w:val="1"/>
                <w:color w:val="FFFFFF"/>
              </w:rPr>
              <w:t>Committees and membership</w:t>
            </w:r>
          </w:p>
        </w:tc>
        <w:tc>
          <w:tcPr>
            <w:tcW w:w="8100" w:type="dxa"/>
            <w:vAlign w:val="bottom"/>
            <w:gridSpan w:val="2"/>
            <w:vMerge w:val="restart"/>
            <w:shd w:val="clear" w:color="auto" w:fill="0066B2"/>
          </w:tcPr>
          <w:p>
            <w:pPr>
              <w:ind w:left="3140"/>
              <w:spacing w:after="0"/>
              <w:rPr>
                <w:sz w:val="20"/>
                <w:szCs w:val="20"/>
                <w:color w:val="auto"/>
              </w:rPr>
            </w:pPr>
            <w:r>
              <w:rPr>
                <w:rFonts w:ascii="Arial" w:cs="Arial" w:eastAsia="Arial" w:hAnsi="Arial"/>
                <w:sz w:val="16"/>
                <w:szCs w:val="16"/>
                <w:b w:val="1"/>
                <w:bCs w:val="1"/>
                <w:color w:val="FFFFFF"/>
              </w:rPr>
              <w:t>Committee functions</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800" w:type="dxa"/>
            <w:vAlign w:val="bottom"/>
            <w:tcBorders>
              <w:bottom w:val="single" w:sz="8" w:color="0066B2"/>
            </w:tcBorders>
            <w:vMerge w:val="continue"/>
            <w:shd w:val="clear" w:color="auto" w:fill="0066B2"/>
          </w:tcPr>
          <w:p>
            <w:pPr>
              <w:spacing w:after="0"/>
              <w:rPr>
                <w:sz w:val="22"/>
                <w:szCs w:val="22"/>
                <w:color w:val="auto"/>
              </w:rPr>
            </w:pPr>
          </w:p>
        </w:tc>
        <w:tc>
          <w:tcPr>
            <w:tcW w:w="8100" w:type="dxa"/>
            <w:vAlign w:val="bottom"/>
            <w:tcBorders>
              <w:bottom w:val="single" w:sz="8" w:color="0066B2"/>
            </w:tcBorders>
            <w:gridSpan w:val="2"/>
            <w:vMerge w:val="continue"/>
            <w:shd w:val="clear" w:color="auto" w:fill="0066B2"/>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800" w:type="dxa"/>
            <w:vAlign w:val="bottom"/>
            <w:shd w:val="clear" w:color="auto" w:fill="D8D8D8"/>
          </w:tcPr>
          <w:p>
            <w:pPr>
              <w:ind w:left="160"/>
              <w:spacing w:after="0" w:line="190" w:lineRule="exact"/>
              <w:rPr>
                <w:sz w:val="20"/>
                <w:szCs w:val="20"/>
                <w:color w:val="auto"/>
              </w:rPr>
            </w:pPr>
            <w:r>
              <w:rPr>
                <w:rFonts w:ascii="Arial" w:cs="Arial" w:eastAsia="Arial" w:hAnsi="Arial"/>
                <w:sz w:val="17"/>
                <w:szCs w:val="17"/>
                <w:b w:val="1"/>
                <w:bCs w:val="1"/>
                <w:color w:val="0B2D71"/>
              </w:rPr>
              <w:t>Audit</w:t>
            </w:r>
          </w:p>
        </w:tc>
        <w:tc>
          <w:tcPr>
            <w:tcW w:w="8100" w:type="dxa"/>
            <w:vAlign w:val="bottom"/>
            <w:gridSpan w:val="2"/>
            <w:shd w:val="clear" w:color="auto" w:fill="D8D8D8"/>
          </w:tcPr>
          <w:p>
            <w:pPr>
              <w:ind w:left="60"/>
              <w:spacing w:after="0"/>
              <w:rPr>
                <w:sz w:val="20"/>
                <w:szCs w:val="20"/>
                <w:color w:val="auto"/>
              </w:rPr>
            </w:pPr>
            <w:r>
              <w:rPr>
                <w:rFonts w:ascii="Arial" w:cs="Arial" w:eastAsia="Arial" w:hAnsi="Arial"/>
                <w:sz w:val="13"/>
                <w:szCs w:val="13"/>
                <w:color w:val="auto"/>
              </w:rPr>
              <w:t>•  Selects the independent registered public accounting firm for endorsement by the Board and ratification by the stockholders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800" w:type="dxa"/>
            <w:vAlign w:val="bottom"/>
            <w:shd w:val="clear" w:color="auto" w:fill="D8D8D8"/>
          </w:tcPr>
          <w:p>
            <w:pPr>
              <w:ind w:left="160"/>
              <w:spacing w:after="0"/>
              <w:rPr>
                <w:sz w:val="20"/>
                <w:szCs w:val="20"/>
                <w:color w:val="auto"/>
              </w:rPr>
            </w:pPr>
            <w:r>
              <w:rPr>
                <w:rFonts w:ascii="Arial" w:cs="Arial" w:eastAsia="Arial" w:hAnsi="Arial"/>
                <w:sz w:val="14"/>
                <w:szCs w:val="14"/>
                <w:b w:val="1"/>
                <w:bCs w:val="1"/>
                <w:color w:val="auto"/>
              </w:rPr>
              <w:t>Debra Reed-Klages, Chair</w:t>
            </w:r>
          </w:p>
        </w:tc>
        <w:tc>
          <w:tcPr>
            <w:tcW w:w="8100" w:type="dxa"/>
            <w:vAlign w:val="bottom"/>
            <w:gridSpan w:val="2"/>
            <w:shd w:val="clear" w:color="auto" w:fill="D8D8D8"/>
          </w:tcPr>
          <w:p>
            <w:pPr>
              <w:ind w:left="60"/>
              <w:spacing w:after="0"/>
              <w:rPr>
                <w:sz w:val="20"/>
                <w:szCs w:val="20"/>
                <w:color w:val="auto"/>
              </w:rPr>
            </w:pPr>
            <w:r>
              <w:rPr>
                <w:rFonts w:ascii="Arial" w:cs="Arial" w:eastAsia="Arial" w:hAnsi="Arial"/>
                <w:sz w:val="13"/>
                <w:szCs w:val="13"/>
                <w:color w:val="auto"/>
              </w:rPr>
              <w:t>•  Reviews reports of the independent registered public accounting firm and internal auditors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shd w:val="clear" w:color="auto" w:fill="D8D8D8"/>
          </w:tcPr>
          <w:p>
            <w:pPr>
              <w:ind w:left="160"/>
              <w:spacing w:after="0"/>
              <w:rPr>
                <w:sz w:val="20"/>
                <w:szCs w:val="20"/>
                <w:color w:val="auto"/>
              </w:rPr>
            </w:pPr>
            <w:r>
              <w:rPr>
                <w:rFonts w:ascii="Arial" w:cs="Arial" w:eastAsia="Arial" w:hAnsi="Arial"/>
                <w:sz w:val="14"/>
                <w:szCs w:val="14"/>
                <w:b w:val="1"/>
                <w:bCs w:val="1"/>
                <w:color w:val="auto"/>
              </w:rPr>
              <w:t>John B. Frank</w:t>
            </w:r>
          </w:p>
        </w:tc>
        <w:tc>
          <w:tcPr>
            <w:tcW w:w="8100" w:type="dxa"/>
            <w:vAlign w:val="bottom"/>
            <w:gridSpan w:val="2"/>
            <w:shd w:val="clear" w:color="auto" w:fill="D8D8D8"/>
          </w:tcPr>
          <w:p>
            <w:pPr>
              <w:ind w:left="60"/>
              <w:spacing w:after="0"/>
              <w:rPr>
                <w:sz w:val="20"/>
                <w:szCs w:val="20"/>
                <w:color w:val="auto"/>
              </w:rPr>
            </w:pPr>
            <w:r>
              <w:rPr>
                <w:rFonts w:ascii="Arial" w:cs="Arial" w:eastAsia="Arial" w:hAnsi="Arial"/>
                <w:sz w:val="13"/>
                <w:szCs w:val="13"/>
                <w:color w:val="auto"/>
              </w:rPr>
              <w:t>•  Reviews and approves the scope and cost of all services (including non-audit services) provided by the independent registered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shd w:val="clear" w:color="auto" w:fill="D8D8D8"/>
          </w:tcPr>
          <w:p>
            <w:pPr>
              <w:ind w:left="160"/>
              <w:spacing w:after="0"/>
              <w:rPr>
                <w:sz w:val="20"/>
                <w:szCs w:val="20"/>
                <w:color w:val="auto"/>
              </w:rPr>
            </w:pPr>
            <w:r>
              <w:rPr>
                <w:rFonts w:ascii="Arial" w:cs="Arial" w:eastAsia="Arial" w:hAnsi="Arial"/>
                <w:sz w:val="14"/>
                <w:szCs w:val="14"/>
                <w:b w:val="1"/>
                <w:bCs w:val="1"/>
                <w:color w:val="auto"/>
              </w:rPr>
              <w:t>Marillyn A. Hewson</w:t>
            </w:r>
          </w:p>
        </w:tc>
        <w:tc>
          <w:tcPr>
            <w:tcW w:w="8100" w:type="dxa"/>
            <w:vAlign w:val="bottom"/>
            <w:gridSpan w:val="2"/>
            <w:shd w:val="clear" w:color="auto" w:fill="D8D8D8"/>
          </w:tcPr>
          <w:p>
            <w:pPr>
              <w:ind w:left="200"/>
              <w:spacing w:after="0"/>
              <w:rPr>
                <w:sz w:val="20"/>
                <w:szCs w:val="20"/>
                <w:color w:val="auto"/>
              </w:rPr>
            </w:pPr>
            <w:r>
              <w:rPr>
                <w:rFonts w:ascii="Arial" w:cs="Arial" w:eastAsia="Arial" w:hAnsi="Arial"/>
                <w:sz w:val="13"/>
                <w:szCs w:val="13"/>
                <w:color w:val="auto"/>
              </w:rPr>
              <w:t>public accounting firm</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800" w:type="dxa"/>
            <w:vAlign w:val="bottom"/>
            <w:shd w:val="clear" w:color="auto" w:fill="D8D8D8"/>
          </w:tcPr>
          <w:p>
            <w:pPr>
              <w:ind w:left="160"/>
              <w:spacing w:after="0"/>
              <w:rPr>
                <w:sz w:val="20"/>
                <w:szCs w:val="20"/>
                <w:color w:val="auto"/>
              </w:rPr>
            </w:pPr>
            <w:r>
              <w:rPr>
                <w:rFonts w:ascii="Arial" w:cs="Arial" w:eastAsia="Arial" w:hAnsi="Arial"/>
                <w:sz w:val="14"/>
                <w:szCs w:val="14"/>
                <w:b w:val="1"/>
                <w:bCs w:val="1"/>
                <w:color w:val="auto"/>
              </w:rPr>
              <w:t>Dambisa F. Moyo</w:t>
            </w:r>
          </w:p>
        </w:tc>
        <w:tc>
          <w:tcPr>
            <w:tcW w:w="8100" w:type="dxa"/>
            <w:vAlign w:val="bottom"/>
            <w:gridSpan w:val="2"/>
            <w:shd w:val="clear" w:color="auto" w:fill="D8D8D8"/>
          </w:tcPr>
          <w:p>
            <w:pPr>
              <w:ind w:left="60"/>
              <w:spacing w:after="0"/>
              <w:rPr>
                <w:sz w:val="20"/>
                <w:szCs w:val="20"/>
                <w:color w:val="auto"/>
              </w:rPr>
            </w:pPr>
            <w:r>
              <w:rPr>
                <w:rFonts w:ascii="Arial" w:cs="Arial" w:eastAsia="Arial" w:hAnsi="Arial"/>
                <w:sz w:val="13"/>
                <w:szCs w:val="13"/>
                <w:color w:val="auto"/>
              </w:rPr>
              <w:t>•  Monitors the effectiveness of the audit process and financial reporting</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D8D8D8"/>
          </w:tcPr>
          <w:p>
            <w:pPr>
              <w:spacing w:after="0"/>
              <w:rPr>
                <w:sz w:val="16"/>
                <w:szCs w:val="16"/>
                <w:color w:val="auto"/>
              </w:rPr>
            </w:pPr>
          </w:p>
        </w:tc>
        <w:tc>
          <w:tcPr>
            <w:tcW w:w="8100" w:type="dxa"/>
            <w:vAlign w:val="bottom"/>
            <w:gridSpan w:val="2"/>
            <w:shd w:val="clear" w:color="auto" w:fill="D8D8D8"/>
          </w:tcPr>
          <w:p>
            <w:pPr>
              <w:ind w:left="60"/>
              <w:spacing w:after="0"/>
              <w:rPr>
                <w:sz w:val="20"/>
                <w:szCs w:val="20"/>
                <w:color w:val="auto"/>
              </w:rPr>
            </w:pPr>
            <w:r>
              <w:rPr>
                <w:rFonts w:ascii="Arial" w:cs="Arial" w:eastAsia="Arial" w:hAnsi="Arial"/>
                <w:sz w:val="13"/>
                <w:szCs w:val="13"/>
                <w:color w:val="auto"/>
              </w:rPr>
              <w:t>•  Monitors the maintenance of an effective internal audit function</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D8D8D8"/>
          </w:tcPr>
          <w:p>
            <w:pPr>
              <w:spacing w:after="0"/>
              <w:rPr>
                <w:sz w:val="16"/>
                <w:szCs w:val="16"/>
                <w:color w:val="auto"/>
              </w:rPr>
            </w:pPr>
          </w:p>
        </w:tc>
        <w:tc>
          <w:tcPr>
            <w:tcW w:w="8100" w:type="dxa"/>
            <w:vAlign w:val="bottom"/>
            <w:gridSpan w:val="2"/>
            <w:shd w:val="clear" w:color="auto" w:fill="D8D8D8"/>
          </w:tcPr>
          <w:p>
            <w:pPr>
              <w:ind w:left="60"/>
              <w:spacing w:after="0"/>
              <w:rPr>
                <w:sz w:val="20"/>
                <w:szCs w:val="20"/>
                <w:color w:val="auto"/>
              </w:rPr>
            </w:pPr>
            <w:r>
              <w:rPr>
                <w:rFonts w:ascii="Arial" w:cs="Arial" w:eastAsia="Arial" w:hAnsi="Arial"/>
                <w:sz w:val="13"/>
                <w:szCs w:val="13"/>
                <w:color w:val="auto"/>
              </w:rPr>
              <w:t>•  Reviews the adequacy of accounting, internal control, auditing, and financial reporting matters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D8D8D8"/>
          </w:tcPr>
          <w:p>
            <w:pPr>
              <w:spacing w:after="0"/>
              <w:rPr>
                <w:sz w:val="16"/>
                <w:szCs w:val="16"/>
                <w:color w:val="auto"/>
              </w:rPr>
            </w:pPr>
          </w:p>
        </w:tc>
        <w:tc>
          <w:tcPr>
            <w:tcW w:w="8100" w:type="dxa"/>
            <w:vAlign w:val="bottom"/>
            <w:gridSpan w:val="2"/>
            <w:shd w:val="clear" w:color="auto" w:fill="D8D8D8"/>
          </w:tcPr>
          <w:p>
            <w:pPr>
              <w:ind w:left="60"/>
              <w:spacing w:after="0"/>
              <w:rPr>
                <w:sz w:val="20"/>
                <w:szCs w:val="20"/>
                <w:color w:val="auto"/>
              </w:rPr>
            </w:pPr>
            <w:r>
              <w:rPr>
                <w:rFonts w:ascii="Arial" w:cs="Arial" w:eastAsia="Arial" w:hAnsi="Arial"/>
                <w:sz w:val="13"/>
                <w:szCs w:val="13"/>
                <w:color w:val="auto"/>
              </w:rPr>
              <w:t>•  Monitors implementation and effectiveness of Chevron’s compliance policies and procedures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800" w:type="dxa"/>
            <w:vAlign w:val="bottom"/>
            <w:shd w:val="clear" w:color="auto" w:fill="D8D8D8"/>
          </w:tcPr>
          <w:p>
            <w:pPr>
              <w:spacing w:after="0"/>
              <w:rPr>
                <w:sz w:val="14"/>
                <w:szCs w:val="14"/>
                <w:color w:val="auto"/>
              </w:rPr>
            </w:pPr>
          </w:p>
        </w:tc>
        <w:tc>
          <w:tcPr>
            <w:tcW w:w="8100" w:type="dxa"/>
            <w:vAlign w:val="bottom"/>
            <w:gridSpan w:val="2"/>
            <w:shd w:val="clear" w:color="auto" w:fill="D8D8D8"/>
          </w:tcPr>
          <w:p>
            <w:pPr>
              <w:ind w:left="60"/>
              <w:spacing w:after="0"/>
              <w:rPr>
                <w:sz w:val="20"/>
                <w:szCs w:val="20"/>
                <w:color w:val="auto"/>
              </w:rPr>
            </w:pPr>
            <w:r>
              <w:rPr>
                <w:rFonts w:ascii="Arial" w:cs="Arial" w:eastAsia="Arial" w:hAnsi="Arial"/>
                <w:sz w:val="13"/>
                <w:szCs w:val="13"/>
                <w:color w:val="auto"/>
              </w:rPr>
              <w:t>•  Assists the Board in fulfilling its oversight of enterprise risk management, particularly financial risks, including, but not limited to,</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D8D8D8"/>
          </w:tcPr>
          <w:p>
            <w:pPr>
              <w:spacing w:after="0"/>
              <w:rPr>
                <w:sz w:val="12"/>
                <w:szCs w:val="12"/>
                <w:color w:val="auto"/>
              </w:rPr>
            </w:pPr>
          </w:p>
        </w:tc>
        <w:tc>
          <w:tcPr>
            <w:tcW w:w="8100" w:type="dxa"/>
            <w:vAlign w:val="bottom"/>
            <w:gridSpan w:val="2"/>
            <w:shd w:val="clear" w:color="auto" w:fill="D8D8D8"/>
          </w:tcPr>
          <w:p>
            <w:pPr>
              <w:ind w:left="200"/>
              <w:spacing w:after="0"/>
              <w:rPr>
                <w:sz w:val="20"/>
                <w:szCs w:val="20"/>
                <w:color w:val="auto"/>
              </w:rPr>
            </w:pPr>
            <w:r>
              <w:rPr>
                <w:rFonts w:ascii="Arial" w:cs="Arial" w:eastAsia="Arial" w:hAnsi="Arial"/>
                <w:sz w:val="13"/>
                <w:szCs w:val="13"/>
                <w:color w:val="auto"/>
              </w:rPr>
              <w:t>cybersecurity and sustainability and climate change risks as they relate to financial risk exposures, and Chevron’s Operational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800" w:type="dxa"/>
            <w:vAlign w:val="bottom"/>
            <w:shd w:val="clear" w:color="auto" w:fill="D8D8D8"/>
          </w:tcPr>
          <w:p>
            <w:pPr>
              <w:spacing w:after="0"/>
              <w:rPr>
                <w:sz w:val="15"/>
                <w:szCs w:val="15"/>
                <w:color w:val="auto"/>
              </w:rPr>
            </w:pPr>
          </w:p>
        </w:tc>
        <w:tc>
          <w:tcPr>
            <w:tcW w:w="8100" w:type="dxa"/>
            <w:vAlign w:val="bottom"/>
            <w:gridSpan w:val="2"/>
            <w:shd w:val="clear" w:color="auto" w:fill="D8D8D8"/>
          </w:tcPr>
          <w:p>
            <w:pPr>
              <w:ind w:left="200"/>
              <w:spacing w:after="0"/>
              <w:rPr>
                <w:sz w:val="20"/>
                <w:szCs w:val="20"/>
                <w:color w:val="auto"/>
              </w:rPr>
            </w:pPr>
            <w:r>
              <w:rPr>
                <w:rFonts w:ascii="Arial" w:cs="Arial" w:eastAsia="Arial" w:hAnsi="Arial"/>
                <w:sz w:val="13"/>
                <w:szCs w:val="13"/>
                <w:color w:val="auto"/>
              </w:rPr>
              <w:t>Excellence audit and assurance process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D8D8D8"/>
          </w:tcPr>
          <w:p>
            <w:pPr>
              <w:spacing w:after="0"/>
              <w:rPr>
                <w:sz w:val="16"/>
                <w:szCs w:val="16"/>
                <w:color w:val="auto"/>
              </w:rPr>
            </w:pPr>
          </w:p>
        </w:tc>
        <w:tc>
          <w:tcPr>
            <w:tcW w:w="8100" w:type="dxa"/>
            <w:vAlign w:val="bottom"/>
            <w:gridSpan w:val="2"/>
            <w:shd w:val="clear" w:color="auto" w:fill="D8D8D8"/>
          </w:tcPr>
          <w:p>
            <w:pPr>
              <w:ind w:left="60"/>
              <w:spacing w:after="0"/>
              <w:rPr>
                <w:sz w:val="20"/>
                <w:szCs w:val="20"/>
                <w:color w:val="auto"/>
              </w:rPr>
            </w:pPr>
            <w:r>
              <w:rPr>
                <w:rFonts w:ascii="Arial" w:cs="Arial" w:eastAsia="Arial" w:hAnsi="Arial"/>
                <w:sz w:val="13"/>
                <w:szCs w:val="13"/>
                <w:color w:val="auto"/>
              </w:rPr>
              <w:t>•  Evaluates the effectiveness of the Audit Committee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800" w:type="dxa"/>
            <w:vAlign w:val="bottom"/>
            <w:shd w:val="clear" w:color="auto" w:fill="D8D8D8"/>
          </w:tcPr>
          <w:p>
            <w:pPr>
              <w:spacing w:after="0"/>
              <w:rPr>
                <w:sz w:val="5"/>
                <w:szCs w:val="5"/>
                <w:color w:val="auto"/>
              </w:rPr>
            </w:pPr>
          </w:p>
        </w:tc>
        <w:tc>
          <w:tcPr>
            <w:tcW w:w="6000" w:type="dxa"/>
            <w:vAlign w:val="bottom"/>
            <w:shd w:val="clear" w:color="auto" w:fill="D8D8D8"/>
          </w:tcPr>
          <w:p>
            <w:pPr>
              <w:spacing w:after="0"/>
              <w:rPr>
                <w:sz w:val="5"/>
                <w:szCs w:val="5"/>
                <w:color w:val="auto"/>
              </w:rPr>
            </w:pPr>
          </w:p>
        </w:tc>
        <w:tc>
          <w:tcPr>
            <w:tcW w:w="2100" w:type="dxa"/>
            <w:vAlign w:val="bottom"/>
            <w:shd w:val="clear" w:color="auto" w:fill="D8D8D8"/>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-1585595</wp:posOffset>
            </wp:positionV>
            <wp:extent cx="6926580" cy="66694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26580" cy="666940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8"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0B2D71"/>
        </w:rPr>
        <w:t>Board nominating</w:t>
      </w:r>
    </w:p>
    <w:p>
      <w:pPr>
        <w:spacing w:after="0" w:line="10"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0B2D71"/>
        </w:rPr>
        <w:t>and governance</w:t>
      </w:r>
    </w:p>
    <w:p>
      <w:pPr>
        <w:spacing w:after="0" w:line="4"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Wanda M. Austin, Chair</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Alice P. Gast</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Charles W. Moorman</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Ronald D. Sugar</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D. James Umpleby III</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142" w:right="540" w:hanging="142"/>
        <w:spacing w:after="0" w:line="270" w:lineRule="auto"/>
        <w:tabs>
          <w:tab w:leader="none" w:pos="148" w:val="left"/>
        </w:tabs>
        <w:numPr>
          <w:ilvl w:val="0"/>
          <w:numId w:val="41"/>
        </w:numPr>
        <w:rPr>
          <w:rFonts w:ascii="Arial" w:cs="Arial" w:eastAsia="Arial" w:hAnsi="Arial"/>
          <w:sz w:val="13"/>
          <w:szCs w:val="13"/>
          <w:color w:val="auto"/>
        </w:rPr>
      </w:pPr>
      <w:r>
        <w:rPr>
          <w:rFonts w:ascii="Arial" w:cs="Arial" w:eastAsia="Arial" w:hAnsi="Arial"/>
          <w:sz w:val="13"/>
          <w:szCs w:val="13"/>
          <w:color w:val="auto"/>
        </w:rPr>
        <w:t>Evaluates the effectiveness of the Board and its Committees and recommends changes to improve Board, Board Committee, and individual Director effectiveness</w:t>
      </w:r>
    </w:p>
    <w:p>
      <w:pPr>
        <w:spacing w:after="0" w:line="1" w:lineRule="exact"/>
        <w:rPr>
          <w:rFonts w:ascii="Arial" w:cs="Arial" w:eastAsia="Arial" w:hAnsi="Arial"/>
          <w:sz w:val="13"/>
          <w:szCs w:val="13"/>
          <w:color w:val="auto"/>
        </w:rPr>
      </w:pPr>
    </w:p>
    <w:p>
      <w:pPr>
        <w:ind w:left="142" w:right="460" w:hanging="142"/>
        <w:spacing w:after="0" w:line="259" w:lineRule="auto"/>
        <w:tabs>
          <w:tab w:leader="none" w:pos="141" w:val="left"/>
        </w:tabs>
        <w:numPr>
          <w:ilvl w:val="0"/>
          <w:numId w:val="41"/>
        </w:numPr>
        <w:rPr>
          <w:rFonts w:ascii="Arial" w:cs="Arial" w:eastAsia="Arial" w:hAnsi="Arial"/>
          <w:sz w:val="13"/>
          <w:szCs w:val="13"/>
          <w:color w:val="auto"/>
        </w:rPr>
      </w:pPr>
      <w:r>
        <w:rPr>
          <w:rFonts w:ascii="Arial" w:cs="Arial" w:eastAsia="Arial" w:hAnsi="Arial"/>
          <w:sz w:val="13"/>
          <w:szCs w:val="13"/>
          <w:color w:val="auto"/>
        </w:rPr>
        <w:t>Assesses the size and composition of the Board to evaluate the skills and experience that are currently represented, as well as the skills and characteristics that the Board may find valuable in the future, including but not limited to diversity, business leadership, finance, policy, and environmental and climate change experience</w:t>
      </w:r>
    </w:p>
    <w:p>
      <w:pPr>
        <w:spacing w:after="0" w:line="2" w:lineRule="exact"/>
        <w:rPr>
          <w:rFonts w:ascii="Arial" w:cs="Arial" w:eastAsia="Arial" w:hAnsi="Arial"/>
          <w:sz w:val="13"/>
          <w:szCs w:val="13"/>
          <w:color w:val="auto"/>
        </w:rPr>
      </w:pPr>
    </w:p>
    <w:p>
      <w:pPr>
        <w:ind w:left="142" w:hanging="142"/>
        <w:spacing w:after="0"/>
        <w:tabs>
          <w:tab w:leader="none" w:pos="142" w:val="left"/>
        </w:tabs>
        <w:numPr>
          <w:ilvl w:val="0"/>
          <w:numId w:val="41"/>
        </w:numPr>
        <w:rPr>
          <w:rFonts w:ascii="Arial" w:cs="Arial" w:eastAsia="Arial" w:hAnsi="Arial"/>
          <w:sz w:val="13"/>
          <w:szCs w:val="13"/>
          <w:color w:val="auto"/>
        </w:rPr>
      </w:pPr>
      <w:r>
        <w:rPr>
          <w:rFonts w:ascii="Arial" w:cs="Arial" w:eastAsia="Arial" w:hAnsi="Arial"/>
          <w:sz w:val="13"/>
          <w:szCs w:val="13"/>
          <w:color w:val="auto"/>
        </w:rPr>
        <w:t>Engages in succession planning for the Board and key leadership roles on the Board and its Committees</w:t>
      </w:r>
    </w:p>
    <w:p>
      <w:pPr>
        <w:spacing w:after="0" w:line="39" w:lineRule="exact"/>
        <w:rPr>
          <w:rFonts w:ascii="Arial" w:cs="Arial" w:eastAsia="Arial" w:hAnsi="Arial"/>
          <w:sz w:val="13"/>
          <w:szCs w:val="13"/>
          <w:color w:val="auto"/>
        </w:rPr>
      </w:pPr>
    </w:p>
    <w:p>
      <w:pPr>
        <w:ind w:left="142" w:hanging="142"/>
        <w:spacing w:after="0"/>
        <w:tabs>
          <w:tab w:leader="none" w:pos="142" w:val="left"/>
        </w:tabs>
        <w:numPr>
          <w:ilvl w:val="0"/>
          <w:numId w:val="41"/>
        </w:numPr>
        <w:rPr>
          <w:rFonts w:ascii="Arial" w:cs="Arial" w:eastAsia="Arial" w:hAnsi="Arial"/>
          <w:sz w:val="13"/>
          <w:szCs w:val="13"/>
          <w:color w:val="auto"/>
        </w:rPr>
      </w:pPr>
      <w:r>
        <w:rPr>
          <w:rFonts w:ascii="Arial" w:cs="Arial" w:eastAsia="Arial" w:hAnsi="Arial"/>
          <w:sz w:val="13"/>
          <w:szCs w:val="13"/>
          <w:color w:val="auto"/>
        </w:rPr>
        <w:t>Recommends prospective Director nominees</w:t>
      </w:r>
    </w:p>
    <w:p>
      <w:pPr>
        <w:spacing w:after="0" w:line="39" w:lineRule="exact"/>
        <w:rPr>
          <w:rFonts w:ascii="Arial" w:cs="Arial" w:eastAsia="Arial" w:hAnsi="Arial"/>
          <w:sz w:val="13"/>
          <w:szCs w:val="13"/>
          <w:color w:val="auto"/>
        </w:rPr>
      </w:pPr>
    </w:p>
    <w:p>
      <w:pPr>
        <w:ind w:left="142" w:hanging="142"/>
        <w:spacing w:after="0"/>
        <w:tabs>
          <w:tab w:leader="none" w:pos="142" w:val="left"/>
        </w:tabs>
        <w:numPr>
          <w:ilvl w:val="0"/>
          <w:numId w:val="41"/>
        </w:numPr>
        <w:rPr>
          <w:rFonts w:ascii="Arial" w:cs="Arial" w:eastAsia="Arial" w:hAnsi="Arial"/>
          <w:sz w:val="13"/>
          <w:szCs w:val="13"/>
          <w:color w:val="auto"/>
        </w:rPr>
      </w:pPr>
      <w:r>
        <w:rPr>
          <w:rFonts w:ascii="Arial" w:cs="Arial" w:eastAsia="Arial" w:hAnsi="Arial"/>
          <w:sz w:val="13"/>
          <w:szCs w:val="13"/>
          <w:color w:val="auto"/>
        </w:rPr>
        <w:t>Oversees the orientation process for new Directors and ongoing education for Directors</w:t>
      </w:r>
    </w:p>
    <w:p>
      <w:pPr>
        <w:spacing w:after="0" w:line="39" w:lineRule="exact"/>
        <w:rPr>
          <w:rFonts w:ascii="Arial" w:cs="Arial" w:eastAsia="Arial" w:hAnsi="Arial"/>
          <w:sz w:val="13"/>
          <w:szCs w:val="13"/>
          <w:color w:val="auto"/>
        </w:rPr>
      </w:pPr>
    </w:p>
    <w:p>
      <w:pPr>
        <w:ind w:left="142" w:hanging="142"/>
        <w:spacing w:after="0"/>
        <w:tabs>
          <w:tab w:leader="none" w:pos="142" w:val="left"/>
        </w:tabs>
        <w:numPr>
          <w:ilvl w:val="0"/>
          <w:numId w:val="41"/>
        </w:numPr>
        <w:rPr>
          <w:rFonts w:ascii="Arial" w:cs="Arial" w:eastAsia="Arial" w:hAnsi="Arial"/>
          <w:sz w:val="13"/>
          <w:szCs w:val="13"/>
          <w:color w:val="auto"/>
        </w:rPr>
      </w:pPr>
      <w:r>
        <w:rPr>
          <w:rFonts w:ascii="Arial" w:cs="Arial" w:eastAsia="Arial" w:hAnsi="Arial"/>
          <w:sz w:val="13"/>
          <w:szCs w:val="13"/>
          <w:color w:val="auto"/>
        </w:rPr>
        <w:t>Reviews and approves non-employee Director compensation</w:t>
      </w:r>
    </w:p>
    <w:p>
      <w:pPr>
        <w:spacing w:after="0" w:line="39" w:lineRule="exact"/>
        <w:rPr>
          <w:rFonts w:ascii="Arial" w:cs="Arial" w:eastAsia="Arial" w:hAnsi="Arial"/>
          <w:sz w:val="13"/>
          <w:szCs w:val="13"/>
          <w:color w:val="auto"/>
        </w:rPr>
      </w:pPr>
    </w:p>
    <w:p>
      <w:pPr>
        <w:ind w:left="142" w:right="600" w:hanging="142"/>
        <w:spacing w:after="0" w:line="270" w:lineRule="auto"/>
        <w:tabs>
          <w:tab w:leader="none" w:pos="148" w:val="left"/>
        </w:tabs>
        <w:numPr>
          <w:ilvl w:val="0"/>
          <w:numId w:val="41"/>
        </w:numPr>
        <w:rPr>
          <w:rFonts w:ascii="Arial" w:cs="Arial" w:eastAsia="Arial" w:hAnsi="Arial"/>
          <w:sz w:val="13"/>
          <w:szCs w:val="13"/>
          <w:color w:val="auto"/>
        </w:rPr>
      </w:pPr>
      <w:r>
        <w:rPr>
          <w:rFonts w:ascii="Arial" w:cs="Arial" w:eastAsia="Arial" w:hAnsi="Arial"/>
          <w:sz w:val="13"/>
          <w:szCs w:val="13"/>
          <w:color w:val="auto"/>
        </w:rPr>
        <w:t>Evaluates and recommends changes as appropriate in Chevron’s Corporate Governance Guidelines, Restated Certificate of Incorporation, By-Laws, and other Board-adopted governance provisions</w:t>
      </w:r>
    </w:p>
    <w:p>
      <w:pPr>
        <w:spacing w:after="0" w:line="1" w:lineRule="exact"/>
        <w:rPr>
          <w:rFonts w:ascii="Arial" w:cs="Arial" w:eastAsia="Arial" w:hAnsi="Arial"/>
          <w:sz w:val="13"/>
          <w:szCs w:val="13"/>
          <w:color w:val="auto"/>
        </w:rPr>
      </w:pPr>
    </w:p>
    <w:p>
      <w:pPr>
        <w:ind w:left="142" w:hanging="142"/>
        <w:spacing w:after="0"/>
        <w:tabs>
          <w:tab w:leader="none" w:pos="142" w:val="left"/>
        </w:tabs>
        <w:numPr>
          <w:ilvl w:val="0"/>
          <w:numId w:val="41"/>
        </w:numPr>
        <w:rPr>
          <w:rFonts w:ascii="Arial" w:cs="Arial" w:eastAsia="Arial" w:hAnsi="Arial"/>
          <w:sz w:val="13"/>
          <w:szCs w:val="13"/>
          <w:color w:val="auto"/>
        </w:rPr>
      </w:pPr>
      <w:r>
        <w:rPr>
          <w:rFonts w:ascii="Arial" w:cs="Arial" w:eastAsia="Arial" w:hAnsi="Arial"/>
          <w:sz w:val="13"/>
          <w:szCs w:val="13"/>
          <w:color w:val="auto"/>
        </w:rPr>
        <w:t>Assesses stock ownership guidelines for Directors and the Directors’ ownership relative to the guidelines</w:t>
      </w:r>
    </w:p>
    <w:p>
      <w:pPr>
        <w:spacing w:after="0" w:line="39" w:lineRule="exact"/>
        <w:rPr>
          <w:rFonts w:ascii="Arial" w:cs="Arial" w:eastAsia="Arial" w:hAnsi="Arial"/>
          <w:sz w:val="13"/>
          <w:szCs w:val="13"/>
          <w:color w:val="auto"/>
        </w:rPr>
      </w:pPr>
    </w:p>
    <w:p>
      <w:pPr>
        <w:ind w:left="142" w:right="620" w:hanging="142"/>
        <w:spacing w:after="0" w:line="270" w:lineRule="auto"/>
        <w:tabs>
          <w:tab w:leader="none" w:pos="148" w:val="left"/>
        </w:tabs>
        <w:numPr>
          <w:ilvl w:val="0"/>
          <w:numId w:val="41"/>
        </w:numPr>
        <w:rPr>
          <w:rFonts w:ascii="Arial" w:cs="Arial" w:eastAsia="Arial" w:hAnsi="Arial"/>
          <w:sz w:val="13"/>
          <w:szCs w:val="13"/>
          <w:color w:val="auto"/>
        </w:rPr>
      </w:pPr>
      <w:r>
        <w:rPr>
          <w:rFonts w:ascii="Arial" w:cs="Arial" w:eastAsia="Arial" w:hAnsi="Arial"/>
          <w:sz w:val="13"/>
          <w:szCs w:val="13"/>
          <w:color w:val="auto"/>
        </w:rPr>
        <w:t>Reviews stockholder proposals and recommends (in conjunction with the Public Policy and Sustainability Committee) Board responses to proposals</w:t>
      </w:r>
    </w:p>
    <w:p>
      <w:pPr>
        <w:spacing w:after="0" w:line="1" w:lineRule="exact"/>
        <w:rPr>
          <w:rFonts w:ascii="Arial" w:cs="Arial" w:eastAsia="Arial" w:hAnsi="Arial"/>
          <w:sz w:val="13"/>
          <w:szCs w:val="13"/>
          <w:color w:val="auto"/>
        </w:rPr>
      </w:pPr>
    </w:p>
    <w:p>
      <w:pPr>
        <w:ind w:left="142" w:right="920" w:hanging="142"/>
        <w:spacing w:after="0" w:line="270" w:lineRule="auto"/>
        <w:tabs>
          <w:tab w:leader="none" w:pos="141" w:val="left"/>
        </w:tabs>
        <w:numPr>
          <w:ilvl w:val="0"/>
          <w:numId w:val="41"/>
        </w:numPr>
        <w:rPr>
          <w:rFonts w:ascii="Arial" w:cs="Arial" w:eastAsia="Arial" w:hAnsi="Arial"/>
          <w:sz w:val="13"/>
          <w:szCs w:val="13"/>
          <w:color w:val="auto"/>
        </w:rPr>
      </w:pPr>
      <w:r>
        <w:rPr>
          <w:rFonts w:ascii="Arial" w:cs="Arial" w:eastAsia="Arial" w:hAnsi="Arial"/>
          <w:sz w:val="13"/>
          <w:szCs w:val="13"/>
          <w:color w:val="auto"/>
        </w:rPr>
        <w:t>Assists the Board in fulfilling its oversight of enterprise risk management, particularly risks in connection with Chevron’s corporate governance practices and processes</w:t>
      </w:r>
    </w:p>
    <w:p>
      <w:pPr>
        <w:spacing w:after="0" w:line="1" w:lineRule="exact"/>
        <w:rPr>
          <w:rFonts w:ascii="Arial" w:cs="Arial" w:eastAsia="Arial" w:hAnsi="Arial"/>
          <w:sz w:val="13"/>
          <w:szCs w:val="13"/>
          <w:color w:val="auto"/>
        </w:rPr>
      </w:pPr>
    </w:p>
    <w:p>
      <w:pPr>
        <w:ind w:left="142" w:hanging="142"/>
        <w:spacing w:after="0"/>
        <w:tabs>
          <w:tab w:leader="none" w:pos="142" w:val="left"/>
        </w:tabs>
        <w:numPr>
          <w:ilvl w:val="0"/>
          <w:numId w:val="41"/>
        </w:numPr>
        <w:rPr>
          <w:rFonts w:ascii="Arial" w:cs="Arial" w:eastAsia="Arial" w:hAnsi="Arial"/>
          <w:sz w:val="13"/>
          <w:szCs w:val="13"/>
          <w:color w:val="auto"/>
        </w:rPr>
      </w:pPr>
      <w:r>
        <w:rPr>
          <w:rFonts w:ascii="Arial" w:cs="Arial" w:eastAsia="Arial" w:hAnsi="Arial"/>
          <w:sz w:val="13"/>
          <w:szCs w:val="13"/>
          <w:color w:val="auto"/>
        </w:rPr>
        <w:t>Evaluates the effectiveness of the Governance Committee</w:t>
      </w:r>
    </w:p>
    <w:p>
      <w:pPr>
        <w:spacing w:after="0" w:line="93" w:lineRule="exact"/>
        <w:rPr>
          <w:sz w:val="20"/>
          <w:szCs w:val="20"/>
          <w:color w:val="auto"/>
        </w:rPr>
      </w:pPr>
    </w:p>
    <w:p>
      <w:pPr>
        <w:sectPr>
          <w:pgSz w:w="11900" w:h="16838" w:orient="portrait"/>
          <w:cols w:equalWidth="0" w:num="2">
            <w:col w:w="2258" w:space="720"/>
            <w:col w:w="8162"/>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2440" w:type="dxa"/>
            <w:vAlign w:val="bottom"/>
            <w:shd w:val="clear" w:color="auto" w:fill="D8D8D8"/>
          </w:tcPr>
          <w:p>
            <w:pPr>
              <w:ind w:left="160"/>
              <w:spacing w:after="0"/>
              <w:rPr>
                <w:sz w:val="20"/>
                <w:szCs w:val="20"/>
                <w:color w:val="auto"/>
              </w:rPr>
            </w:pPr>
            <w:r>
              <w:rPr>
                <w:rFonts w:ascii="Arial" w:cs="Arial" w:eastAsia="Arial" w:hAnsi="Arial"/>
                <w:sz w:val="17"/>
                <w:szCs w:val="17"/>
                <w:b w:val="1"/>
                <w:bCs w:val="1"/>
                <w:color w:val="0B2D71"/>
              </w:rPr>
              <w:t>Management</w:t>
            </w:r>
          </w:p>
        </w:tc>
        <w:tc>
          <w:tcPr>
            <w:tcW w:w="8460" w:type="dxa"/>
            <w:vAlign w:val="bottom"/>
            <w:shd w:val="clear" w:color="auto" w:fill="D8D8D8"/>
          </w:tcPr>
          <w:p>
            <w:pPr>
              <w:ind w:left="420"/>
              <w:spacing w:after="0"/>
              <w:rPr>
                <w:sz w:val="20"/>
                <w:szCs w:val="20"/>
                <w:color w:val="auto"/>
              </w:rPr>
            </w:pPr>
            <w:r>
              <w:rPr>
                <w:rFonts w:ascii="Arial" w:cs="Arial" w:eastAsia="Arial" w:hAnsi="Arial"/>
                <w:sz w:val="13"/>
                <w:szCs w:val="13"/>
                <w:color w:val="auto"/>
              </w:rPr>
              <w:t>•  Conducts an annual review of the CEO’s performance</w:t>
            </w:r>
          </w:p>
        </w:tc>
      </w:tr>
      <w:tr>
        <w:trPr>
          <w:trHeight w:val="171"/>
        </w:trPr>
        <w:tc>
          <w:tcPr>
            <w:tcW w:w="2440" w:type="dxa"/>
            <w:vAlign w:val="bottom"/>
            <w:shd w:val="clear" w:color="auto" w:fill="D8D8D8"/>
          </w:tcPr>
          <w:p>
            <w:pPr>
              <w:ind w:left="160"/>
              <w:spacing w:after="0" w:line="171" w:lineRule="exact"/>
              <w:rPr>
                <w:sz w:val="20"/>
                <w:szCs w:val="20"/>
                <w:color w:val="auto"/>
              </w:rPr>
            </w:pPr>
            <w:r>
              <w:rPr>
                <w:rFonts w:ascii="Arial" w:cs="Arial" w:eastAsia="Arial" w:hAnsi="Arial"/>
                <w:sz w:val="17"/>
                <w:szCs w:val="17"/>
                <w:b w:val="1"/>
                <w:bCs w:val="1"/>
                <w:color w:val="0B2D71"/>
              </w:rPr>
              <w:t>compensation</w:t>
            </w:r>
          </w:p>
        </w:tc>
        <w:tc>
          <w:tcPr>
            <w:tcW w:w="8460" w:type="dxa"/>
            <w:vAlign w:val="bottom"/>
            <w:shd w:val="clear" w:color="auto" w:fill="D8D8D8"/>
          </w:tcPr>
          <w:p>
            <w:pPr>
              <w:ind w:left="420"/>
              <w:spacing w:after="0"/>
              <w:rPr>
                <w:sz w:val="20"/>
                <w:szCs w:val="20"/>
                <w:color w:val="auto"/>
              </w:rPr>
            </w:pPr>
            <w:r>
              <w:rPr>
                <w:rFonts w:ascii="Arial" w:cs="Arial" w:eastAsia="Arial" w:hAnsi="Arial"/>
                <w:sz w:val="13"/>
                <w:szCs w:val="13"/>
                <w:color w:val="auto"/>
              </w:rPr>
              <w:t>•  Reviews and recommends to the independent Directors salary and the short-term and long-term incentive compensation for the</w:t>
            </w:r>
          </w:p>
        </w:tc>
      </w:tr>
      <w:tr>
        <w:trPr>
          <w:trHeight w:val="176"/>
        </w:trPr>
        <w:tc>
          <w:tcPr>
            <w:tcW w:w="2440" w:type="dxa"/>
            <w:vAlign w:val="bottom"/>
            <w:shd w:val="clear" w:color="auto" w:fill="D8D8D8"/>
          </w:tcPr>
          <w:p>
            <w:pPr>
              <w:ind w:left="160"/>
              <w:spacing w:after="0"/>
              <w:rPr>
                <w:sz w:val="20"/>
                <w:szCs w:val="20"/>
                <w:color w:val="auto"/>
              </w:rPr>
            </w:pPr>
            <w:r>
              <w:rPr>
                <w:rFonts w:ascii="Arial" w:cs="Arial" w:eastAsia="Arial" w:hAnsi="Arial"/>
                <w:sz w:val="14"/>
                <w:szCs w:val="14"/>
                <w:b w:val="1"/>
                <w:bCs w:val="1"/>
                <w:color w:val="auto"/>
              </w:rPr>
              <w:t>Charles W. Moorman, Chair</w:t>
            </w:r>
          </w:p>
        </w:tc>
        <w:tc>
          <w:tcPr>
            <w:tcW w:w="8460" w:type="dxa"/>
            <w:vAlign w:val="bottom"/>
            <w:shd w:val="clear" w:color="auto" w:fill="D8D8D8"/>
          </w:tcPr>
          <w:p>
            <w:pPr>
              <w:ind w:left="560"/>
              <w:spacing w:after="0"/>
              <w:rPr>
                <w:sz w:val="20"/>
                <w:szCs w:val="20"/>
                <w:color w:val="auto"/>
              </w:rPr>
            </w:pPr>
            <w:r>
              <w:rPr>
                <w:rFonts w:ascii="Arial" w:cs="Arial" w:eastAsia="Arial" w:hAnsi="Arial"/>
                <w:sz w:val="13"/>
                <w:szCs w:val="13"/>
                <w:color w:val="auto"/>
              </w:rPr>
              <w:t>CEO</w:t>
            </w:r>
          </w:p>
        </w:tc>
      </w:tr>
      <w:tr>
        <w:trPr>
          <w:trHeight w:val="179"/>
        </w:trPr>
        <w:tc>
          <w:tcPr>
            <w:tcW w:w="2440" w:type="dxa"/>
            <w:vAlign w:val="bottom"/>
            <w:shd w:val="clear" w:color="auto" w:fill="D8D8D8"/>
          </w:tcPr>
          <w:p>
            <w:pPr>
              <w:ind w:left="160"/>
              <w:spacing w:after="0"/>
              <w:rPr>
                <w:sz w:val="20"/>
                <w:szCs w:val="20"/>
                <w:color w:val="auto"/>
              </w:rPr>
            </w:pPr>
            <w:r>
              <w:rPr>
                <w:rFonts w:ascii="Arial" w:cs="Arial" w:eastAsia="Arial" w:hAnsi="Arial"/>
                <w:sz w:val="14"/>
                <w:szCs w:val="14"/>
                <w:b w:val="1"/>
                <w:bCs w:val="1"/>
                <w:color w:val="auto"/>
              </w:rPr>
              <w:t>Wanda M. Austin</w:t>
            </w:r>
          </w:p>
        </w:tc>
        <w:tc>
          <w:tcPr>
            <w:tcW w:w="8460" w:type="dxa"/>
            <w:vAlign w:val="bottom"/>
            <w:shd w:val="clear" w:color="auto" w:fill="D8D8D8"/>
          </w:tcPr>
          <w:p>
            <w:pPr>
              <w:ind w:left="420"/>
              <w:spacing w:after="0"/>
              <w:rPr>
                <w:sz w:val="20"/>
                <w:szCs w:val="20"/>
                <w:color w:val="auto"/>
              </w:rPr>
            </w:pPr>
            <w:r>
              <w:rPr>
                <w:rFonts w:ascii="Arial" w:cs="Arial" w:eastAsia="Arial" w:hAnsi="Arial"/>
                <w:sz w:val="13"/>
                <w:szCs w:val="13"/>
                <w:color w:val="auto"/>
              </w:rPr>
              <w:t>•  Reviews and approves salaries and short-term and long-term incentive compensation for executive officers other than the CEO</w:t>
            </w:r>
          </w:p>
        </w:tc>
      </w:tr>
      <w:tr>
        <w:trPr>
          <w:trHeight w:val="159"/>
        </w:trPr>
        <w:tc>
          <w:tcPr>
            <w:tcW w:w="2440" w:type="dxa"/>
            <w:vAlign w:val="bottom"/>
            <w:shd w:val="clear" w:color="auto" w:fill="D8D8D8"/>
          </w:tcPr>
          <w:p>
            <w:pPr>
              <w:ind w:left="160"/>
              <w:spacing w:after="0" w:line="159" w:lineRule="exact"/>
              <w:rPr>
                <w:sz w:val="20"/>
                <w:szCs w:val="20"/>
                <w:color w:val="auto"/>
              </w:rPr>
            </w:pPr>
            <w:r>
              <w:rPr>
                <w:rFonts w:ascii="Arial" w:cs="Arial" w:eastAsia="Arial" w:hAnsi="Arial"/>
                <w:sz w:val="14"/>
                <w:szCs w:val="14"/>
                <w:b w:val="1"/>
                <w:bCs w:val="1"/>
                <w:color w:val="auto"/>
              </w:rPr>
              <w:t>Enrique Hernandez, Jr.</w:t>
            </w:r>
          </w:p>
        </w:tc>
        <w:tc>
          <w:tcPr>
            <w:tcW w:w="8460" w:type="dxa"/>
            <w:vAlign w:val="bottom"/>
            <w:shd w:val="clear" w:color="auto" w:fill="D8D8D8"/>
          </w:tcPr>
          <w:p>
            <w:pPr>
              <w:ind w:left="420"/>
              <w:spacing w:after="0"/>
              <w:rPr>
                <w:sz w:val="20"/>
                <w:szCs w:val="20"/>
                <w:color w:val="auto"/>
              </w:rPr>
            </w:pPr>
            <w:r>
              <w:rPr>
                <w:rFonts w:ascii="Arial" w:cs="Arial" w:eastAsia="Arial" w:hAnsi="Arial"/>
                <w:sz w:val="13"/>
                <w:szCs w:val="13"/>
                <w:color w:val="auto"/>
              </w:rPr>
              <w:t>•  Reviews the annual Compensation Discussion and Analysis (“CD&amp;A”) and recommends to the independent Directors to include</w:t>
            </w:r>
          </w:p>
        </w:tc>
      </w:tr>
      <w:tr>
        <w:trPr>
          <w:trHeight w:val="165"/>
        </w:trPr>
        <w:tc>
          <w:tcPr>
            <w:tcW w:w="2440" w:type="dxa"/>
            <w:vAlign w:val="bottom"/>
            <w:shd w:val="clear" w:color="auto" w:fill="D8D8D8"/>
          </w:tcPr>
          <w:p>
            <w:pPr>
              <w:ind w:left="160"/>
              <w:spacing w:after="0"/>
              <w:rPr>
                <w:sz w:val="20"/>
                <w:szCs w:val="20"/>
                <w:color w:val="auto"/>
              </w:rPr>
            </w:pPr>
            <w:r>
              <w:rPr>
                <w:rFonts w:ascii="Arial" w:cs="Arial" w:eastAsia="Arial" w:hAnsi="Arial"/>
                <w:sz w:val="14"/>
                <w:szCs w:val="14"/>
                <w:b w:val="1"/>
                <w:bCs w:val="1"/>
                <w:color w:val="auto"/>
              </w:rPr>
              <w:t>Jon M. Huntsman Jr.</w:t>
            </w:r>
          </w:p>
        </w:tc>
        <w:tc>
          <w:tcPr>
            <w:tcW w:w="8460" w:type="dxa"/>
            <w:vAlign w:val="bottom"/>
            <w:shd w:val="clear" w:color="auto" w:fill="D8D8D8"/>
          </w:tcPr>
          <w:p>
            <w:pPr>
              <w:ind w:left="560"/>
              <w:spacing w:after="0"/>
              <w:rPr>
                <w:sz w:val="20"/>
                <w:szCs w:val="20"/>
                <w:color w:val="auto"/>
              </w:rPr>
            </w:pPr>
            <w:r>
              <w:rPr>
                <w:rFonts w:ascii="Arial" w:cs="Arial" w:eastAsia="Arial" w:hAnsi="Arial"/>
                <w:sz w:val="13"/>
                <w:szCs w:val="13"/>
                <w:color w:val="auto"/>
              </w:rPr>
              <w:t>in the Proxy Statement.</w:t>
            </w:r>
          </w:p>
        </w:tc>
      </w:tr>
      <w:tr>
        <w:trPr>
          <w:trHeight w:val="200"/>
        </w:trPr>
        <w:tc>
          <w:tcPr>
            <w:tcW w:w="2440" w:type="dxa"/>
            <w:vAlign w:val="bottom"/>
            <w:shd w:val="clear" w:color="auto" w:fill="D8D8D8"/>
          </w:tcPr>
          <w:p>
            <w:pPr>
              <w:ind w:left="160"/>
              <w:spacing w:after="0"/>
              <w:rPr>
                <w:sz w:val="20"/>
                <w:szCs w:val="20"/>
                <w:color w:val="auto"/>
              </w:rPr>
            </w:pPr>
            <w:r>
              <w:rPr>
                <w:rFonts w:ascii="Arial" w:cs="Arial" w:eastAsia="Arial" w:hAnsi="Arial"/>
                <w:sz w:val="14"/>
                <w:szCs w:val="14"/>
                <w:b w:val="1"/>
                <w:bCs w:val="1"/>
                <w:color w:val="auto"/>
              </w:rPr>
              <w:t>Ronald D. Sugar</w:t>
            </w:r>
          </w:p>
        </w:tc>
        <w:tc>
          <w:tcPr>
            <w:tcW w:w="8460" w:type="dxa"/>
            <w:vAlign w:val="bottom"/>
            <w:shd w:val="clear" w:color="auto" w:fill="D8D8D8"/>
          </w:tcPr>
          <w:p>
            <w:pPr>
              <w:ind w:left="420"/>
              <w:spacing w:after="0"/>
              <w:rPr>
                <w:sz w:val="20"/>
                <w:szCs w:val="20"/>
                <w:color w:val="auto"/>
              </w:rPr>
            </w:pPr>
            <w:r>
              <w:rPr>
                <w:rFonts w:ascii="Arial" w:cs="Arial" w:eastAsia="Arial" w:hAnsi="Arial"/>
                <w:sz w:val="13"/>
                <w:szCs w:val="13"/>
                <w:color w:val="auto"/>
              </w:rPr>
              <w:t>•  Administers Chevron’s executive incentive and equity-based compensation plans</w:t>
            </w:r>
          </w:p>
        </w:tc>
      </w:tr>
      <w:tr>
        <w:trPr>
          <w:trHeight w:val="189"/>
        </w:trPr>
        <w:tc>
          <w:tcPr>
            <w:tcW w:w="2440" w:type="dxa"/>
            <w:vAlign w:val="bottom"/>
            <w:shd w:val="clear" w:color="auto" w:fill="D8D8D8"/>
          </w:tcPr>
          <w:p>
            <w:pPr>
              <w:spacing w:after="0"/>
              <w:rPr>
                <w:sz w:val="16"/>
                <w:szCs w:val="16"/>
                <w:color w:val="auto"/>
              </w:rPr>
            </w:pPr>
          </w:p>
        </w:tc>
        <w:tc>
          <w:tcPr>
            <w:tcW w:w="8460" w:type="dxa"/>
            <w:vAlign w:val="bottom"/>
            <w:shd w:val="clear" w:color="auto" w:fill="D8D8D8"/>
          </w:tcPr>
          <w:p>
            <w:pPr>
              <w:ind w:left="420"/>
              <w:spacing w:after="0"/>
              <w:rPr>
                <w:sz w:val="20"/>
                <w:szCs w:val="20"/>
                <w:color w:val="auto"/>
              </w:rPr>
            </w:pPr>
            <w:r>
              <w:rPr>
                <w:rFonts w:ascii="Arial" w:cs="Arial" w:eastAsia="Arial" w:hAnsi="Arial"/>
                <w:sz w:val="13"/>
                <w:szCs w:val="13"/>
                <w:color w:val="auto"/>
              </w:rPr>
              <w:t>•  Reviews Chevron’s strategies and supporting processes for executive retention and diversity</w:t>
            </w:r>
          </w:p>
        </w:tc>
      </w:tr>
      <w:tr>
        <w:trPr>
          <w:trHeight w:val="161"/>
        </w:trPr>
        <w:tc>
          <w:tcPr>
            <w:tcW w:w="2440" w:type="dxa"/>
            <w:vAlign w:val="bottom"/>
            <w:shd w:val="clear" w:color="auto" w:fill="D8D8D8"/>
          </w:tcPr>
          <w:p>
            <w:pPr>
              <w:spacing w:after="0"/>
              <w:rPr>
                <w:sz w:val="14"/>
                <w:szCs w:val="14"/>
                <w:color w:val="auto"/>
              </w:rPr>
            </w:pPr>
          </w:p>
        </w:tc>
        <w:tc>
          <w:tcPr>
            <w:tcW w:w="8460" w:type="dxa"/>
            <w:vAlign w:val="bottom"/>
            <w:shd w:val="clear" w:color="auto" w:fill="D8D8D8"/>
          </w:tcPr>
          <w:p>
            <w:pPr>
              <w:ind w:left="420"/>
              <w:spacing w:after="0"/>
              <w:rPr>
                <w:sz w:val="20"/>
                <w:szCs w:val="20"/>
                <w:color w:val="auto"/>
              </w:rPr>
            </w:pPr>
            <w:r>
              <w:rPr>
                <w:rFonts w:ascii="Arial" w:cs="Arial" w:eastAsia="Arial" w:hAnsi="Arial"/>
                <w:sz w:val="13"/>
                <w:szCs w:val="13"/>
                <w:color w:val="auto"/>
              </w:rPr>
              <w:t>•  Reviews and approves an executive compensation philosophy that aligns with Chevron’s strategy and stockholder interests,</w:t>
            </w:r>
          </w:p>
        </w:tc>
      </w:tr>
      <w:tr>
        <w:trPr>
          <w:trHeight w:val="176"/>
        </w:trPr>
        <w:tc>
          <w:tcPr>
            <w:tcW w:w="2440" w:type="dxa"/>
            <w:vAlign w:val="bottom"/>
            <w:shd w:val="clear" w:color="auto" w:fill="D8D8D8"/>
          </w:tcPr>
          <w:p>
            <w:pPr>
              <w:spacing w:after="0"/>
              <w:rPr>
                <w:sz w:val="15"/>
                <w:szCs w:val="15"/>
                <w:color w:val="auto"/>
              </w:rPr>
            </w:pPr>
          </w:p>
        </w:tc>
        <w:tc>
          <w:tcPr>
            <w:tcW w:w="8460" w:type="dxa"/>
            <w:vAlign w:val="bottom"/>
            <w:shd w:val="clear" w:color="auto" w:fill="D8D8D8"/>
          </w:tcPr>
          <w:p>
            <w:pPr>
              <w:ind w:left="560"/>
              <w:spacing w:after="0"/>
              <w:rPr>
                <w:sz w:val="20"/>
                <w:szCs w:val="20"/>
                <w:color w:val="auto"/>
              </w:rPr>
            </w:pPr>
            <w:r>
              <w:rPr>
                <w:rFonts w:ascii="Arial" w:cs="Arial" w:eastAsia="Arial" w:hAnsi="Arial"/>
                <w:sz w:val="13"/>
                <w:szCs w:val="13"/>
                <w:color w:val="auto"/>
              </w:rPr>
              <w:t>including those related to sustainability and climate change risks and opportunities</w:t>
            </w:r>
          </w:p>
        </w:tc>
      </w:tr>
      <w:tr>
        <w:trPr>
          <w:trHeight w:val="161"/>
        </w:trPr>
        <w:tc>
          <w:tcPr>
            <w:tcW w:w="2440" w:type="dxa"/>
            <w:vAlign w:val="bottom"/>
            <w:shd w:val="clear" w:color="auto" w:fill="D8D8D8"/>
          </w:tcPr>
          <w:p>
            <w:pPr>
              <w:spacing w:after="0"/>
              <w:rPr>
                <w:sz w:val="14"/>
                <w:szCs w:val="14"/>
                <w:color w:val="auto"/>
              </w:rPr>
            </w:pPr>
          </w:p>
        </w:tc>
        <w:tc>
          <w:tcPr>
            <w:tcW w:w="8460" w:type="dxa"/>
            <w:vAlign w:val="bottom"/>
            <w:shd w:val="clear" w:color="auto" w:fill="D8D8D8"/>
          </w:tcPr>
          <w:p>
            <w:pPr>
              <w:ind w:left="420"/>
              <w:spacing w:after="0"/>
              <w:rPr>
                <w:sz w:val="20"/>
                <w:szCs w:val="20"/>
                <w:color w:val="auto"/>
              </w:rPr>
            </w:pPr>
            <w:r>
              <w:rPr>
                <w:rFonts w:ascii="Arial" w:cs="Arial" w:eastAsia="Arial" w:hAnsi="Arial"/>
                <w:sz w:val="13"/>
                <w:szCs w:val="13"/>
                <w:color w:val="auto"/>
              </w:rPr>
              <w:t>•  Reviews and approves peer group(s) used to benchmark executive compensation levels, program design and practices, and</w:t>
            </w:r>
          </w:p>
        </w:tc>
      </w:tr>
      <w:tr>
        <w:trPr>
          <w:trHeight w:val="176"/>
        </w:trPr>
        <w:tc>
          <w:tcPr>
            <w:tcW w:w="2440" w:type="dxa"/>
            <w:vAlign w:val="bottom"/>
            <w:shd w:val="clear" w:color="auto" w:fill="D8D8D8"/>
          </w:tcPr>
          <w:p>
            <w:pPr>
              <w:spacing w:after="0"/>
              <w:rPr>
                <w:sz w:val="15"/>
                <w:szCs w:val="15"/>
                <w:color w:val="auto"/>
              </w:rPr>
            </w:pPr>
          </w:p>
        </w:tc>
        <w:tc>
          <w:tcPr>
            <w:tcW w:w="8460" w:type="dxa"/>
            <w:vAlign w:val="bottom"/>
            <w:shd w:val="clear" w:color="auto" w:fill="D8D8D8"/>
          </w:tcPr>
          <w:p>
            <w:pPr>
              <w:ind w:left="560"/>
              <w:spacing w:after="0"/>
              <w:rPr>
                <w:sz w:val="20"/>
                <w:szCs w:val="20"/>
                <w:color w:val="auto"/>
              </w:rPr>
            </w:pPr>
            <w:r>
              <w:rPr>
                <w:rFonts w:ascii="Arial" w:cs="Arial" w:eastAsia="Arial" w:hAnsi="Arial"/>
                <w:sz w:val="13"/>
                <w:szCs w:val="13"/>
                <w:color w:val="auto"/>
              </w:rPr>
              <w:t>relative performance</w:t>
            </w:r>
          </w:p>
        </w:tc>
      </w:tr>
      <w:tr>
        <w:trPr>
          <w:trHeight w:val="161"/>
        </w:trPr>
        <w:tc>
          <w:tcPr>
            <w:tcW w:w="2440" w:type="dxa"/>
            <w:vAlign w:val="bottom"/>
            <w:shd w:val="clear" w:color="auto" w:fill="D8D8D8"/>
          </w:tcPr>
          <w:p>
            <w:pPr>
              <w:spacing w:after="0"/>
              <w:rPr>
                <w:sz w:val="14"/>
                <w:szCs w:val="14"/>
                <w:color w:val="auto"/>
              </w:rPr>
            </w:pPr>
          </w:p>
        </w:tc>
        <w:tc>
          <w:tcPr>
            <w:tcW w:w="8460" w:type="dxa"/>
            <w:vAlign w:val="bottom"/>
            <w:shd w:val="clear" w:color="auto" w:fill="D8D8D8"/>
          </w:tcPr>
          <w:p>
            <w:pPr>
              <w:ind w:left="420"/>
              <w:spacing w:after="0"/>
              <w:rPr>
                <w:sz w:val="20"/>
                <w:szCs w:val="20"/>
                <w:color w:val="auto"/>
              </w:rPr>
            </w:pPr>
            <w:r>
              <w:rPr>
                <w:rFonts w:ascii="Arial" w:cs="Arial" w:eastAsia="Arial" w:hAnsi="Arial"/>
                <w:sz w:val="13"/>
                <w:szCs w:val="13"/>
                <w:color w:val="auto"/>
              </w:rPr>
              <w:t>•  Assists the Board in fulfilling its oversight of enterprise risk management, particularly risks in connection with Chevron’s</w:t>
            </w:r>
          </w:p>
        </w:tc>
      </w:tr>
      <w:tr>
        <w:trPr>
          <w:trHeight w:val="176"/>
        </w:trPr>
        <w:tc>
          <w:tcPr>
            <w:tcW w:w="2440" w:type="dxa"/>
            <w:vAlign w:val="bottom"/>
            <w:shd w:val="clear" w:color="auto" w:fill="D8D8D8"/>
          </w:tcPr>
          <w:p>
            <w:pPr>
              <w:spacing w:after="0"/>
              <w:rPr>
                <w:sz w:val="15"/>
                <w:szCs w:val="15"/>
                <w:color w:val="auto"/>
              </w:rPr>
            </w:pPr>
          </w:p>
        </w:tc>
        <w:tc>
          <w:tcPr>
            <w:tcW w:w="8460" w:type="dxa"/>
            <w:vAlign w:val="bottom"/>
            <w:shd w:val="clear" w:color="auto" w:fill="D8D8D8"/>
          </w:tcPr>
          <w:p>
            <w:pPr>
              <w:ind w:left="560"/>
              <w:spacing w:after="0"/>
              <w:rPr>
                <w:sz w:val="20"/>
                <w:szCs w:val="20"/>
                <w:color w:val="auto"/>
              </w:rPr>
            </w:pPr>
            <w:r>
              <w:rPr>
                <w:rFonts w:ascii="Arial" w:cs="Arial" w:eastAsia="Arial" w:hAnsi="Arial"/>
                <w:sz w:val="13"/>
                <w:szCs w:val="13"/>
                <w:color w:val="auto"/>
              </w:rPr>
              <w:t>compensation programs</w:t>
            </w:r>
          </w:p>
        </w:tc>
      </w:tr>
      <w:tr>
        <w:trPr>
          <w:trHeight w:val="189"/>
        </w:trPr>
        <w:tc>
          <w:tcPr>
            <w:tcW w:w="2440" w:type="dxa"/>
            <w:vAlign w:val="bottom"/>
            <w:shd w:val="clear" w:color="auto" w:fill="D8D8D8"/>
          </w:tcPr>
          <w:p>
            <w:pPr>
              <w:spacing w:after="0"/>
              <w:rPr>
                <w:sz w:val="16"/>
                <w:szCs w:val="16"/>
                <w:color w:val="auto"/>
              </w:rPr>
            </w:pPr>
          </w:p>
        </w:tc>
        <w:tc>
          <w:tcPr>
            <w:tcW w:w="8460" w:type="dxa"/>
            <w:vAlign w:val="bottom"/>
            <w:shd w:val="clear" w:color="auto" w:fill="D8D8D8"/>
          </w:tcPr>
          <w:p>
            <w:pPr>
              <w:ind w:left="420"/>
              <w:spacing w:after="0"/>
              <w:rPr>
                <w:sz w:val="20"/>
                <w:szCs w:val="20"/>
                <w:color w:val="auto"/>
              </w:rPr>
            </w:pPr>
            <w:r>
              <w:rPr>
                <w:rFonts w:ascii="Arial" w:cs="Arial" w:eastAsia="Arial" w:hAnsi="Arial"/>
                <w:sz w:val="13"/>
                <w:szCs w:val="13"/>
                <w:color w:val="auto"/>
              </w:rPr>
              <w:t>•  Evaluates the effectiveness of the MCC</w:t>
            </w:r>
          </w:p>
        </w:tc>
      </w:tr>
      <w:tr>
        <w:trPr>
          <w:trHeight w:val="66"/>
        </w:trPr>
        <w:tc>
          <w:tcPr>
            <w:tcW w:w="2440" w:type="dxa"/>
            <w:vAlign w:val="bottom"/>
            <w:shd w:val="clear" w:color="auto" w:fill="D8D8D8"/>
          </w:tcPr>
          <w:p>
            <w:pPr>
              <w:spacing w:after="0"/>
              <w:rPr>
                <w:sz w:val="5"/>
                <w:szCs w:val="5"/>
                <w:color w:val="auto"/>
              </w:rPr>
            </w:pPr>
          </w:p>
        </w:tc>
        <w:tc>
          <w:tcPr>
            <w:tcW w:w="8460" w:type="dxa"/>
            <w:vAlign w:val="bottom"/>
            <w:shd w:val="clear" w:color="auto" w:fill="D8D8D8"/>
          </w:tcPr>
          <w:p>
            <w:pPr>
              <w:spacing w:after="0"/>
              <w:rPr>
                <w:sz w:val="5"/>
                <w:szCs w:val="5"/>
                <w:color w:val="auto"/>
              </w:rPr>
            </w:pPr>
          </w:p>
        </w:tc>
      </w:tr>
    </w:tbl>
    <w:p>
      <w:pPr>
        <w:spacing w:after="0" w:line="18" w:lineRule="exact"/>
        <w:rPr>
          <w:sz w:val="20"/>
          <w:szCs w:val="20"/>
          <w:color w:val="auto"/>
        </w:rPr>
      </w:pPr>
    </w:p>
    <w:p>
      <w:pPr>
        <w:sectPr>
          <w:pgSz w:w="11900" w:h="16838" w:orient="portrait"/>
          <w:cols w:equalWidth="0" w:num="1">
            <w:col w:w="11140"/>
          </w:cols>
          <w:pgMar w:left="320" w:top="455" w:right="439" w:bottom="1440" w:gutter="0" w:footer="0" w:header="0"/>
          <w:type w:val="continuous"/>
        </w:sectPr>
      </w:pPr>
    </w:p>
    <w:p>
      <w:pPr>
        <w:ind w:left="280"/>
        <w:spacing w:after="0"/>
        <w:rPr>
          <w:sz w:val="20"/>
          <w:szCs w:val="20"/>
          <w:color w:val="auto"/>
        </w:rPr>
      </w:pPr>
      <w:r>
        <w:rPr>
          <w:rFonts w:ascii="Arial" w:cs="Arial" w:eastAsia="Arial" w:hAnsi="Arial"/>
          <w:sz w:val="17"/>
          <w:szCs w:val="17"/>
          <w:b w:val="1"/>
          <w:bCs w:val="1"/>
          <w:color w:val="0B2D71"/>
        </w:rPr>
        <w:t>Public policy and</w:t>
      </w:r>
    </w:p>
    <w:p>
      <w:pPr>
        <w:spacing w:after="0" w:line="10"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0B2D71"/>
        </w:rPr>
        <w:t>sustainability</w:t>
      </w:r>
    </w:p>
    <w:p>
      <w:pPr>
        <w:spacing w:after="0" w:line="4"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Enrique Hernandez, Jr., Chair</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Alice P. Gast</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Jon M. Huntsman Jr.</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D. James Umpleby III</w:t>
      </w:r>
    </w:p>
    <w:p>
      <w:pPr>
        <w:spacing w:after="0" w:line="20" w:lineRule="exact"/>
        <w:rPr>
          <w:sz w:val="20"/>
          <w:szCs w:val="20"/>
          <w:color w:val="auto"/>
        </w:rPr>
      </w:pPr>
      <w:r>
        <w:rPr>
          <w:sz w:val="20"/>
          <w:szCs w:val="20"/>
          <w:color w:val="auto"/>
        </w:rPr>
        <w:br w:type="column"/>
      </w:r>
    </w:p>
    <w:p>
      <w:pPr>
        <w:ind w:left="142" w:right="520" w:hanging="142"/>
        <w:spacing w:after="0" w:line="270" w:lineRule="auto"/>
        <w:tabs>
          <w:tab w:leader="none" w:pos="148" w:val="left"/>
        </w:tabs>
        <w:numPr>
          <w:ilvl w:val="0"/>
          <w:numId w:val="42"/>
        </w:numPr>
        <w:rPr>
          <w:rFonts w:ascii="Arial" w:cs="Arial" w:eastAsia="Arial" w:hAnsi="Arial"/>
          <w:sz w:val="13"/>
          <w:szCs w:val="13"/>
          <w:color w:val="auto"/>
        </w:rPr>
      </w:pPr>
      <w:r>
        <w:rPr>
          <w:rFonts w:ascii="Arial" w:cs="Arial" w:eastAsia="Arial" w:hAnsi="Arial"/>
          <w:sz w:val="13"/>
          <w:szCs w:val="13"/>
          <w:color w:val="auto"/>
        </w:rPr>
        <w:t>Identifies, monitors, and evaluates domestic and international environmental, social, human rights, political, and public policy matters, including those related to sustainability and climate change, that are relevant to Chevron’s activities and performance</w:t>
      </w:r>
    </w:p>
    <w:p>
      <w:pPr>
        <w:spacing w:after="0" w:line="1" w:lineRule="exact"/>
        <w:rPr>
          <w:rFonts w:ascii="Arial" w:cs="Arial" w:eastAsia="Arial" w:hAnsi="Arial"/>
          <w:sz w:val="13"/>
          <w:szCs w:val="13"/>
          <w:color w:val="auto"/>
        </w:rPr>
      </w:pPr>
    </w:p>
    <w:p>
      <w:pPr>
        <w:ind w:left="142" w:hanging="142"/>
        <w:spacing w:after="0"/>
        <w:tabs>
          <w:tab w:leader="none" w:pos="142" w:val="left"/>
        </w:tabs>
        <w:numPr>
          <w:ilvl w:val="0"/>
          <w:numId w:val="42"/>
        </w:numPr>
        <w:rPr>
          <w:rFonts w:ascii="Arial" w:cs="Arial" w:eastAsia="Arial" w:hAnsi="Arial"/>
          <w:sz w:val="13"/>
          <w:szCs w:val="13"/>
          <w:color w:val="auto"/>
        </w:rPr>
      </w:pPr>
      <w:r>
        <w:rPr>
          <w:rFonts w:ascii="Arial" w:cs="Arial" w:eastAsia="Arial" w:hAnsi="Arial"/>
          <w:sz w:val="13"/>
          <w:szCs w:val="13"/>
          <w:color w:val="auto"/>
        </w:rPr>
        <w:t>Assists the Board in devoting appropriate attention and effective response to stockholder concerns regarding such issues</w:t>
      </w:r>
    </w:p>
    <w:p>
      <w:pPr>
        <w:spacing w:after="0" w:line="39" w:lineRule="exact"/>
        <w:rPr>
          <w:rFonts w:ascii="Arial" w:cs="Arial" w:eastAsia="Arial" w:hAnsi="Arial"/>
          <w:sz w:val="13"/>
          <w:szCs w:val="13"/>
          <w:color w:val="auto"/>
        </w:rPr>
      </w:pPr>
    </w:p>
    <w:p>
      <w:pPr>
        <w:ind w:left="142" w:right="880" w:hanging="142"/>
        <w:spacing w:after="0" w:line="270" w:lineRule="auto"/>
        <w:tabs>
          <w:tab w:leader="none" w:pos="148" w:val="left"/>
        </w:tabs>
        <w:numPr>
          <w:ilvl w:val="0"/>
          <w:numId w:val="42"/>
        </w:numPr>
        <w:rPr>
          <w:rFonts w:ascii="Arial" w:cs="Arial" w:eastAsia="Arial" w:hAnsi="Arial"/>
          <w:sz w:val="13"/>
          <w:szCs w:val="13"/>
          <w:color w:val="auto"/>
        </w:rPr>
      </w:pPr>
      <w:r>
        <w:rPr>
          <w:rFonts w:ascii="Arial" w:cs="Arial" w:eastAsia="Arial" w:hAnsi="Arial"/>
          <w:sz w:val="13"/>
          <w:szCs w:val="13"/>
          <w:color w:val="auto"/>
        </w:rPr>
        <w:t>Recommends to the Board policies, programs, and practices concerning support of charitable, political, and educational organizations</w:t>
      </w:r>
    </w:p>
    <w:p>
      <w:pPr>
        <w:spacing w:after="0" w:line="1" w:lineRule="exact"/>
        <w:rPr>
          <w:rFonts w:ascii="Arial" w:cs="Arial" w:eastAsia="Arial" w:hAnsi="Arial"/>
          <w:sz w:val="13"/>
          <w:szCs w:val="13"/>
          <w:color w:val="auto"/>
        </w:rPr>
      </w:pPr>
    </w:p>
    <w:p>
      <w:pPr>
        <w:ind w:left="142" w:right="420" w:hanging="142"/>
        <w:spacing w:after="0" w:line="270" w:lineRule="auto"/>
        <w:tabs>
          <w:tab w:leader="none" w:pos="148" w:val="left"/>
        </w:tabs>
        <w:numPr>
          <w:ilvl w:val="0"/>
          <w:numId w:val="42"/>
        </w:numPr>
        <w:rPr>
          <w:rFonts w:ascii="Arial" w:cs="Arial" w:eastAsia="Arial" w:hAnsi="Arial"/>
          <w:sz w:val="13"/>
          <w:szCs w:val="13"/>
          <w:color w:val="auto"/>
        </w:rPr>
      </w:pPr>
      <w:r>
        <w:rPr>
          <w:rFonts w:ascii="Arial" w:cs="Arial" w:eastAsia="Arial" w:hAnsi="Arial"/>
          <w:sz w:val="13"/>
          <w:szCs w:val="13"/>
          <w:color w:val="auto"/>
        </w:rPr>
        <w:t>Reviews annually the policies, procedures, expenditures, and public disclosure practices related to Chevron’s political activities, including political contributions and direct and indirect lobbying</w:t>
      </w:r>
    </w:p>
    <w:p>
      <w:pPr>
        <w:spacing w:after="0" w:line="1" w:lineRule="exact"/>
        <w:rPr>
          <w:rFonts w:ascii="Arial" w:cs="Arial" w:eastAsia="Arial" w:hAnsi="Arial"/>
          <w:sz w:val="13"/>
          <w:szCs w:val="13"/>
          <w:color w:val="auto"/>
        </w:rPr>
      </w:pPr>
    </w:p>
    <w:p>
      <w:pPr>
        <w:ind w:left="142" w:right="940" w:hanging="142"/>
        <w:spacing w:after="0" w:line="270" w:lineRule="auto"/>
        <w:tabs>
          <w:tab w:leader="none" w:pos="148" w:val="left"/>
        </w:tabs>
        <w:numPr>
          <w:ilvl w:val="0"/>
          <w:numId w:val="42"/>
        </w:numPr>
        <w:rPr>
          <w:rFonts w:ascii="Arial" w:cs="Arial" w:eastAsia="Arial" w:hAnsi="Arial"/>
          <w:sz w:val="13"/>
          <w:szCs w:val="13"/>
          <w:color w:val="auto"/>
        </w:rPr>
      </w:pPr>
      <w:r>
        <w:rPr>
          <w:rFonts w:ascii="Arial" w:cs="Arial" w:eastAsia="Arial" w:hAnsi="Arial"/>
          <w:sz w:val="13"/>
          <w:szCs w:val="13"/>
          <w:color w:val="auto"/>
        </w:rPr>
        <w:t>Reviews stockholder proposals and recommends (in conjunction with the Governance Committee) Board responses to proposals</w:t>
      </w:r>
    </w:p>
    <w:p>
      <w:pPr>
        <w:spacing w:after="0" w:line="1" w:lineRule="exact"/>
        <w:rPr>
          <w:rFonts w:ascii="Arial" w:cs="Arial" w:eastAsia="Arial" w:hAnsi="Arial"/>
          <w:sz w:val="13"/>
          <w:szCs w:val="13"/>
          <w:color w:val="auto"/>
        </w:rPr>
      </w:pPr>
    </w:p>
    <w:p>
      <w:pPr>
        <w:ind w:left="142" w:right="420" w:hanging="142"/>
        <w:spacing w:after="0" w:line="259" w:lineRule="auto"/>
        <w:tabs>
          <w:tab w:leader="none" w:pos="141" w:val="left"/>
        </w:tabs>
        <w:numPr>
          <w:ilvl w:val="0"/>
          <w:numId w:val="42"/>
        </w:numPr>
        <w:rPr>
          <w:rFonts w:ascii="Arial" w:cs="Arial" w:eastAsia="Arial" w:hAnsi="Arial"/>
          <w:sz w:val="13"/>
          <w:szCs w:val="13"/>
          <w:color w:val="auto"/>
        </w:rPr>
      </w:pPr>
      <w:r>
        <w:rPr>
          <w:rFonts w:ascii="Arial" w:cs="Arial" w:eastAsia="Arial" w:hAnsi="Arial"/>
          <w:sz w:val="13"/>
          <w:szCs w:val="13"/>
          <w:color w:val="auto"/>
        </w:rPr>
        <w:t>Assists the Board in fulfilling its oversight of enterprise risk management, particularly risks in connection with the environmental, social, human rights, political, and public policy aspects of Chevron’s activities, and in doing so directs that the Company consider a broad range of perspectives</w:t>
      </w:r>
    </w:p>
    <w:p>
      <w:pPr>
        <w:spacing w:after="0" w:line="2" w:lineRule="exact"/>
        <w:rPr>
          <w:rFonts w:ascii="Arial" w:cs="Arial" w:eastAsia="Arial" w:hAnsi="Arial"/>
          <w:sz w:val="13"/>
          <w:szCs w:val="13"/>
          <w:color w:val="auto"/>
        </w:rPr>
      </w:pPr>
    </w:p>
    <w:p>
      <w:pPr>
        <w:ind w:left="142" w:hanging="142"/>
        <w:spacing w:after="0"/>
        <w:tabs>
          <w:tab w:leader="none" w:pos="142" w:val="left"/>
        </w:tabs>
        <w:numPr>
          <w:ilvl w:val="0"/>
          <w:numId w:val="42"/>
        </w:numPr>
        <w:rPr>
          <w:rFonts w:ascii="Arial" w:cs="Arial" w:eastAsia="Arial" w:hAnsi="Arial"/>
          <w:sz w:val="13"/>
          <w:szCs w:val="13"/>
          <w:color w:val="auto"/>
        </w:rPr>
      </w:pPr>
      <w:r>
        <w:rPr>
          <w:rFonts w:ascii="Arial" w:cs="Arial" w:eastAsia="Arial" w:hAnsi="Arial"/>
          <w:sz w:val="13"/>
          <w:szCs w:val="13"/>
          <w:color w:val="auto"/>
        </w:rPr>
        <w:t>Evaluates the effectiveness of the Public Policy and Sustainability Committee</w:t>
      </w:r>
    </w:p>
    <w:p>
      <w:pPr>
        <w:spacing w:after="0" w:line="169" w:lineRule="exact"/>
        <w:rPr>
          <w:sz w:val="20"/>
          <w:szCs w:val="20"/>
          <w:color w:val="auto"/>
        </w:rPr>
      </w:pPr>
    </w:p>
    <w:p>
      <w:pPr>
        <w:sectPr>
          <w:pgSz w:w="11900" w:h="16838" w:orient="portrait"/>
          <w:cols w:equalWidth="0" w:num="2">
            <w:col w:w="2280" w:space="698"/>
            <w:col w:w="8162"/>
          </w:cols>
          <w:pgMar w:left="320" w:top="455" w:right="439" w:bottom="1440" w:gutter="0" w:footer="0" w:header="0"/>
          <w:type w:val="continuous"/>
        </w:sectPr>
      </w:pPr>
    </w:p>
    <w:p>
      <w:pPr>
        <w:jc w:val="center"/>
        <w:ind w:right="-99"/>
        <w:spacing w:after="0"/>
        <w:rPr>
          <w:sz w:val="20"/>
          <w:szCs w:val="20"/>
          <w:color w:val="auto"/>
        </w:rPr>
      </w:pPr>
      <w:r>
        <w:rPr>
          <w:rFonts w:ascii="Arial" w:cs="Arial" w:eastAsia="Arial" w:hAnsi="Arial"/>
          <w:sz w:val="12"/>
          <w:szCs w:val="12"/>
          <w:color w:val="auto"/>
        </w:rPr>
        <w:t>Chevron Corporation – 2022 Proxy Statement</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140"/>
          </w:cols>
          <w:pgMar w:left="320" w:top="455" w:right="43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37310" cy="145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37310" cy="145415"/>
                    </a:xfrm>
                    <a:prstGeom prst="rect">
                      <a:avLst/>
                    </a:prstGeom>
                    <a:noFill/>
                  </pic:spPr>
                </pic:pic>
              </a:graphicData>
            </a:graphic>
          </wp:anchor>
        </w:drawing>
      </w:r>
    </w:p>
    <w:p>
      <w:pPr>
        <w:spacing w:after="0" w:line="33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FFFFFF"/>
        </w:rPr>
        <w:t>Corporate governance</w:t>
      </w: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0B2D71"/>
        </w:rPr>
        <w:t>Director orientation and education</w:t>
      </w:r>
    </w:p>
    <w:p>
      <w:pPr>
        <w:sectPr>
          <w:pgSz w:w="11900" w:h="16838" w:orient="portrait"/>
          <w:cols w:equalWidth="0" w:num="1">
            <w:col w:w="11120"/>
          </w:cols>
          <w:pgMar w:left="320" w:top="455" w:right="459" w:bottom="1440" w:gutter="0" w:footer="0" w:header="0"/>
        </w:sectPr>
      </w:pPr>
    </w:p>
    <w:p>
      <w:pPr>
        <w:spacing w:after="0" w:line="202"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Chevron’s Board maintains a new Director orientation program that is preferably completed during a new Director’s first year of Board service. The orientation program has three main components: (1) written materials detailing information about Chevron, such as Chevron’s governing documents, recent U.S. Securities and Exchange Commission (“SEC”) filings, and press releases; (2) a series of meetings with Chevron’s senior executives; and (3) Chevron facility/site visits to experience Chevron’s operations in person (visits include a downstream facility, typically a refinery, and an upstream operation). Beyond orientation, Directors regularly visit different Chevron work locations to meet with</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employees and learn about particular operations. In addition, Directors are provided with a list of continuing director education opportunities, and all Directors are encouraged to periodically attend director continuing education programs offered by various organizations. Directors also benefit from access to various governance and directorship organizations and publications to which Chevron subscribes. Directors also receive a weekly digest of news articles related to Chevron. Directors also receive ongoing education through Board briefings and presentations at Board and Committee meetings, which regularly include outside speakers on various topics.</w:t>
      </w:r>
    </w:p>
    <w:p>
      <w:pPr>
        <w:spacing w:after="0" w:line="200" w:lineRule="exact"/>
        <w:rPr>
          <w:sz w:val="20"/>
          <w:szCs w:val="20"/>
          <w:color w:val="auto"/>
        </w:rPr>
      </w:pPr>
    </w:p>
    <w:p>
      <w:pPr>
        <w:sectPr>
          <w:pgSz w:w="11900" w:h="16838" w:orient="portrait"/>
          <w:cols w:equalWidth="0" w:num="2">
            <w:col w:w="5400" w:space="340"/>
            <w:col w:w="5380"/>
          </w:cols>
          <w:pgMar w:left="320" w:top="455" w:right="459" w:bottom="1440" w:gutter="0" w:footer="0" w:header="0"/>
          <w:type w:val="continuous"/>
        </w:sectPr>
      </w:pPr>
    </w:p>
    <w:p>
      <w:pPr>
        <w:spacing w:after="0" w:line="149" w:lineRule="exact"/>
        <w:rPr>
          <w:sz w:val="20"/>
          <w:szCs w:val="20"/>
          <w:color w:val="auto"/>
        </w:rPr>
      </w:pPr>
    </w:p>
    <w:p>
      <w:pPr>
        <w:ind w:left="2380"/>
        <w:spacing w:after="0"/>
        <w:rPr>
          <w:sz w:val="20"/>
          <w:szCs w:val="20"/>
          <w:color w:val="auto"/>
        </w:rPr>
      </w:pPr>
      <w:r>
        <w:rPr>
          <w:rFonts w:ascii="Arial" w:cs="Arial" w:eastAsia="Arial" w:hAnsi="Arial"/>
          <w:sz w:val="32"/>
          <w:szCs w:val="32"/>
          <w:b w:val="1"/>
          <w:bCs w:val="1"/>
          <w:color w:val="0B2D71"/>
        </w:rPr>
        <w:t>Hedging, pledging, and other transactions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Members of the Board and members of Chevron’s Global Leadership Forum are prohibited from:</w:t>
      </w:r>
    </w:p>
    <w:p>
      <w:pPr>
        <w:sectPr>
          <w:pgSz w:w="11900" w:h="16838" w:orient="portrait"/>
          <w:cols w:equalWidth="0" w:num="1">
            <w:col w:w="11120"/>
          </w:cols>
          <w:pgMar w:left="320" w:top="455" w:right="459" w:bottom="1440" w:gutter="0" w:footer="0" w:header="0"/>
          <w:type w:val="continuous"/>
        </w:sectPr>
      </w:pPr>
    </w:p>
    <w:p>
      <w:pPr>
        <w:spacing w:after="0" w:line="181" w:lineRule="exact"/>
        <w:rPr>
          <w:sz w:val="20"/>
          <w:szCs w:val="20"/>
          <w:color w:val="auto"/>
        </w:rPr>
      </w:pPr>
    </w:p>
    <w:p>
      <w:pPr>
        <w:jc w:val="both"/>
        <w:ind w:left="300" w:hanging="184"/>
        <w:spacing w:after="0" w:line="266" w:lineRule="auto"/>
        <w:tabs>
          <w:tab w:leader="none" w:pos="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Engaging in hedging transactions or speculative transactions involving Chevron securities, including, but not limited to, short sales and trading in options, puts, calls, straddles, swaps, or other derivative securities;</w:t>
      </w:r>
    </w:p>
    <w:p>
      <w:pPr>
        <w:spacing w:after="0" w:line="76" w:lineRule="exact"/>
        <w:rPr>
          <w:rFonts w:ascii="Arial" w:cs="Arial" w:eastAsia="Arial" w:hAnsi="Arial"/>
          <w:sz w:val="16"/>
          <w:szCs w:val="16"/>
          <w:color w:val="auto"/>
        </w:rPr>
      </w:pPr>
    </w:p>
    <w:p>
      <w:pPr>
        <w:ind w:left="300" w:hanging="184"/>
        <w:spacing w:after="0"/>
        <w:tabs>
          <w:tab w:leader="none" w:pos="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Purchasing Chevron securities on margin;</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166" w:right="200" w:hanging="166"/>
        <w:spacing w:after="0" w:line="286" w:lineRule="auto"/>
        <w:tabs>
          <w:tab w:leader="none" w:pos="166" w:val="left"/>
        </w:tabs>
        <w:numPr>
          <w:ilvl w:val="0"/>
          <w:numId w:val="44"/>
        </w:numPr>
        <w:rPr>
          <w:rFonts w:ascii="Arial" w:cs="Arial" w:eastAsia="Arial" w:hAnsi="Arial"/>
          <w:sz w:val="16"/>
          <w:szCs w:val="16"/>
          <w:color w:val="auto"/>
        </w:rPr>
      </w:pPr>
      <w:r>
        <w:rPr>
          <w:rFonts w:ascii="Arial" w:cs="Arial" w:eastAsia="Arial" w:hAnsi="Arial"/>
          <w:sz w:val="16"/>
          <w:szCs w:val="16"/>
          <w:color w:val="auto"/>
        </w:rPr>
        <w:t>Engaging in monetization transactions, such as forward sale contracts involving Chevron securities; and</w:t>
      </w:r>
    </w:p>
    <w:p>
      <w:pPr>
        <w:spacing w:after="0" w:line="61" w:lineRule="exact"/>
        <w:rPr>
          <w:rFonts w:ascii="Arial" w:cs="Arial" w:eastAsia="Arial" w:hAnsi="Arial"/>
          <w:sz w:val="16"/>
          <w:szCs w:val="16"/>
          <w:color w:val="auto"/>
        </w:rPr>
      </w:pPr>
    </w:p>
    <w:p>
      <w:pPr>
        <w:ind w:left="166" w:right="660" w:hanging="166"/>
        <w:spacing w:after="0" w:line="286" w:lineRule="auto"/>
        <w:tabs>
          <w:tab w:leader="none" w:pos="166" w:val="left"/>
        </w:tabs>
        <w:numPr>
          <w:ilvl w:val="0"/>
          <w:numId w:val="44"/>
        </w:numPr>
        <w:rPr>
          <w:rFonts w:ascii="Arial" w:cs="Arial" w:eastAsia="Arial" w:hAnsi="Arial"/>
          <w:sz w:val="16"/>
          <w:szCs w:val="16"/>
          <w:color w:val="auto"/>
        </w:rPr>
      </w:pPr>
      <w:r>
        <w:rPr>
          <w:rFonts w:ascii="Arial" w:cs="Arial" w:eastAsia="Arial" w:hAnsi="Arial"/>
          <w:sz w:val="16"/>
          <w:szCs w:val="16"/>
          <w:color w:val="auto"/>
        </w:rPr>
        <w:t>Pledging Chevron securities as collateral for a loan or any other purpose.</w:t>
      </w:r>
    </w:p>
    <w:p>
      <w:pPr>
        <w:spacing w:after="0" w:line="200" w:lineRule="exact"/>
        <w:rPr>
          <w:sz w:val="20"/>
          <w:szCs w:val="20"/>
          <w:color w:val="auto"/>
        </w:rPr>
      </w:pPr>
    </w:p>
    <w:p>
      <w:pPr>
        <w:sectPr>
          <w:pgSz w:w="11900" w:h="16838" w:orient="portrait"/>
          <w:cols w:equalWidth="0" w:num="2">
            <w:col w:w="5360" w:space="374"/>
            <w:col w:w="5386"/>
          </w:cols>
          <w:pgMar w:left="320" w:top="455" w:right="459" w:bottom="1440" w:gutter="0" w:footer="0" w:header="0"/>
          <w:type w:val="continuous"/>
        </w:sectPr>
      </w:pPr>
    </w:p>
    <w:p>
      <w:pPr>
        <w:spacing w:after="0" w:line="10" w:lineRule="exact"/>
        <w:rPr>
          <w:sz w:val="20"/>
          <w:szCs w:val="20"/>
          <w:color w:val="auto"/>
        </w:rPr>
      </w:pPr>
    </w:p>
    <w:p>
      <w:pPr>
        <w:ind w:left="120" w:right="260"/>
        <w:spacing w:after="0" w:line="286" w:lineRule="auto"/>
        <w:rPr>
          <w:sz w:val="20"/>
          <w:szCs w:val="20"/>
          <w:color w:val="auto"/>
        </w:rPr>
      </w:pPr>
      <w:r>
        <w:rPr>
          <w:rFonts w:ascii="Arial" w:cs="Arial" w:eastAsia="Arial" w:hAnsi="Arial"/>
          <w:sz w:val="16"/>
          <w:szCs w:val="16"/>
          <w:color w:val="auto"/>
        </w:rPr>
        <w:t>Employees other than those listed above, are generally permitted to engage in transactions involving Chevron securities that are designed to hedge or offset market risk.</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0B2D71"/>
        </w:rPr>
        <w:t>Related person transactions</w:t>
      </w:r>
    </w:p>
    <w:p>
      <w:pPr>
        <w:sectPr>
          <w:pgSz w:w="11900" w:h="16838" w:orient="portrait"/>
          <w:cols w:equalWidth="0" w:num="1">
            <w:col w:w="11120"/>
          </w:cols>
          <w:pgMar w:left="320" w:top="455" w:right="459" w:bottom="1440" w:gutter="0" w:footer="0" w:header="0"/>
          <w:type w:val="continuous"/>
        </w:sectPr>
      </w:pPr>
    </w:p>
    <w:p>
      <w:pPr>
        <w:spacing w:after="0" w:line="187" w:lineRule="exact"/>
        <w:rPr>
          <w:sz w:val="20"/>
          <w:szCs w:val="20"/>
          <w:color w:val="auto"/>
        </w:rPr>
      </w:pPr>
    </w:p>
    <w:p>
      <w:pPr>
        <w:ind w:left="120" w:right="1280"/>
        <w:spacing w:after="0" w:line="272" w:lineRule="auto"/>
        <w:rPr>
          <w:sz w:val="20"/>
          <w:szCs w:val="20"/>
          <w:color w:val="auto"/>
        </w:rPr>
      </w:pPr>
      <w:r>
        <w:rPr>
          <w:rFonts w:ascii="Arial" w:cs="Arial" w:eastAsia="Arial" w:hAnsi="Arial"/>
          <w:sz w:val="22"/>
          <w:szCs w:val="22"/>
          <w:b w:val="1"/>
          <w:bCs w:val="1"/>
          <w:color w:val="0B2D71"/>
        </w:rPr>
        <w:t>Review and approval of related person transactions</w:t>
      </w:r>
    </w:p>
    <w:p>
      <w:pPr>
        <w:spacing w:after="0" w:line="35"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It is our policy that all employees and Directors must avoid any activity that is in conflict with, or has the appearance of conflicting with, Chevron’s business interests. This policy is included in our Business Conduct and Ethics Code. Directors and executive officers must inform the Chairman and the Corporate Secretary and Chief Governance Officer when confronted with any situation that may be perceived as a conflict of interest. In addition, at least annually, each Director and executive officer completes a detailed questionnaire specifying any business relationship that may give rise to a conflict of interest.</w:t>
      </w:r>
    </w:p>
    <w:p>
      <w:pPr>
        <w:spacing w:after="0" w:line="77"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Your Board has charged the Governance Committee with reviewing related person transactions as defined by SEC rules. The Governance Committee has adopted written guidelines to assist it with this review. Under these guidelines, all executive officers, Directors, and Director nominees must promptly advise the Corporate Secretary and Chief Governance Officer of any proposed or actual business and financial affiliations involving themselves or their immediate family members that, to the best of their knowledge after reasonable inquiry, could reasonably be expected to give rise to a reportable related person transaction. The Corporate Secretary and Chief Governance Officer will prepare a report summarizing any potentially reportable transactions, and the Governance Committee will review these reports and determine whether to</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6" w:right="40"/>
        <w:spacing w:after="0" w:line="256" w:lineRule="auto"/>
        <w:rPr>
          <w:sz w:val="20"/>
          <w:szCs w:val="20"/>
          <w:color w:val="auto"/>
        </w:rPr>
      </w:pPr>
      <w:r>
        <w:rPr>
          <w:rFonts w:ascii="Arial" w:cs="Arial" w:eastAsia="Arial" w:hAnsi="Arial"/>
          <w:sz w:val="16"/>
          <w:szCs w:val="16"/>
          <w:color w:val="auto"/>
        </w:rPr>
        <w:t>approve the identified transaction. The Governance Committee has identified the following categories of transactions that are deemed to be preapproved by the Governance Committee, even if the aggregate amount involved exceeds the $120,000 reporting threshold identified in the SEC rules:</w:t>
      </w:r>
    </w:p>
    <w:p>
      <w:pPr>
        <w:spacing w:after="0" w:line="85" w:lineRule="exact"/>
        <w:rPr>
          <w:sz w:val="20"/>
          <w:szCs w:val="20"/>
          <w:color w:val="auto"/>
        </w:rPr>
      </w:pPr>
    </w:p>
    <w:p>
      <w:pPr>
        <w:ind w:left="166" w:right="60" w:hanging="166"/>
        <w:spacing w:after="0" w:line="259" w:lineRule="auto"/>
        <w:tabs>
          <w:tab w:leader="none" w:pos="166"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Compensation paid to an executive officer if that executive officer’s compensation is otherwise reported in our Proxy Statement and if the executive officer is not an immediate family member of another Chevron executive officer or Director;</w:t>
      </w:r>
    </w:p>
    <w:p>
      <w:pPr>
        <w:spacing w:after="0" w:line="83" w:lineRule="exact"/>
        <w:rPr>
          <w:rFonts w:ascii="Arial" w:cs="Arial" w:eastAsia="Arial" w:hAnsi="Arial"/>
          <w:sz w:val="16"/>
          <w:szCs w:val="16"/>
          <w:color w:val="auto"/>
        </w:rPr>
      </w:pPr>
    </w:p>
    <w:p>
      <w:pPr>
        <w:ind w:left="166" w:right="700" w:hanging="166"/>
        <w:spacing w:after="0" w:line="286" w:lineRule="auto"/>
        <w:tabs>
          <w:tab w:leader="none" w:pos="166"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Compensation paid to a Director for service as a Director if that compensation is otherwise reportable in our Proxy Statement;</w:t>
      </w:r>
    </w:p>
    <w:p>
      <w:pPr>
        <w:spacing w:after="0" w:line="61" w:lineRule="exact"/>
        <w:rPr>
          <w:rFonts w:ascii="Arial" w:cs="Arial" w:eastAsia="Arial" w:hAnsi="Arial"/>
          <w:sz w:val="16"/>
          <w:szCs w:val="16"/>
          <w:color w:val="auto"/>
        </w:rPr>
      </w:pPr>
    </w:p>
    <w:p>
      <w:pPr>
        <w:ind w:left="166" w:right="120" w:hanging="166"/>
        <w:spacing w:after="0" w:line="266" w:lineRule="auto"/>
        <w:tabs>
          <w:tab w:leader="none" w:pos="166" w:val="left"/>
        </w:tabs>
        <w:numPr>
          <w:ilvl w:val="0"/>
          <w:numId w:val="45"/>
        </w:numPr>
        <w:rPr>
          <w:rFonts w:ascii="Arial" w:cs="Arial" w:eastAsia="Arial" w:hAnsi="Arial"/>
          <w:sz w:val="16"/>
          <w:szCs w:val="16"/>
          <w:color w:val="auto"/>
        </w:rPr>
      </w:pPr>
      <w:r>
        <w:rPr>
          <w:rFonts w:ascii="Arial" w:cs="Arial" w:eastAsia="Arial" w:hAnsi="Arial"/>
          <w:sz w:val="16"/>
          <w:szCs w:val="16"/>
          <w:color w:val="auto"/>
        </w:rPr>
        <w:t>Transactions in which the related person’s interest arises solely as a stockholder and all stockholders receive the same benefit on a pro-rata basis;</w:t>
      </w:r>
    </w:p>
    <w:p>
      <w:pPr>
        <w:spacing w:after="0" w:line="76" w:lineRule="exact"/>
        <w:rPr>
          <w:rFonts w:ascii="Arial" w:cs="Arial" w:eastAsia="Arial" w:hAnsi="Arial"/>
          <w:sz w:val="16"/>
          <w:szCs w:val="16"/>
          <w:color w:val="auto"/>
        </w:rPr>
      </w:pPr>
    </w:p>
    <w:p>
      <w:pPr>
        <w:ind w:left="166" w:right="160" w:hanging="166"/>
        <w:spacing w:after="0" w:line="259" w:lineRule="auto"/>
        <w:tabs>
          <w:tab w:leader="none" w:pos="166" w:val="left"/>
        </w:tabs>
        <w:numPr>
          <w:ilvl w:val="0"/>
          <w:numId w:val="45"/>
        </w:numPr>
        <w:rPr>
          <w:rFonts w:ascii="Arial" w:cs="Arial" w:eastAsia="Arial" w:hAnsi="Arial"/>
          <w:sz w:val="16"/>
          <w:szCs w:val="16"/>
          <w:color w:val="auto"/>
        </w:rPr>
      </w:pPr>
      <w:r>
        <w:rPr>
          <w:rFonts w:ascii="Arial" w:cs="Arial" w:eastAsia="Arial" w:hAnsi="Arial"/>
          <w:sz w:val="16"/>
          <w:szCs w:val="16"/>
          <w:color w:val="auto"/>
        </w:rPr>
        <w:t>Transactions involving competitive bids (unless the bid is awarded to a related person who was not the lowest bidder or unless the bidding process did not involve the use of formal procedures normally associated with our competitive bidding procedures);</w:t>
      </w:r>
    </w:p>
    <w:p>
      <w:pPr>
        <w:spacing w:after="0" w:line="83" w:lineRule="exact"/>
        <w:rPr>
          <w:rFonts w:ascii="Arial" w:cs="Arial" w:eastAsia="Arial" w:hAnsi="Arial"/>
          <w:sz w:val="16"/>
          <w:szCs w:val="16"/>
          <w:color w:val="auto"/>
        </w:rPr>
      </w:pPr>
    </w:p>
    <w:p>
      <w:pPr>
        <w:ind w:left="166" w:right="460" w:hanging="166"/>
        <w:spacing w:after="0" w:line="286" w:lineRule="auto"/>
        <w:tabs>
          <w:tab w:leader="none" w:pos="166" w:val="left"/>
        </w:tabs>
        <w:numPr>
          <w:ilvl w:val="0"/>
          <w:numId w:val="45"/>
        </w:numPr>
        <w:rPr>
          <w:rFonts w:ascii="Arial" w:cs="Arial" w:eastAsia="Arial" w:hAnsi="Arial"/>
          <w:sz w:val="16"/>
          <w:szCs w:val="16"/>
          <w:color w:val="auto"/>
        </w:rPr>
      </w:pPr>
      <w:r>
        <w:rPr>
          <w:rFonts w:ascii="Arial" w:cs="Arial" w:eastAsia="Arial" w:hAnsi="Arial"/>
          <w:sz w:val="16"/>
          <w:szCs w:val="16"/>
          <w:color w:val="auto"/>
        </w:rPr>
        <w:t>Transactions involving services as a common or contract carrier or public utility in which rates or charges are fixed by law;</w:t>
      </w:r>
    </w:p>
    <w:p>
      <w:pPr>
        <w:spacing w:after="0" w:line="454" w:lineRule="exact"/>
        <w:rPr>
          <w:sz w:val="20"/>
          <w:szCs w:val="20"/>
          <w:color w:val="auto"/>
        </w:rPr>
      </w:pPr>
    </w:p>
    <w:p>
      <w:pPr>
        <w:sectPr>
          <w:pgSz w:w="11900" w:h="16838" w:orient="portrait"/>
          <w:cols w:equalWidth="0" w:num="2">
            <w:col w:w="5360" w:space="374"/>
            <w:col w:w="5386"/>
          </w:cols>
          <w:pgMar w:left="320" w:top="455" w:right="459" w:bottom="1440" w:gutter="0" w:footer="0" w:header="0"/>
          <w:type w:val="continuous"/>
        </w:sectPr>
      </w:pPr>
    </w:p>
    <w:p>
      <w:pPr>
        <w:spacing w:after="0" w:line="48"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Chevron Corporation – 2022 Proxy Statement</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120"/>
          </w:cols>
          <w:pgMar w:left="320" w:top="455" w:right="459" w:bottom="1440" w:gutter="0" w:footer="0" w:header="0"/>
          <w:type w:val="continuous"/>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0" w:right="260" w:hanging="184"/>
        <w:spacing w:after="0" w:line="286" w:lineRule="auto"/>
        <w:tabs>
          <w:tab w:leader="none" w:pos="3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Transactions involving certain banking-related services under terms comparable with similarly situated transactions;</w:t>
      </w:r>
    </w:p>
    <w:p>
      <w:pPr>
        <w:spacing w:after="0" w:line="61" w:lineRule="exact"/>
        <w:rPr>
          <w:rFonts w:ascii="Arial" w:cs="Arial" w:eastAsia="Arial" w:hAnsi="Arial"/>
          <w:sz w:val="16"/>
          <w:szCs w:val="16"/>
          <w:color w:val="auto"/>
        </w:rPr>
      </w:pPr>
    </w:p>
    <w:p>
      <w:pPr>
        <w:ind w:left="300" w:hanging="184"/>
        <w:spacing w:after="0" w:line="256" w:lineRule="auto"/>
        <w:tabs>
          <w:tab w:leader="none" w:pos="3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Transactions conducted in the ordinary course of business in which our Director’s interest arises solely because he or she is a director of another entity and the transaction does not exceed $5 million or 5% (whichever is greater) of the receiving entity’s consolidated gross revenues for that year;</w:t>
      </w:r>
    </w:p>
    <w:p>
      <w:pPr>
        <w:spacing w:after="0" w:line="85" w:lineRule="exact"/>
        <w:rPr>
          <w:rFonts w:ascii="Arial" w:cs="Arial" w:eastAsia="Arial" w:hAnsi="Arial"/>
          <w:sz w:val="16"/>
          <w:szCs w:val="16"/>
          <w:color w:val="auto"/>
        </w:rPr>
      </w:pPr>
    </w:p>
    <w:p>
      <w:pPr>
        <w:ind w:left="300" w:hanging="184"/>
        <w:spacing w:after="0" w:line="256" w:lineRule="auto"/>
        <w:tabs>
          <w:tab w:leader="none" w:pos="3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Transactions conducted in the ordinary course of business in which our Director’s interest arises solely because he or she is an employee of another entity and the transaction does not exceed $250,000 or 0.5% (whichever is greater) of the receiving entity’s consolidated gross revenues for that year;</w:t>
      </w:r>
    </w:p>
    <w:p>
      <w:pPr>
        <w:spacing w:after="0" w:line="85" w:lineRule="exact"/>
        <w:rPr>
          <w:rFonts w:ascii="Arial" w:cs="Arial" w:eastAsia="Arial" w:hAnsi="Arial"/>
          <w:sz w:val="16"/>
          <w:szCs w:val="16"/>
          <w:color w:val="auto"/>
        </w:rPr>
      </w:pPr>
    </w:p>
    <w:p>
      <w:pPr>
        <w:ind w:left="300" w:right="40" w:hanging="184"/>
        <w:spacing w:after="0" w:line="256" w:lineRule="auto"/>
        <w:tabs>
          <w:tab w:leader="none" w:pos="3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Charitable contributions by Chevron to an entity in which our Director’s interest arises solely because he or she is a director, trustee, or similar advisor to the entity and the contributions do not exceed, in the aggregate, $1 million or 2% (whichever is greater) of that entity’s gross revenues for that year; and</w:t>
      </w:r>
    </w:p>
    <w:p>
      <w:pPr>
        <w:spacing w:after="0" w:line="85" w:lineRule="exact"/>
        <w:rPr>
          <w:rFonts w:ascii="Arial" w:cs="Arial" w:eastAsia="Arial" w:hAnsi="Arial"/>
          <w:sz w:val="16"/>
          <w:szCs w:val="16"/>
          <w:color w:val="auto"/>
        </w:rPr>
      </w:pPr>
    </w:p>
    <w:p>
      <w:pPr>
        <w:jc w:val="both"/>
        <w:ind w:left="300" w:right="140" w:hanging="184"/>
        <w:spacing w:after="0" w:line="259" w:lineRule="auto"/>
        <w:tabs>
          <w:tab w:leader="none" w:pos="3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Transactions conducted in the ordinary course of business where our Director’s interest arises solely because he or she owns an equity or limited partnership interest in the entity and the transaction does not exceed 2% of the total equity or partnership interests of the entity.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ind w:left="3540"/>
        <w:spacing w:after="0"/>
        <w:rPr>
          <w:sz w:val="20"/>
          <w:szCs w:val="20"/>
          <w:color w:val="auto"/>
        </w:rPr>
      </w:pPr>
      <w:r>
        <w:rPr>
          <w:rFonts w:ascii="Arial" w:cs="Arial" w:eastAsia="Arial" w:hAnsi="Arial"/>
          <w:sz w:val="14"/>
          <w:szCs w:val="14"/>
          <w:b w:val="1"/>
          <w:bCs w:val="1"/>
          <w:color w:val="FFFF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-661670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-121285</wp:posOffset>
            </wp:positionV>
            <wp:extent cx="1405890"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05890" cy="145415"/>
                    </a:xfrm>
                    <a:prstGeom prst="rect">
                      <a:avLst/>
                    </a:prstGeom>
                    <a:noFill/>
                  </pic:spPr>
                </pic:pic>
              </a:graphicData>
            </a:graphic>
          </wp:anchor>
        </w:drawing>
      </w:r>
    </w:p>
    <w:p>
      <w:pPr>
        <w:spacing w:after="0" w:line="206"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The Governance Committee reviews all relevant information, including the amount of all business transactions involving Chevron and the entity with which the Director or executive officer is associated, and determines whether to approve or ratify the transaction. A Director will abstain from decisions regarding transactions involving that Director or their family members.</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0B2D71"/>
        </w:rPr>
        <w:t>Related person transactions</w:t>
      </w:r>
    </w:p>
    <w:p>
      <w:pPr>
        <w:spacing w:after="0" w:line="11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John T. Geagea, a brother of Mr. Joseph C. Geagea, Executive Vice President and senior advisor to the Chairman and CEO, is employed as a contractor by International Inspection Centre Co. W.L.L (“Intrex”), a contractor firm of Chevron and works solely on Chevron matters. In 2021, Chevron paid Intrex $3,868,833 and is expected to pay Intrex approximately the same amount in 2022. In 2021, Intrex paid John Geagea compensation in the amount of approximately $197,781, including salary and customary employee benefits, and is expected to pay him the same amount in 2022. These amounts reflect compensation that is consistent with the total compensation provided to other contractors of the same level with similar responsibilities. Dollar amounts for Intrex and John Geagea are based on the exchange rate at December 31, 2021.</w:t>
      </w:r>
    </w:p>
    <w:p>
      <w:pPr>
        <w:spacing w:after="0" w:line="800" w:lineRule="exact"/>
        <w:rPr>
          <w:sz w:val="20"/>
          <w:szCs w:val="20"/>
          <w:color w:val="auto"/>
        </w:rPr>
      </w:pPr>
    </w:p>
    <w:p>
      <w:pPr>
        <w:sectPr>
          <w:pgSz w:w="11900" w:h="16838" w:orient="portrait"/>
          <w:cols w:equalWidth="0" w:num="2">
            <w:col w:w="5380" w:space="360"/>
            <w:col w:w="5380"/>
          </w:cols>
          <w:pgMar w:left="320" w:top="455" w:right="459" w:bottom="1440" w:gutter="0" w:footer="0" w:header="0"/>
        </w:sectPr>
      </w:pPr>
    </w:p>
    <w:p>
      <w:pPr>
        <w:spacing w:after="0" w:line="137" w:lineRule="exact"/>
        <w:rPr>
          <w:sz w:val="20"/>
          <w:szCs w:val="20"/>
          <w:color w:val="auto"/>
        </w:rPr>
      </w:pPr>
    </w:p>
    <w:p>
      <w:pPr>
        <w:ind w:left="740"/>
        <w:spacing w:after="0"/>
        <w:rPr>
          <w:sz w:val="20"/>
          <w:szCs w:val="20"/>
          <w:color w:val="auto"/>
        </w:rPr>
      </w:pPr>
      <w:r>
        <w:rPr>
          <w:rFonts w:ascii="Arial" w:cs="Arial" w:eastAsia="Arial" w:hAnsi="Arial"/>
          <w:sz w:val="32"/>
          <w:szCs w:val="32"/>
          <w:b w:val="1"/>
          <w:bCs w:val="1"/>
          <w:color w:val="0B2D71"/>
        </w:rPr>
        <w:t>Year-round environmental, social, and governance engagement</w:t>
      </w:r>
    </w:p>
    <w:p>
      <w:pPr>
        <w:sectPr>
          <w:pgSz w:w="11900" w:h="16838" w:orient="portrait"/>
          <w:cols w:equalWidth="0" w:num="1">
            <w:col w:w="11120"/>
          </w:cols>
          <w:pgMar w:left="320" w:top="455" w:right="459" w:bottom="1440" w:gutter="0" w:footer="0" w:header="0"/>
          <w:type w:val="continuous"/>
        </w:sectPr>
      </w:pPr>
    </w:p>
    <w:p>
      <w:pPr>
        <w:spacing w:after="0" w:line="364" w:lineRule="exact"/>
        <w:rPr>
          <w:sz w:val="20"/>
          <w:szCs w:val="20"/>
          <w:color w:val="auto"/>
        </w:rPr>
      </w:pPr>
    </w:p>
    <w:p>
      <w:pPr>
        <w:ind w:left="180" w:right="160"/>
        <w:spacing w:after="0" w:line="253" w:lineRule="auto"/>
        <w:rPr>
          <w:sz w:val="20"/>
          <w:szCs w:val="20"/>
          <w:color w:val="auto"/>
        </w:rPr>
      </w:pPr>
      <w:r>
        <w:rPr>
          <w:rFonts w:ascii="Arial" w:cs="Arial" w:eastAsia="Arial" w:hAnsi="Arial"/>
          <w:sz w:val="16"/>
          <w:szCs w:val="16"/>
          <w:color w:val="auto"/>
        </w:rPr>
        <w:t>Fostering long-term and institution-wide relationships with stockholders and other stakeholders is a core Chevron objective. Chevron conducts extensive engagements with external stakeholders including stockholders as an essential part of addressing sustainability-related issues. These engagements routinely cover climate change, energy transition, workplace culture, human rights, human capital management, lobbying, governance and other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-878205</wp:posOffset>
            </wp:positionV>
            <wp:extent cx="3351530" cy="16973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51530" cy="1697355"/>
                    </a:xfrm>
                    <a:prstGeom prst="rect">
                      <a:avLst/>
                    </a:prstGeom>
                    <a:noFill/>
                  </pic:spPr>
                </pic:pic>
              </a:graphicData>
            </a:graphic>
          </wp:anchor>
        </w:drawing>
      </w:r>
    </w:p>
    <w:p>
      <w:pPr>
        <w:spacing w:after="0" w:line="67" w:lineRule="exact"/>
        <w:rPr>
          <w:sz w:val="20"/>
          <w:szCs w:val="20"/>
          <w:color w:val="auto"/>
        </w:rPr>
      </w:pPr>
    </w:p>
    <w:p>
      <w:pPr>
        <w:ind w:left="180" w:right="240"/>
        <w:spacing w:after="0" w:line="254" w:lineRule="auto"/>
        <w:rPr>
          <w:sz w:val="20"/>
          <w:szCs w:val="20"/>
          <w:color w:val="auto"/>
        </w:rPr>
      </w:pPr>
      <w:r>
        <w:rPr>
          <w:rFonts w:ascii="Arial" w:cs="Arial" w:eastAsia="Arial" w:hAnsi="Arial"/>
          <w:sz w:val="16"/>
          <w:szCs w:val="16"/>
          <w:color w:val="auto"/>
        </w:rPr>
        <w:t>In addition, we engage in extensive investor relations, in which members of management regularly meet with stockholders to review Company strategies, financial and operating performance, capital allocation priorities, and other topics of interest. We use all of these sessions to ensure that the Board and management understand the issues that are important to our stockholders.</w:t>
      </w:r>
    </w:p>
    <w:p>
      <w:pPr>
        <w:spacing w:after="0" w:line="128"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Stockholder engagement following the 2021 Annual Meeting was robust, as Chevron’s Board and management sought feedback on key areas of stockholder interest, including about Chevron’s potential response to stockholder proposals received at our 2021 Annual Meeting. Described below in greater detail, Chevron’s actions were directly informed by this dialogue with our stockholders. More than 100 one-on-one ESG-focused meetings with stockholders occurred, representing 39% of outstanding common stock. Our CEO and/or Directors participated in ESG-focused meetings with stockholders representing 30% of outstanding common stock.</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right="420"/>
        <w:spacing w:after="0" w:line="266" w:lineRule="auto"/>
        <w:rPr>
          <w:sz w:val="20"/>
          <w:szCs w:val="20"/>
          <w:color w:val="auto"/>
        </w:rPr>
      </w:pPr>
      <w:r>
        <w:rPr>
          <w:rFonts w:ascii="Arial" w:cs="Arial" w:eastAsia="Arial" w:hAnsi="Arial"/>
          <w:sz w:val="16"/>
          <w:szCs w:val="16"/>
          <w:color w:val="auto"/>
        </w:rPr>
        <w:t>To continuously improve Chevron’s governance processes and communications, Chevron follows the Annual Engagement Plan and Process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55880</wp:posOffset>
            </wp:positionV>
            <wp:extent cx="3432810" cy="24987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32810" cy="2498725"/>
                    </a:xfrm>
                    <a:prstGeom prst="rect">
                      <a:avLst/>
                    </a:prstGeom>
                    <a:noFill/>
                  </pic:spPr>
                </pic:pic>
              </a:graphicData>
            </a:graphic>
          </wp:anchor>
        </w:drawing>
      </w:r>
    </w:p>
    <w:p>
      <w:pPr>
        <w:spacing w:after="0" w:line="12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B2D71"/>
        </w:rPr>
        <w:t>Spring</w:t>
      </w:r>
    </w:p>
    <w:p>
      <w:pPr>
        <w:spacing w:after="0" w:line="45" w:lineRule="exact"/>
        <w:rPr>
          <w:sz w:val="20"/>
          <w:szCs w:val="20"/>
          <w:color w:val="auto"/>
        </w:rPr>
      </w:pPr>
    </w:p>
    <w:p>
      <w:pPr>
        <w:ind w:left="40" w:right="140"/>
        <w:spacing w:after="0" w:line="252" w:lineRule="auto"/>
        <w:rPr>
          <w:sz w:val="20"/>
          <w:szCs w:val="20"/>
          <w:color w:val="auto"/>
        </w:rPr>
      </w:pPr>
      <w:r>
        <w:rPr>
          <w:rFonts w:ascii="Arial" w:cs="Arial" w:eastAsia="Arial" w:hAnsi="Arial"/>
          <w:sz w:val="16"/>
          <w:szCs w:val="16"/>
          <w:color w:val="auto"/>
        </w:rPr>
        <w:t>The Annual Report and Proxy Statement are developed with Board oversight. The ESG Engagement Team coordinates meetings with every proxy proposal proponent to discuss their concerns. Meetings are also set with our largest stockholders and key stakeholders to review matters to be considered at the Annual Meeting of Stockholders and obtain feedback about potential responses and positions.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B2D71"/>
        </w:rPr>
        <w:t>Summer</w:t>
      </w:r>
    </w:p>
    <w:p>
      <w:pPr>
        <w:spacing w:after="0" w:line="45" w:lineRule="exact"/>
        <w:rPr>
          <w:sz w:val="20"/>
          <w:szCs w:val="20"/>
          <w:color w:val="auto"/>
        </w:rPr>
      </w:pPr>
    </w:p>
    <w:p>
      <w:pPr>
        <w:ind w:left="40" w:right="100"/>
        <w:spacing w:after="0" w:line="252" w:lineRule="auto"/>
        <w:rPr>
          <w:sz w:val="20"/>
          <w:szCs w:val="20"/>
          <w:color w:val="auto"/>
        </w:rPr>
      </w:pPr>
      <w:r>
        <w:rPr>
          <w:rFonts w:ascii="Arial" w:cs="Arial" w:eastAsia="Arial" w:hAnsi="Arial"/>
          <w:sz w:val="16"/>
          <w:szCs w:val="16"/>
          <w:color w:val="auto"/>
        </w:rPr>
        <w:t>The Board and Management review the Annual Meeting outcomes and post-vote feedback. This discussion helps set the agenda for Fall/Winter engagement.</w:t>
      </w:r>
    </w:p>
    <w:p>
      <w:pPr>
        <w:ind w:left="40"/>
        <w:spacing w:after="0"/>
        <w:rPr>
          <w:sz w:val="20"/>
          <w:szCs w:val="20"/>
          <w:color w:val="auto"/>
        </w:rPr>
      </w:pPr>
      <w:r>
        <w:rPr>
          <w:rFonts w:ascii="Arial" w:cs="Arial" w:eastAsia="Arial" w:hAnsi="Arial"/>
          <w:sz w:val="22"/>
          <w:szCs w:val="22"/>
          <w:b w:val="1"/>
          <w:bCs w:val="1"/>
          <w:color w:val="0B2D71"/>
        </w:rPr>
        <w:t>Fall/Winter</w:t>
      </w:r>
    </w:p>
    <w:p>
      <w:pPr>
        <w:spacing w:after="0" w:line="45" w:lineRule="exact"/>
        <w:rPr>
          <w:sz w:val="20"/>
          <w:szCs w:val="20"/>
          <w:color w:val="auto"/>
        </w:rPr>
      </w:pPr>
    </w:p>
    <w:p>
      <w:pPr>
        <w:ind w:left="40" w:right="240"/>
        <w:spacing w:after="0" w:line="254" w:lineRule="auto"/>
        <w:rPr>
          <w:sz w:val="20"/>
          <w:szCs w:val="20"/>
          <w:color w:val="auto"/>
        </w:rPr>
      </w:pPr>
      <w:r>
        <w:rPr>
          <w:rFonts w:ascii="Arial" w:cs="Arial" w:eastAsia="Arial" w:hAnsi="Arial"/>
          <w:sz w:val="16"/>
          <w:szCs w:val="16"/>
          <w:color w:val="auto"/>
        </w:rPr>
        <w:t>With Board oversight, Management determines what actions to take in response to the Annual Meeting. The ESG Engagement Team continues its outreach to stockholders and stakeholders to understand the evolving landscape. Management and/or Board members have ESG-focused meetings with our largest stockholders and other stakeholders.</w:t>
      </w:r>
    </w:p>
    <w:p>
      <w:pPr>
        <w:spacing w:after="0" w:line="340" w:lineRule="exact"/>
        <w:rPr>
          <w:sz w:val="20"/>
          <w:szCs w:val="20"/>
          <w:color w:val="auto"/>
        </w:rPr>
      </w:pPr>
    </w:p>
    <w:p>
      <w:pPr>
        <w:sectPr>
          <w:pgSz w:w="11900" w:h="16838" w:orient="portrait"/>
          <w:cols w:equalWidth="0" w:num="2">
            <w:col w:w="5320" w:space="500"/>
            <w:col w:w="5300"/>
          </w:cols>
          <w:pgMar w:left="320" w:top="455" w:right="459" w:bottom="1440" w:gutter="0" w:footer="0" w:header="0"/>
          <w:type w:val="continuous"/>
        </w:sectPr>
      </w:pP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Chevron Corporation – 2022 Proxy Statement</w:t>
      </w:r>
    </w:p>
    <w:p>
      <w:pPr>
        <w:spacing w:after="0" w:line="65"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120"/>
          </w:cols>
          <w:pgMar w:left="320" w:top="455" w:right="459" w:bottom="1440" w:gutter="0" w:footer="0" w:header="0"/>
          <w:type w:val="continuous"/>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3731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37310" cy="145415"/>
                    </a:xfrm>
                    <a:prstGeom prst="rect">
                      <a:avLst/>
                    </a:prstGeom>
                    <a:noFill/>
                  </pic:spPr>
                </pic:pic>
              </a:graphicData>
            </a:graphic>
          </wp:anchor>
        </w:drawing>
      </w:r>
    </w:p>
    <w:p>
      <w:pPr>
        <w:spacing w:after="0" w:line="33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FFFFFF"/>
        </w:rPr>
        <w:t>Corporate governance</w:t>
      </w:r>
    </w:p>
    <w:p>
      <w:pPr>
        <w:spacing w:after="0" w:line="226"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Through this program, we seek to address environmental, social, and governance topics raised by our stockholders. This process also informs our corporate policies and reporting. The Governance Committee and the Public Policy and Sustainability Committee oversee the stockholder engagement program. Feedback received by the Company during these engagements is shared with our full Board, its relevant Committees, and relevant members of senior management.</w:t>
      </w:r>
    </w:p>
    <w:p>
      <w:pPr>
        <w:spacing w:after="0" w:line="73"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color w:val="auto"/>
        </w:rPr>
        <w:t>Since Chevron’s last Annual Meeting, an engagement team consisting of senior executives; subject matter experts on governance, compensation, and environmental and social issues (“ESG Engagement Team”); and, when appropriate, our independent Lead Director and the Chairs of our Audit, Governance, and Public Policy and Sustainability Committees, have continued to engage with stockholders.</w:t>
      </w:r>
    </w:p>
    <w:p>
      <w:pPr>
        <w:spacing w:after="0" w:line="74" w:lineRule="exact"/>
        <w:rPr>
          <w:sz w:val="20"/>
          <w:szCs w:val="20"/>
          <w:color w:val="auto"/>
        </w:rPr>
      </w:pPr>
    </w:p>
    <w:p>
      <w:pPr>
        <w:ind w:left="120" w:right="600"/>
        <w:spacing w:after="0" w:line="266" w:lineRule="auto"/>
        <w:rPr>
          <w:sz w:val="20"/>
          <w:szCs w:val="20"/>
          <w:color w:val="auto"/>
        </w:rPr>
      </w:pPr>
      <w:r>
        <w:rPr>
          <w:rFonts w:ascii="Arial" w:cs="Arial" w:eastAsia="Arial" w:hAnsi="Arial"/>
          <w:sz w:val="16"/>
          <w:szCs w:val="16"/>
          <w:color w:val="auto"/>
        </w:rPr>
        <w:t>In addition, the team reached out to every stockholder or their representative who submitted proposals for inclusion in our Proxy Statement and met with each to discuss their perspective.</w:t>
      </w:r>
    </w:p>
    <w:p>
      <w:pPr>
        <w:spacing w:after="0" w:line="63"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During our engagements, Chevron gained valuable feedback on key topics, including:</w:t>
      </w:r>
    </w:p>
    <w:p>
      <w:pPr>
        <w:spacing w:after="0" w:line="61" w:lineRule="exact"/>
        <w:rPr>
          <w:sz w:val="20"/>
          <w:szCs w:val="20"/>
          <w:color w:val="auto"/>
        </w:rPr>
      </w:pPr>
    </w:p>
    <w:p>
      <w:pPr>
        <w:ind w:left="300" w:right="200" w:hanging="184"/>
        <w:spacing w:after="0" w:line="286" w:lineRule="auto"/>
        <w:tabs>
          <w:tab w:leader="none" w:pos="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energy transition strategy, including our net zero Upstream 2050 aspiration and greenhouse gas (“GHG”) intensity targets;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66" w:hanging="166"/>
        <w:spacing w:after="0"/>
        <w:tabs>
          <w:tab w:leader="none" w:pos="166"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role of oil and gas in the energy transition;</w:t>
      </w:r>
    </w:p>
    <w:p>
      <w:pPr>
        <w:spacing w:after="0" w:line="126" w:lineRule="exact"/>
        <w:rPr>
          <w:rFonts w:ascii="Arial" w:cs="Arial" w:eastAsia="Arial" w:hAnsi="Arial"/>
          <w:sz w:val="16"/>
          <w:szCs w:val="16"/>
          <w:color w:val="auto"/>
        </w:rPr>
      </w:pPr>
    </w:p>
    <w:p>
      <w:pPr>
        <w:ind w:left="166" w:right="420" w:hanging="166"/>
        <w:spacing w:after="0" w:line="286" w:lineRule="auto"/>
        <w:tabs>
          <w:tab w:leader="none" w:pos="166"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future of Chevron New Energies, our new business focused on lower carbon opportunities such as hydrogen and carbon capture;</w:t>
      </w:r>
    </w:p>
    <w:p>
      <w:pPr>
        <w:spacing w:after="0" w:line="61" w:lineRule="exact"/>
        <w:rPr>
          <w:rFonts w:ascii="Arial" w:cs="Arial" w:eastAsia="Arial" w:hAnsi="Arial"/>
          <w:sz w:val="16"/>
          <w:szCs w:val="16"/>
          <w:color w:val="auto"/>
        </w:rPr>
      </w:pPr>
    </w:p>
    <w:p>
      <w:pPr>
        <w:jc w:val="both"/>
        <w:ind w:left="166" w:right="360" w:hanging="166"/>
        <w:spacing w:after="0" w:line="266" w:lineRule="auto"/>
        <w:tabs>
          <w:tab w:leader="none" w:pos="166"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work to support more standardized GHG reporting and promote value chain accounting, including on our GHG emissions disclosure framework;</w:t>
      </w:r>
    </w:p>
    <w:p>
      <w:pPr>
        <w:spacing w:after="0" w:line="76" w:lineRule="exact"/>
        <w:rPr>
          <w:rFonts w:ascii="Arial" w:cs="Arial" w:eastAsia="Arial" w:hAnsi="Arial"/>
          <w:sz w:val="16"/>
          <w:szCs w:val="16"/>
          <w:color w:val="auto"/>
        </w:rPr>
      </w:pPr>
    </w:p>
    <w:p>
      <w:pPr>
        <w:ind w:left="166" w:right="200" w:hanging="166"/>
        <w:spacing w:after="0" w:line="266" w:lineRule="auto"/>
        <w:tabs>
          <w:tab w:leader="none" w:pos="166" w:val="left"/>
        </w:tabs>
        <w:numPr>
          <w:ilvl w:val="0"/>
          <w:numId w:val="48"/>
        </w:numPr>
        <w:rPr>
          <w:rFonts w:ascii="Arial" w:cs="Arial" w:eastAsia="Arial" w:hAnsi="Arial"/>
          <w:sz w:val="16"/>
          <w:szCs w:val="16"/>
          <w:color w:val="auto"/>
        </w:rPr>
      </w:pPr>
      <w:r>
        <w:rPr>
          <w:rFonts w:ascii="Arial" w:cs="Arial" w:eastAsia="Arial" w:hAnsi="Arial"/>
          <w:sz w:val="16"/>
          <w:szCs w:val="16"/>
          <w:color w:val="auto"/>
        </w:rPr>
        <w:t>Methane management, including Chevron’s 2028 methane target, and increasing expectations for reductions and the potential for direct measurements;</w:t>
      </w:r>
    </w:p>
    <w:p>
      <w:pPr>
        <w:spacing w:after="0" w:line="76" w:lineRule="exact"/>
        <w:rPr>
          <w:rFonts w:ascii="Arial" w:cs="Arial" w:eastAsia="Arial" w:hAnsi="Arial"/>
          <w:sz w:val="16"/>
          <w:szCs w:val="16"/>
          <w:color w:val="auto"/>
        </w:rPr>
      </w:pPr>
    </w:p>
    <w:p>
      <w:pPr>
        <w:ind w:left="166" w:hanging="166"/>
        <w:spacing w:after="0"/>
        <w:tabs>
          <w:tab w:leader="none" w:pos="166"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Board’s composition, including Director tenure, skills, and capacity;</w:t>
      </w:r>
    </w:p>
    <w:p>
      <w:pPr>
        <w:spacing w:after="0" w:line="126" w:lineRule="exact"/>
        <w:rPr>
          <w:rFonts w:ascii="Arial" w:cs="Arial" w:eastAsia="Arial" w:hAnsi="Arial"/>
          <w:sz w:val="16"/>
          <w:szCs w:val="16"/>
          <w:color w:val="auto"/>
        </w:rPr>
      </w:pPr>
    </w:p>
    <w:p>
      <w:pPr>
        <w:ind w:left="166" w:right="180" w:hanging="166"/>
        <w:spacing w:after="0" w:line="286" w:lineRule="auto"/>
        <w:tabs>
          <w:tab w:leader="none" w:pos="166"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approach to lobbying and disclosure, as well as continued scrutiny of alignment with trade associations; and</w:t>
      </w:r>
    </w:p>
    <w:p>
      <w:pPr>
        <w:spacing w:after="0" w:line="61" w:lineRule="exact"/>
        <w:rPr>
          <w:rFonts w:ascii="Arial" w:cs="Arial" w:eastAsia="Arial" w:hAnsi="Arial"/>
          <w:sz w:val="16"/>
          <w:szCs w:val="16"/>
          <w:color w:val="auto"/>
        </w:rPr>
      </w:pPr>
    </w:p>
    <w:p>
      <w:pPr>
        <w:ind w:left="166" w:right="180" w:hanging="166"/>
        <w:spacing w:after="0" w:line="286" w:lineRule="auto"/>
        <w:tabs>
          <w:tab w:leader="none" w:pos="166"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importance of a diverse and inclusive workplace at all levels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-2986405</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8" w:lineRule="exact"/>
        <w:rPr>
          <w:sz w:val="20"/>
          <w:szCs w:val="20"/>
          <w:color w:val="auto"/>
        </w:rPr>
      </w:pPr>
    </w:p>
    <w:p>
      <w:pPr>
        <w:ind w:left="6" w:right="220"/>
        <w:spacing w:after="0" w:line="266" w:lineRule="auto"/>
        <w:rPr>
          <w:sz w:val="20"/>
          <w:szCs w:val="20"/>
          <w:color w:val="auto"/>
        </w:rPr>
      </w:pPr>
      <w:r>
        <w:rPr>
          <w:rFonts w:ascii="Arial" w:cs="Arial" w:eastAsia="Arial" w:hAnsi="Arial"/>
          <w:sz w:val="16"/>
          <w:szCs w:val="16"/>
          <w:color w:val="auto"/>
        </w:rPr>
        <w:t>For more information about these engagements, see the “Independent Lead Director,” and “Compensation Discussion and Analysis” sections of this Proxy Statement.</w:t>
      </w:r>
    </w:p>
    <w:p>
      <w:pPr>
        <w:spacing w:after="0" w:line="391" w:lineRule="exact"/>
        <w:rPr>
          <w:sz w:val="20"/>
          <w:szCs w:val="20"/>
          <w:color w:val="auto"/>
        </w:rPr>
      </w:pPr>
    </w:p>
    <w:p>
      <w:pPr>
        <w:sectPr>
          <w:pgSz w:w="11900" w:h="16838" w:orient="portrait"/>
          <w:cols w:equalWidth="0" w:num="2">
            <w:col w:w="5400" w:space="334"/>
            <w:col w:w="5406"/>
          </w:cols>
          <w:pgMar w:left="320" w:top="455" w:right="439" w:bottom="1440" w:gutter="0" w:footer="0" w:header="0"/>
        </w:sectPr>
      </w:pP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0B2D71"/>
        </w:rPr>
        <w:t>Our response to stockholders</w:t>
      </w:r>
    </w:p>
    <w:p>
      <w:pPr>
        <w:spacing w:after="0" w:line="134" w:lineRule="exact"/>
        <w:rPr>
          <w:sz w:val="20"/>
          <w:szCs w:val="20"/>
          <w:color w:val="auto"/>
        </w:rPr>
      </w:pPr>
    </w:p>
    <w:p>
      <w:pPr>
        <w:ind w:left="120" w:right="240"/>
        <w:spacing w:after="0" w:line="259" w:lineRule="auto"/>
        <w:rPr>
          <w:sz w:val="20"/>
          <w:szCs w:val="20"/>
          <w:color w:val="auto"/>
        </w:rPr>
      </w:pPr>
      <w:r>
        <w:rPr>
          <w:rFonts w:ascii="Arial" w:cs="Arial" w:eastAsia="Arial" w:hAnsi="Arial"/>
          <w:sz w:val="16"/>
          <w:szCs w:val="16"/>
          <w:color w:val="auto"/>
        </w:rPr>
        <w:t>As noted above, Chevron engages regularly with key stockholders and stakeholders. We had over 100 one-on-one ESG-focused meetings with 71 institutions, representing 39% of outstanding common stock. Our CEO and Directors participated in ESG-focused meetings with stockholders representing 30% of outstanding common stock. These engagements included meetings with Climate Action 100+ and most of our top 25 stockholders and informed the actions we took following the 2021 Annual Meeting, as summarized below.</w:t>
      </w:r>
    </w:p>
    <w:p>
      <w:pPr>
        <w:spacing w:after="0" w:line="199" w:lineRule="exact"/>
        <w:rPr>
          <w:sz w:val="20"/>
          <w:szCs w:val="20"/>
          <w:color w:val="auto"/>
        </w:rPr>
      </w:pPr>
    </w:p>
    <w:tbl>
      <w:tblPr>
        <w:tblLayout w:type="fixed"/>
        <w:tblInd w:w="130" w:type="dxa"/>
        <w:tblCellMar>
          <w:top w:w="0" w:type="dxa"/>
          <w:left w:w="0" w:type="dxa"/>
          <w:bottom w:w="0" w:type="dxa"/>
          <w:right w:w="0" w:type="dxa"/>
        </w:tblCellMar>
      </w:tblPr>
      <w:tr>
        <w:trPr>
          <w:trHeight w:val="188"/>
        </w:trPr>
        <w:tc>
          <w:tcPr>
            <w:tcW w:w="3000" w:type="dxa"/>
            <w:vAlign w:val="bottom"/>
            <w:tcBorders>
              <w:top w:val="single" w:sz="8" w:color="auto"/>
              <w:left w:val="single" w:sz="8" w:color="auto"/>
            </w:tcBorders>
            <w:shd w:val="clear" w:color="auto" w:fill="0066B2"/>
          </w:tcPr>
          <w:p>
            <w:pPr>
              <w:jc w:val="center"/>
              <w:ind w:left="59"/>
              <w:spacing w:after="0"/>
              <w:rPr>
                <w:sz w:val="20"/>
                <w:szCs w:val="20"/>
                <w:color w:val="auto"/>
              </w:rPr>
            </w:pPr>
            <w:r>
              <w:rPr>
                <w:rFonts w:ascii="Arial" w:cs="Arial" w:eastAsia="Arial" w:hAnsi="Arial"/>
                <w:sz w:val="16"/>
                <w:szCs w:val="16"/>
                <w:b w:val="1"/>
                <w:bCs w:val="1"/>
                <w:color w:val="FFFFFF"/>
              </w:rPr>
              <w:t>Key stockholder issues and 2021</w:t>
            </w:r>
          </w:p>
        </w:tc>
        <w:tc>
          <w:tcPr>
            <w:tcW w:w="4080" w:type="dxa"/>
            <w:vAlign w:val="bottom"/>
            <w:tcBorders>
              <w:top w:val="single" w:sz="8" w:color="auto"/>
            </w:tcBorders>
            <w:shd w:val="clear" w:color="auto" w:fill="0066B2"/>
          </w:tcPr>
          <w:p>
            <w:pPr>
              <w:ind w:left="1380"/>
              <w:spacing w:after="0"/>
              <w:rPr>
                <w:sz w:val="20"/>
                <w:szCs w:val="20"/>
                <w:color w:val="auto"/>
              </w:rPr>
            </w:pPr>
            <w:r>
              <w:rPr>
                <w:rFonts w:ascii="Arial" w:cs="Arial" w:eastAsia="Arial" w:hAnsi="Arial"/>
                <w:sz w:val="16"/>
                <w:szCs w:val="16"/>
                <w:b w:val="1"/>
                <w:bCs w:val="1"/>
                <w:color w:val="FFFFFF"/>
              </w:rPr>
              <w:t>What we heard from</w:t>
            </w:r>
          </w:p>
        </w:tc>
        <w:tc>
          <w:tcPr>
            <w:tcW w:w="3960" w:type="dxa"/>
            <w:vAlign w:val="bottom"/>
            <w:tcBorders>
              <w:top w:val="single" w:sz="8" w:color="auto"/>
              <w:right w:val="single" w:sz="8" w:color="auto"/>
            </w:tcBorders>
            <w:shd w:val="clear" w:color="auto" w:fill="0066B2"/>
          </w:tcPr>
          <w:p>
            <w:pPr>
              <w:ind w:left="1000"/>
              <w:spacing w:after="0"/>
              <w:rPr>
                <w:sz w:val="20"/>
                <w:szCs w:val="20"/>
                <w:color w:val="auto"/>
              </w:rPr>
            </w:pPr>
            <w:r>
              <w:rPr>
                <w:rFonts w:ascii="Arial" w:cs="Arial" w:eastAsia="Arial" w:hAnsi="Arial"/>
                <w:sz w:val="16"/>
                <w:szCs w:val="16"/>
                <w:b w:val="1"/>
                <w:bCs w:val="1"/>
                <w:color w:val="FFFFFF"/>
              </w:rPr>
              <w:t>Our board’s perspective &amp;</w:t>
            </w:r>
          </w:p>
        </w:tc>
      </w:tr>
      <w:tr>
        <w:trPr>
          <w:trHeight w:val="217"/>
        </w:trPr>
        <w:tc>
          <w:tcPr>
            <w:tcW w:w="3000" w:type="dxa"/>
            <w:vAlign w:val="bottom"/>
            <w:tcBorders>
              <w:left w:val="single" w:sz="8" w:color="auto"/>
            </w:tcBorders>
            <w:shd w:val="clear" w:color="auto" w:fill="0066B2"/>
          </w:tcPr>
          <w:p>
            <w:pPr>
              <w:jc w:val="center"/>
              <w:ind w:left="59"/>
              <w:spacing w:after="0"/>
              <w:rPr>
                <w:sz w:val="20"/>
                <w:szCs w:val="20"/>
                <w:color w:val="auto"/>
              </w:rPr>
            </w:pPr>
            <w:r>
              <w:rPr>
                <w:rFonts w:ascii="Arial" w:cs="Arial" w:eastAsia="Arial" w:hAnsi="Arial"/>
                <w:sz w:val="16"/>
                <w:szCs w:val="16"/>
                <w:b w:val="1"/>
                <w:bCs w:val="1"/>
                <w:color w:val="FFFFFF"/>
              </w:rPr>
              <w:t>proxy proposals</w:t>
            </w:r>
          </w:p>
        </w:tc>
        <w:tc>
          <w:tcPr>
            <w:tcW w:w="4080" w:type="dxa"/>
            <w:vAlign w:val="bottom"/>
            <w:shd w:val="clear" w:color="auto" w:fill="0066B2"/>
          </w:tcPr>
          <w:p>
            <w:pPr>
              <w:ind w:left="1660"/>
              <w:spacing w:after="0"/>
              <w:rPr>
                <w:sz w:val="20"/>
                <w:szCs w:val="20"/>
                <w:color w:val="auto"/>
              </w:rPr>
            </w:pPr>
            <w:r>
              <w:rPr>
                <w:rFonts w:ascii="Arial" w:cs="Arial" w:eastAsia="Arial" w:hAnsi="Arial"/>
                <w:sz w:val="16"/>
                <w:szCs w:val="16"/>
                <w:b w:val="1"/>
                <w:bCs w:val="1"/>
                <w:color w:val="FFFFFF"/>
              </w:rPr>
              <w:t>stockholders</w:t>
            </w:r>
          </w:p>
        </w:tc>
        <w:tc>
          <w:tcPr>
            <w:tcW w:w="3960" w:type="dxa"/>
            <w:vAlign w:val="bottom"/>
            <w:tcBorders>
              <w:right w:val="single" w:sz="8" w:color="auto"/>
            </w:tcBorders>
            <w:shd w:val="clear" w:color="auto" w:fill="0066B2"/>
          </w:tcPr>
          <w:p>
            <w:pPr>
              <w:ind w:left="1560"/>
              <w:spacing w:after="0"/>
              <w:rPr>
                <w:sz w:val="20"/>
                <w:szCs w:val="20"/>
                <w:color w:val="auto"/>
              </w:rPr>
            </w:pPr>
            <w:r>
              <w:rPr>
                <w:rFonts w:ascii="Arial" w:cs="Arial" w:eastAsia="Arial" w:hAnsi="Arial"/>
                <w:sz w:val="16"/>
                <w:szCs w:val="16"/>
                <w:b w:val="1"/>
                <w:bCs w:val="1"/>
                <w:color w:val="FFFFFF"/>
              </w:rPr>
              <w:t>what we did</w:t>
            </w:r>
          </w:p>
        </w:tc>
      </w:tr>
      <w:tr>
        <w:trPr>
          <w:trHeight w:val="202"/>
        </w:trPr>
        <w:tc>
          <w:tcPr>
            <w:tcW w:w="3000" w:type="dxa"/>
            <w:vAlign w:val="bottom"/>
            <w:tcBorders>
              <w:left w:val="single" w:sz="8" w:color="auto"/>
            </w:tcBorders>
            <w:shd w:val="clear" w:color="auto" w:fill="D8D8D8"/>
          </w:tcPr>
          <w:p>
            <w:pPr>
              <w:ind w:left="160"/>
              <w:spacing w:after="0"/>
              <w:rPr>
                <w:sz w:val="20"/>
                <w:szCs w:val="20"/>
                <w:color w:val="auto"/>
              </w:rPr>
            </w:pPr>
            <w:r>
              <w:rPr>
                <w:rFonts w:ascii="Arial" w:cs="Arial" w:eastAsia="Arial" w:hAnsi="Arial"/>
                <w:sz w:val="16"/>
                <w:szCs w:val="16"/>
                <w:b w:val="1"/>
                <w:bCs w:val="1"/>
                <w:color w:val="auto"/>
              </w:rPr>
              <w:t>Climate Change</w:t>
            </w:r>
          </w:p>
        </w:tc>
        <w:tc>
          <w:tcPr>
            <w:tcW w:w="4080" w:type="dxa"/>
            <w:vAlign w:val="bottom"/>
            <w:shd w:val="clear" w:color="auto" w:fill="D8D8D8"/>
          </w:tcPr>
          <w:p>
            <w:pPr>
              <w:ind w:left="200"/>
              <w:spacing w:after="0"/>
              <w:rPr>
                <w:sz w:val="20"/>
                <w:szCs w:val="20"/>
                <w:color w:val="auto"/>
              </w:rPr>
            </w:pPr>
            <w:r>
              <w:rPr>
                <w:rFonts w:ascii="Arial" w:cs="Arial" w:eastAsia="Arial" w:hAnsi="Arial"/>
                <w:sz w:val="16"/>
                <w:szCs w:val="16"/>
                <w:color w:val="auto"/>
              </w:rPr>
              <w:t>GHG disclosure and performance are priority issues</w:t>
            </w:r>
          </w:p>
        </w:tc>
        <w:tc>
          <w:tcPr>
            <w:tcW w:w="3960" w:type="dxa"/>
            <w:vAlign w:val="bottom"/>
            <w:tcBorders>
              <w:right w:val="single" w:sz="8" w:color="auto"/>
            </w:tcBorders>
            <w:shd w:val="clear" w:color="auto" w:fill="D8D8D8"/>
          </w:tcPr>
          <w:p>
            <w:pPr>
              <w:ind w:left="140"/>
              <w:spacing w:after="0"/>
              <w:rPr>
                <w:sz w:val="20"/>
                <w:szCs w:val="20"/>
                <w:color w:val="auto"/>
              </w:rPr>
            </w:pPr>
            <w:r>
              <w:rPr>
                <w:rFonts w:ascii="Arial" w:cs="Arial" w:eastAsia="Arial" w:hAnsi="Arial"/>
                <w:sz w:val="16"/>
                <w:szCs w:val="16"/>
                <w:color w:val="auto"/>
              </w:rPr>
              <w:t>Our October 2021 TCFD-aligned Climate Report</w:t>
            </w:r>
          </w:p>
        </w:tc>
      </w:tr>
      <w:tr>
        <w:trPr>
          <w:trHeight w:val="189"/>
        </w:trPr>
        <w:tc>
          <w:tcPr>
            <w:tcW w:w="3000" w:type="dxa"/>
            <w:vAlign w:val="bottom"/>
            <w:tcBorders>
              <w:left w:val="single" w:sz="8" w:color="auto"/>
            </w:tcBorders>
            <w:shd w:val="clear" w:color="auto" w:fill="D8D8D8"/>
          </w:tcPr>
          <w:p>
            <w:pPr>
              <w:spacing w:after="0"/>
              <w:rPr>
                <w:sz w:val="16"/>
                <w:szCs w:val="16"/>
                <w:color w:val="auto"/>
              </w:rPr>
            </w:pPr>
          </w:p>
        </w:tc>
        <w:tc>
          <w:tcPr>
            <w:tcW w:w="4080" w:type="dxa"/>
            <w:vAlign w:val="bottom"/>
            <w:shd w:val="clear" w:color="auto" w:fill="D8D8D8"/>
          </w:tcPr>
          <w:p>
            <w:pPr>
              <w:ind w:left="200"/>
              <w:spacing w:after="0"/>
              <w:rPr>
                <w:sz w:val="20"/>
                <w:szCs w:val="20"/>
                <w:color w:val="auto"/>
              </w:rPr>
            </w:pPr>
            <w:r>
              <w:rPr>
                <w:rFonts w:ascii="Arial" w:cs="Arial" w:eastAsia="Arial" w:hAnsi="Arial"/>
                <w:sz w:val="16"/>
                <w:szCs w:val="16"/>
                <w:color w:val="auto"/>
              </w:rPr>
              <w:t>for our stockholders. Our stockholders support the</w:t>
            </w:r>
          </w:p>
        </w:tc>
        <w:tc>
          <w:tcPr>
            <w:tcW w:w="3960" w:type="dxa"/>
            <w:vAlign w:val="bottom"/>
            <w:tcBorders>
              <w:right w:val="single" w:sz="8" w:color="auto"/>
            </w:tcBorders>
            <w:shd w:val="clear" w:color="auto" w:fill="D8D8D8"/>
          </w:tcPr>
          <w:p>
            <w:pPr>
              <w:ind w:left="140"/>
              <w:spacing w:after="0"/>
              <w:rPr>
                <w:sz w:val="20"/>
                <w:szCs w:val="20"/>
                <w:color w:val="auto"/>
              </w:rPr>
            </w:pPr>
            <w:r>
              <w:rPr>
                <w:rFonts w:ascii="Arial" w:cs="Arial" w:eastAsia="Arial" w:hAnsi="Arial"/>
                <w:sz w:val="16"/>
                <w:szCs w:val="16"/>
                <w:color w:val="auto"/>
              </w:rPr>
              <w:t>included information responsive to the two climate-</w:t>
            </w:r>
          </w:p>
        </w:tc>
      </w:tr>
      <w:tr>
        <w:trPr>
          <w:trHeight w:val="189"/>
        </w:trPr>
        <w:tc>
          <w:tcPr>
            <w:tcW w:w="3000" w:type="dxa"/>
            <w:vAlign w:val="bottom"/>
            <w:tcBorders>
              <w:left w:val="single" w:sz="8" w:color="auto"/>
            </w:tcBorders>
            <w:shd w:val="clear" w:color="auto" w:fill="D8D8D8"/>
          </w:tcPr>
          <w:p>
            <w:pPr>
              <w:spacing w:after="0"/>
              <w:rPr>
                <w:sz w:val="16"/>
                <w:szCs w:val="16"/>
                <w:color w:val="auto"/>
              </w:rPr>
            </w:pPr>
          </w:p>
        </w:tc>
        <w:tc>
          <w:tcPr>
            <w:tcW w:w="4080" w:type="dxa"/>
            <w:vAlign w:val="bottom"/>
            <w:shd w:val="clear" w:color="auto" w:fill="D8D8D8"/>
          </w:tcPr>
          <w:p>
            <w:pPr>
              <w:ind w:left="200"/>
              <w:spacing w:after="0"/>
              <w:rPr>
                <w:sz w:val="20"/>
                <w:szCs w:val="20"/>
                <w:color w:val="auto"/>
              </w:rPr>
            </w:pPr>
            <w:r>
              <w:rPr>
                <w:rFonts w:ascii="Arial" w:cs="Arial" w:eastAsia="Arial" w:hAnsi="Arial"/>
                <w:sz w:val="16"/>
                <w:szCs w:val="16"/>
                <w:color w:val="auto"/>
              </w:rPr>
              <w:t>Paris Agreement, but they have varied views on the</w:t>
            </w:r>
          </w:p>
        </w:tc>
        <w:tc>
          <w:tcPr>
            <w:tcW w:w="3960" w:type="dxa"/>
            <w:vAlign w:val="bottom"/>
            <w:tcBorders>
              <w:right w:val="single" w:sz="8" w:color="auto"/>
            </w:tcBorders>
            <w:shd w:val="clear" w:color="auto" w:fill="D8D8D8"/>
          </w:tcPr>
          <w:p>
            <w:pPr>
              <w:ind w:left="140"/>
              <w:spacing w:after="0"/>
              <w:rPr>
                <w:sz w:val="20"/>
                <w:szCs w:val="20"/>
                <w:color w:val="auto"/>
              </w:rPr>
            </w:pPr>
            <w:r>
              <w:rPr>
                <w:rFonts w:ascii="Arial" w:cs="Arial" w:eastAsia="Arial" w:hAnsi="Arial"/>
                <w:sz w:val="16"/>
                <w:szCs w:val="16"/>
                <w:color w:val="auto"/>
              </w:rPr>
              <w:t>related proposals discussed below. In addition, the</w:t>
            </w:r>
          </w:p>
        </w:tc>
      </w:tr>
      <w:tr>
        <w:trPr>
          <w:trHeight w:val="189"/>
        </w:trPr>
        <w:tc>
          <w:tcPr>
            <w:tcW w:w="3000" w:type="dxa"/>
            <w:vAlign w:val="bottom"/>
            <w:tcBorders>
              <w:left w:val="single" w:sz="8" w:color="auto"/>
            </w:tcBorders>
            <w:shd w:val="clear" w:color="auto" w:fill="D8D8D8"/>
          </w:tcPr>
          <w:p>
            <w:pPr>
              <w:spacing w:after="0"/>
              <w:rPr>
                <w:sz w:val="16"/>
                <w:szCs w:val="16"/>
                <w:color w:val="auto"/>
              </w:rPr>
            </w:pPr>
          </w:p>
        </w:tc>
        <w:tc>
          <w:tcPr>
            <w:tcW w:w="4080" w:type="dxa"/>
            <w:vAlign w:val="bottom"/>
            <w:shd w:val="clear" w:color="auto" w:fill="D8D8D8"/>
          </w:tcPr>
          <w:p>
            <w:pPr>
              <w:ind w:left="200"/>
              <w:spacing w:after="0"/>
              <w:rPr>
                <w:sz w:val="20"/>
                <w:szCs w:val="20"/>
                <w:color w:val="auto"/>
              </w:rPr>
            </w:pPr>
            <w:r>
              <w:rPr>
                <w:rFonts w:ascii="Arial" w:cs="Arial" w:eastAsia="Arial" w:hAnsi="Arial"/>
                <w:sz w:val="16"/>
                <w:szCs w:val="16"/>
                <w:color w:val="auto"/>
              </w:rPr>
              <w:t>pace of future progress toward that goal.</w:t>
            </w:r>
          </w:p>
        </w:tc>
        <w:tc>
          <w:tcPr>
            <w:tcW w:w="3960" w:type="dxa"/>
            <w:vAlign w:val="bottom"/>
            <w:tcBorders>
              <w:right w:val="single" w:sz="8" w:color="auto"/>
            </w:tcBorders>
            <w:shd w:val="clear" w:color="auto" w:fill="D8D8D8"/>
          </w:tcPr>
          <w:p>
            <w:pPr>
              <w:ind w:left="140"/>
              <w:spacing w:after="0"/>
              <w:rPr>
                <w:sz w:val="20"/>
                <w:szCs w:val="20"/>
                <w:color w:val="auto"/>
              </w:rPr>
            </w:pPr>
            <w:r>
              <w:rPr>
                <w:rFonts w:ascii="Arial" w:cs="Arial" w:eastAsia="Arial" w:hAnsi="Arial"/>
                <w:sz w:val="16"/>
                <w:szCs w:val="16"/>
                <w:color w:val="auto"/>
              </w:rPr>
              <w:t>October 2021 Climate Report provided further</w:t>
            </w:r>
          </w:p>
        </w:tc>
      </w:tr>
      <w:tr>
        <w:trPr>
          <w:trHeight w:val="189"/>
        </w:trPr>
        <w:tc>
          <w:tcPr>
            <w:tcW w:w="3000" w:type="dxa"/>
            <w:vAlign w:val="bottom"/>
            <w:tcBorders>
              <w:left w:val="single" w:sz="8" w:color="auto"/>
            </w:tcBorders>
            <w:shd w:val="clear" w:color="auto" w:fill="D8D8D8"/>
          </w:tcPr>
          <w:p>
            <w:pPr>
              <w:spacing w:after="0"/>
              <w:rPr>
                <w:sz w:val="16"/>
                <w:szCs w:val="16"/>
                <w:color w:val="auto"/>
              </w:rPr>
            </w:pPr>
          </w:p>
        </w:tc>
        <w:tc>
          <w:tcPr>
            <w:tcW w:w="4080" w:type="dxa"/>
            <w:vAlign w:val="bottom"/>
            <w:shd w:val="clear" w:color="auto" w:fill="D8D8D8"/>
          </w:tcPr>
          <w:p>
            <w:pPr>
              <w:spacing w:after="0"/>
              <w:rPr>
                <w:sz w:val="16"/>
                <w:szCs w:val="16"/>
                <w:color w:val="auto"/>
              </w:rPr>
            </w:pPr>
          </w:p>
        </w:tc>
        <w:tc>
          <w:tcPr>
            <w:tcW w:w="3960" w:type="dxa"/>
            <w:vAlign w:val="bottom"/>
            <w:tcBorders>
              <w:right w:val="single" w:sz="8" w:color="auto"/>
            </w:tcBorders>
            <w:shd w:val="clear" w:color="auto" w:fill="D8D8D8"/>
          </w:tcPr>
          <w:p>
            <w:pPr>
              <w:ind w:left="140"/>
              <w:spacing w:after="0"/>
              <w:rPr>
                <w:sz w:val="20"/>
                <w:szCs w:val="20"/>
                <w:color w:val="auto"/>
              </w:rPr>
            </w:pPr>
            <w:r>
              <w:rPr>
                <w:rFonts w:ascii="Arial" w:cs="Arial" w:eastAsia="Arial" w:hAnsi="Arial"/>
                <w:sz w:val="16"/>
                <w:szCs w:val="16"/>
                <w:color w:val="auto"/>
              </w:rPr>
              <w:t>information on the Company’s capital allocation</w:t>
            </w:r>
          </w:p>
        </w:tc>
      </w:tr>
      <w:tr>
        <w:trPr>
          <w:trHeight w:val="189"/>
        </w:trPr>
        <w:tc>
          <w:tcPr>
            <w:tcW w:w="3000" w:type="dxa"/>
            <w:vAlign w:val="bottom"/>
            <w:tcBorders>
              <w:left w:val="single" w:sz="8" w:color="auto"/>
            </w:tcBorders>
            <w:shd w:val="clear" w:color="auto" w:fill="D8D8D8"/>
          </w:tcPr>
          <w:p>
            <w:pPr>
              <w:spacing w:after="0"/>
              <w:rPr>
                <w:sz w:val="16"/>
                <w:szCs w:val="16"/>
                <w:color w:val="auto"/>
              </w:rPr>
            </w:pPr>
          </w:p>
        </w:tc>
        <w:tc>
          <w:tcPr>
            <w:tcW w:w="4080" w:type="dxa"/>
            <w:vAlign w:val="bottom"/>
            <w:shd w:val="clear" w:color="auto" w:fill="D8D8D8"/>
          </w:tcPr>
          <w:p>
            <w:pPr>
              <w:spacing w:after="0"/>
              <w:rPr>
                <w:sz w:val="16"/>
                <w:szCs w:val="16"/>
                <w:color w:val="auto"/>
              </w:rPr>
            </w:pPr>
          </w:p>
        </w:tc>
        <w:tc>
          <w:tcPr>
            <w:tcW w:w="3960" w:type="dxa"/>
            <w:vAlign w:val="bottom"/>
            <w:tcBorders>
              <w:right w:val="single" w:sz="8" w:color="auto"/>
            </w:tcBorders>
            <w:shd w:val="clear" w:color="auto" w:fill="D8D8D8"/>
          </w:tcPr>
          <w:p>
            <w:pPr>
              <w:ind w:left="140"/>
              <w:spacing w:after="0"/>
              <w:rPr>
                <w:sz w:val="20"/>
                <w:szCs w:val="20"/>
                <w:color w:val="auto"/>
              </w:rPr>
            </w:pPr>
            <w:r>
              <w:rPr>
                <w:rFonts w:ascii="Arial" w:cs="Arial" w:eastAsia="Arial" w:hAnsi="Arial"/>
                <w:sz w:val="16"/>
                <w:szCs w:val="16"/>
                <w:color w:val="auto"/>
              </w:rPr>
              <w:t>plans and strategies to deliver long-term value to</w:t>
            </w:r>
          </w:p>
        </w:tc>
      </w:tr>
      <w:tr>
        <w:trPr>
          <w:trHeight w:val="216"/>
        </w:trPr>
        <w:tc>
          <w:tcPr>
            <w:tcW w:w="3000" w:type="dxa"/>
            <w:vAlign w:val="bottom"/>
            <w:tcBorders>
              <w:left w:val="single" w:sz="8" w:color="auto"/>
              <w:bottom w:val="single" w:sz="8" w:color="auto"/>
            </w:tcBorders>
            <w:shd w:val="clear" w:color="auto" w:fill="D8D8D8"/>
          </w:tcPr>
          <w:p>
            <w:pPr>
              <w:spacing w:after="0"/>
              <w:rPr>
                <w:sz w:val="18"/>
                <w:szCs w:val="18"/>
                <w:color w:val="auto"/>
              </w:rPr>
            </w:pPr>
          </w:p>
        </w:tc>
        <w:tc>
          <w:tcPr>
            <w:tcW w:w="4080" w:type="dxa"/>
            <w:vAlign w:val="bottom"/>
            <w:tcBorders>
              <w:bottom w:val="single" w:sz="8" w:color="auto"/>
            </w:tcBorders>
            <w:shd w:val="clear" w:color="auto" w:fill="D8D8D8"/>
          </w:tcPr>
          <w:p>
            <w:pPr>
              <w:spacing w:after="0"/>
              <w:rPr>
                <w:sz w:val="18"/>
                <w:szCs w:val="18"/>
                <w:color w:val="auto"/>
              </w:rPr>
            </w:pPr>
          </w:p>
        </w:tc>
        <w:tc>
          <w:tcPr>
            <w:tcW w:w="3960" w:type="dxa"/>
            <w:vAlign w:val="bottom"/>
            <w:tcBorders>
              <w:bottom w:val="single" w:sz="8" w:color="auto"/>
              <w:right w:val="single" w:sz="8" w:color="auto"/>
            </w:tcBorders>
            <w:shd w:val="clear" w:color="auto" w:fill="D8D8D8"/>
          </w:tcPr>
          <w:p>
            <w:pPr>
              <w:ind w:left="140"/>
              <w:spacing w:after="0"/>
              <w:rPr>
                <w:sz w:val="20"/>
                <w:szCs w:val="20"/>
                <w:color w:val="auto"/>
              </w:rPr>
            </w:pPr>
            <w:r>
              <w:rPr>
                <w:rFonts w:ascii="Arial" w:cs="Arial" w:eastAsia="Arial" w:hAnsi="Arial"/>
                <w:sz w:val="16"/>
                <w:szCs w:val="16"/>
                <w:color w:val="auto"/>
              </w:rPr>
              <w:t>stockholders in a lower carbon future.</w:t>
            </w:r>
          </w:p>
        </w:tc>
      </w:tr>
      <w:tr>
        <w:trPr>
          <w:trHeight w:val="291"/>
        </w:trPr>
        <w:tc>
          <w:tcPr>
            <w:tcW w:w="3000" w:type="dxa"/>
            <w:vAlign w:val="bottom"/>
          </w:tcPr>
          <w:p>
            <w:pPr>
              <w:spacing w:after="0"/>
              <w:rPr>
                <w:sz w:val="24"/>
                <w:szCs w:val="24"/>
                <w:color w:val="auto"/>
              </w:rPr>
            </w:pPr>
          </w:p>
        </w:tc>
        <w:tc>
          <w:tcPr>
            <w:tcW w:w="4080" w:type="dxa"/>
            <w:vAlign w:val="bottom"/>
          </w:tcPr>
          <w:p>
            <w:pPr>
              <w:ind w:left="1220"/>
              <w:spacing w:after="0"/>
              <w:rPr>
                <w:sz w:val="20"/>
                <w:szCs w:val="20"/>
                <w:color w:val="auto"/>
              </w:rPr>
            </w:pPr>
            <w:r>
              <w:rPr>
                <w:rFonts w:ascii="Arial" w:cs="Arial" w:eastAsia="Arial" w:hAnsi="Arial"/>
                <w:sz w:val="13"/>
                <w:szCs w:val="13"/>
                <w:color w:val="auto"/>
              </w:rPr>
              <w:t>Chevron Corporation – 2022 Proxy Statement</w:t>
            </w:r>
          </w:p>
        </w:tc>
        <w:tc>
          <w:tcPr>
            <w:tcW w:w="396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4080" w:type="dxa"/>
            <w:vAlign w:val="bottom"/>
          </w:tcPr>
          <w:p>
            <w:pPr>
              <w:ind w:left="2440"/>
              <w:spacing w:after="0"/>
              <w:rPr>
                <w:sz w:val="20"/>
                <w:szCs w:val="20"/>
                <w:color w:val="auto"/>
              </w:rPr>
            </w:pPr>
            <w:r>
              <w:rPr>
                <w:rFonts w:ascii="Arial" w:cs="Arial" w:eastAsia="Arial" w:hAnsi="Arial"/>
                <w:sz w:val="13"/>
                <w:szCs w:val="13"/>
                <w:color w:val="auto"/>
              </w:rPr>
              <w:t>34</w:t>
            </w:r>
          </w:p>
        </w:tc>
        <w:tc>
          <w:tcPr>
            <w:tcW w:w="3960" w:type="dxa"/>
            <w:vAlign w:val="bottom"/>
          </w:tcPr>
          <w:p>
            <w:pPr>
              <w:spacing w:after="0"/>
              <w:rPr>
                <w:sz w:val="18"/>
                <w:szCs w:val="18"/>
                <w:color w:val="auto"/>
              </w:rPr>
            </w:pPr>
          </w:p>
        </w:tc>
      </w:tr>
    </w:tbl>
    <w:p>
      <w:pPr>
        <w:sectPr>
          <w:pgSz w:w="11900" w:h="16838" w:orient="portrait"/>
          <w:cols w:equalWidth="0" w:num="1">
            <w:col w:w="11140"/>
          </w:cols>
          <w:pgMar w:left="320" w:top="455" w:right="43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35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20" w:type="dxa"/>
            <w:vAlign w:val="bottom"/>
            <w:shd w:val="clear" w:color="auto" w:fill="0B2D71"/>
          </w:tcPr>
          <w:p>
            <w:pPr>
              <w:ind w:left="360"/>
              <w:spacing w:after="0"/>
              <w:rPr>
                <w:sz w:val="20"/>
                <w:szCs w:val="20"/>
                <w:color w:val="auto"/>
              </w:rPr>
            </w:pPr>
            <w:r>
              <w:rPr>
                <w:rFonts w:ascii="Arial" w:cs="Arial" w:eastAsia="Arial" w:hAnsi="Arial"/>
                <w:sz w:val="14"/>
                <w:szCs w:val="14"/>
                <w:b w:val="1"/>
                <w:bCs w:val="1"/>
                <w:color w:val="FFFFFF"/>
              </w:rPr>
              <w:t>Corporate governance</w:t>
            </w:r>
          </w:p>
        </w:tc>
      </w:tr>
      <w:tr>
        <w:trPr>
          <w:trHeight w:val="148"/>
        </w:trPr>
        <w:tc>
          <w:tcPr>
            <w:tcW w:w="3560" w:type="dxa"/>
            <w:vAlign w:val="bottom"/>
            <w:tcBorders>
              <w:bottom w:val="single" w:sz="8" w:color="auto"/>
            </w:tcBorders>
          </w:tcPr>
          <w:p>
            <w:pPr>
              <w:spacing w:after="0"/>
              <w:rPr>
                <w:sz w:val="12"/>
                <w:szCs w:val="12"/>
                <w:color w:val="auto"/>
              </w:rPr>
            </w:pPr>
          </w:p>
        </w:tc>
        <w:tc>
          <w:tcPr>
            <w:tcW w:w="3420" w:type="dxa"/>
            <w:vAlign w:val="bottom"/>
            <w:tcBorders>
              <w:bottom w:val="single" w:sz="8" w:color="auto"/>
            </w:tcBorders>
          </w:tcPr>
          <w:p>
            <w:pPr>
              <w:spacing w:after="0"/>
              <w:rPr>
                <w:sz w:val="12"/>
                <w:szCs w:val="12"/>
                <w:color w:val="auto"/>
              </w:rPr>
            </w:pPr>
          </w:p>
        </w:tc>
        <w:tc>
          <w:tcPr>
            <w:tcW w:w="4040" w:type="dxa"/>
            <w:vAlign w:val="bottom"/>
            <w:tcBorders>
              <w:bottom w:val="single" w:sz="8" w:color="auto"/>
            </w:tcBorders>
            <w:gridSpan w:val="2"/>
          </w:tcPr>
          <w:p>
            <w:pPr>
              <w:spacing w:after="0"/>
              <w:rPr>
                <w:sz w:val="12"/>
                <w:szCs w:val="12"/>
                <w:color w:val="auto"/>
              </w:rPr>
            </w:pPr>
          </w:p>
        </w:tc>
      </w:tr>
      <w:tr>
        <w:trPr>
          <w:trHeight w:val="168"/>
        </w:trPr>
        <w:tc>
          <w:tcPr>
            <w:tcW w:w="3560" w:type="dxa"/>
            <w:vAlign w:val="bottom"/>
            <w:shd w:val="clear" w:color="auto" w:fill="0066B2"/>
          </w:tcPr>
          <w:p>
            <w:pPr>
              <w:jc w:val="center"/>
              <w:ind w:right="439"/>
              <w:spacing w:after="0" w:line="168" w:lineRule="exact"/>
              <w:rPr>
                <w:sz w:val="20"/>
                <w:szCs w:val="20"/>
                <w:color w:val="auto"/>
              </w:rPr>
            </w:pPr>
            <w:r>
              <w:rPr>
                <w:rFonts w:ascii="Arial" w:cs="Arial" w:eastAsia="Arial" w:hAnsi="Arial"/>
                <w:sz w:val="16"/>
                <w:szCs w:val="16"/>
                <w:b w:val="1"/>
                <w:bCs w:val="1"/>
                <w:color w:val="FFFFFF"/>
              </w:rPr>
              <w:t>Key stockholder issues and 2021</w:t>
            </w:r>
          </w:p>
        </w:tc>
        <w:tc>
          <w:tcPr>
            <w:tcW w:w="3420" w:type="dxa"/>
            <w:vAlign w:val="bottom"/>
            <w:shd w:val="clear" w:color="auto" w:fill="0066B2"/>
          </w:tcPr>
          <w:p>
            <w:pPr>
              <w:jc w:val="center"/>
              <w:ind w:right="239"/>
              <w:spacing w:after="0" w:line="168" w:lineRule="exact"/>
              <w:rPr>
                <w:sz w:val="20"/>
                <w:szCs w:val="20"/>
                <w:color w:val="auto"/>
              </w:rPr>
            </w:pPr>
            <w:r>
              <w:rPr>
                <w:rFonts w:ascii="Arial" w:cs="Arial" w:eastAsia="Arial" w:hAnsi="Arial"/>
                <w:sz w:val="16"/>
                <w:szCs w:val="16"/>
                <w:b w:val="1"/>
                <w:bCs w:val="1"/>
                <w:color w:val="FFFFFF"/>
              </w:rPr>
              <w:t>What we heard from</w:t>
            </w:r>
          </w:p>
        </w:tc>
        <w:tc>
          <w:tcPr>
            <w:tcW w:w="4040" w:type="dxa"/>
            <w:vAlign w:val="bottom"/>
            <w:gridSpan w:val="2"/>
            <w:shd w:val="clear" w:color="auto" w:fill="0066B2"/>
          </w:tcPr>
          <w:p>
            <w:pPr>
              <w:jc w:val="center"/>
              <w:ind w:left="99"/>
              <w:spacing w:after="0" w:line="168" w:lineRule="exact"/>
              <w:rPr>
                <w:sz w:val="20"/>
                <w:szCs w:val="20"/>
                <w:color w:val="auto"/>
              </w:rPr>
            </w:pPr>
            <w:r>
              <w:rPr>
                <w:rFonts w:ascii="Arial" w:cs="Arial" w:eastAsia="Arial" w:hAnsi="Arial"/>
                <w:sz w:val="16"/>
                <w:szCs w:val="16"/>
                <w:b w:val="1"/>
                <w:bCs w:val="1"/>
                <w:color w:val="FFFFFF"/>
              </w:rPr>
              <w:t>Our board’s perspective &amp;</w:t>
            </w:r>
          </w:p>
        </w:tc>
      </w:tr>
      <w:tr>
        <w:trPr>
          <w:trHeight w:val="217"/>
        </w:trPr>
        <w:tc>
          <w:tcPr>
            <w:tcW w:w="3560" w:type="dxa"/>
            <w:vAlign w:val="bottom"/>
            <w:shd w:val="clear" w:color="auto" w:fill="0066B2"/>
          </w:tcPr>
          <w:p>
            <w:pPr>
              <w:jc w:val="center"/>
              <w:ind w:right="459"/>
              <w:spacing w:after="0"/>
              <w:rPr>
                <w:sz w:val="20"/>
                <w:szCs w:val="20"/>
                <w:color w:val="auto"/>
              </w:rPr>
            </w:pPr>
            <w:r>
              <w:rPr>
                <w:rFonts w:ascii="Arial" w:cs="Arial" w:eastAsia="Arial" w:hAnsi="Arial"/>
                <w:sz w:val="16"/>
                <w:szCs w:val="16"/>
                <w:b w:val="1"/>
                <w:bCs w:val="1"/>
                <w:color w:val="FFFFFF"/>
              </w:rPr>
              <w:t>proxy proposals</w:t>
            </w:r>
          </w:p>
        </w:tc>
        <w:tc>
          <w:tcPr>
            <w:tcW w:w="3420" w:type="dxa"/>
            <w:vAlign w:val="bottom"/>
            <w:shd w:val="clear" w:color="auto" w:fill="0066B2"/>
          </w:tcPr>
          <w:p>
            <w:pPr>
              <w:jc w:val="center"/>
              <w:ind w:right="259"/>
              <w:spacing w:after="0"/>
              <w:rPr>
                <w:sz w:val="20"/>
                <w:szCs w:val="20"/>
                <w:color w:val="auto"/>
              </w:rPr>
            </w:pPr>
            <w:r>
              <w:rPr>
                <w:rFonts w:ascii="Arial" w:cs="Arial" w:eastAsia="Arial" w:hAnsi="Arial"/>
                <w:sz w:val="16"/>
                <w:szCs w:val="16"/>
                <w:b w:val="1"/>
                <w:bCs w:val="1"/>
                <w:color w:val="FFFFFF"/>
              </w:rPr>
              <w:t>stockholders</w:t>
            </w:r>
          </w:p>
        </w:tc>
        <w:tc>
          <w:tcPr>
            <w:tcW w:w="4040" w:type="dxa"/>
            <w:vAlign w:val="bottom"/>
            <w:gridSpan w:val="2"/>
            <w:shd w:val="clear" w:color="auto" w:fill="0066B2"/>
          </w:tcPr>
          <w:p>
            <w:pPr>
              <w:jc w:val="center"/>
              <w:ind w:left="119"/>
              <w:spacing w:after="0"/>
              <w:rPr>
                <w:sz w:val="20"/>
                <w:szCs w:val="20"/>
                <w:color w:val="auto"/>
              </w:rPr>
            </w:pPr>
            <w:r>
              <w:rPr>
                <w:rFonts w:ascii="Arial" w:cs="Arial" w:eastAsia="Arial" w:hAnsi="Arial"/>
                <w:sz w:val="16"/>
                <w:szCs w:val="16"/>
                <w:b w:val="1"/>
                <w:bCs w:val="1"/>
                <w:color w:val="FFFFFF"/>
              </w:rPr>
              <w:t>what we did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-256540</wp:posOffset>
            </wp:positionV>
            <wp:extent cx="8890" cy="50831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508317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-256540</wp:posOffset>
            </wp:positionV>
            <wp:extent cx="8890" cy="50831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50831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3" w:lineRule="exact"/>
        <w:rPr>
          <w:sz w:val="20"/>
          <w:szCs w:val="20"/>
          <w:color w:val="auto"/>
        </w:rPr>
      </w:pPr>
    </w:p>
    <w:p>
      <w:pPr>
        <w:ind w:left="280" w:right="40"/>
        <w:spacing w:after="0" w:line="253" w:lineRule="auto"/>
        <w:rPr>
          <w:sz w:val="20"/>
          <w:szCs w:val="20"/>
          <w:color w:val="auto"/>
        </w:rPr>
      </w:pPr>
      <w:r>
        <w:rPr>
          <w:rFonts w:ascii="Arial" w:cs="Arial" w:eastAsia="Arial" w:hAnsi="Arial"/>
          <w:sz w:val="16"/>
          <w:szCs w:val="16"/>
          <w:b w:val="1"/>
          <w:bCs w:val="1"/>
          <w:color w:val="auto"/>
        </w:rPr>
        <w:t xml:space="preserve">2021 Proposal to Reduce Scope 3 Emissions: </w:t>
      </w:r>
      <w:r>
        <w:rPr>
          <w:rFonts w:ascii="Arial" w:cs="Arial" w:eastAsia="Arial" w:hAnsi="Arial"/>
          <w:sz w:val="16"/>
          <w:szCs w:val="16"/>
          <w:color w:val="auto"/>
        </w:rPr>
        <w:t>Requested Chevron to</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“substantially reduce the greenhouse gas (GHG) emissions of their energy products (Scope 3) in the medium-and long-term.” 61% of the votes cast supported.</w:t>
      </w:r>
    </w:p>
    <w:p>
      <w:pPr>
        <w:spacing w:after="0" w:line="87" w:lineRule="exact"/>
        <w:rPr>
          <w:sz w:val="20"/>
          <w:szCs w:val="20"/>
          <w:color w:val="auto"/>
        </w:rPr>
      </w:pPr>
    </w:p>
    <w:p>
      <w:pPr>
        <w:ind w:left="280" w:right="20"/>
        <w:spacing w:after="0" w:line="252" w:lineRule="auto"/>
        <w:rPr>
          <w:sz w:val="20"/>
          <w:szCs w:val="20"/>
          <w:color w:val="auto"/>
        </w:rPr>
      </w:pPr>
      <w:r>
        <w:rPr>
          <w:rFonts w:ascii="Arial" w:cs="Arial" w:eastAsia="Arial" w:hAnsi="Arial"/>
          <w:sz w:val="16"/>
          <w:szCs w:val="16"/>
          <w:color w:val="auto"/>
        </w:rPr>
        <w:t>The Proposal’s resolution also stated: “[N]othing in this resolution shall serve to micromanage the Company by seeking to impose methods for implementing complex policies in place of the ongoing judgement of management as overseen by its board of directors.”</w:t>
      </w:r>
    </w:p>
    <w:p>
      <w:pPr>
        <w:spacing w:after="0" w:line="88" w:lineRule="exact"/>
        <w:rPr>
          <w:sz w:val="20"/>
          <w:szCs w:val="20"/>
          <w:color w:val="auto"/>
        </w:rPr>
      </w:pPr>
    </w:p>
    <w:p>
      <w:pPr>
        <w:ind w:left="280"/>
        <w:spacing w:after="0" w:line="253" w:lineRule="auto"/>
        <w:rPr>
          <w:sz w:val="20"/>
          <w:szCs w:val="20"/>
          <w:color w:val="auto"/>
        </w:rPr>
      </w:pPr>
      <w:r>
        <w:rPr>
          <w:rFonts w:ascii="Arial" w:cs="Arial" w:eastAsia="Arial" w:hAnsi="Arial"/>
          <w:sz w:val="16"/>
          <w:szCs w:val="16"/>
          <w:color w:val="auto"/>
        </w:rPr>
        <w:t>The Proposal’s supporting statement said: “Nothing in this resolution shall limit the Company’s powers to set and vary their strategy or take any action which they believe in good faith would best contribute to reducing GHG emissions.”</w:t>
      </w:r>
    </w:p>
    <w:p>
      <w:pPr>
        <w:spacing w:after="0" w:line="20" w:lineRule="exact"/>
        <w:rPr>
          <w:sz w:val="20"/>
          <w:szCs w:val="20"/>
          <w:color w:val="auto"/>
        </w:rPr>
      </w:pPr>
      <w:r>
        <w:rPr>
          <w:sz w:val="20"/>
          <w:szCs w:val="20"/>
          <w:color w:val="auto"/>
        </w:rPr>
        <w:br w:type="column"/>
      </w:r>
    </w:p>
    <w:p>
      <w:pPr>
        <w:ind w:right="340"/>
        <w:spacing w:after="0" w:line="259" w:lineRule="auto"/>
        <w:rPr>
          <w:sz w:val="20"/>
          <w:szCs w:val="20"/>
          <w:color w:val="auto"/>
        </w:rPr>
      </w:pPr>
      <w:r>
        <w:rPr>
          <w:rFonts w:ascii="Arial" w:cs="Arial" w:eastAsia="Arial" w:hAnsi="Arial"/>
          <w:sz w:val="16"/>
          <w:szCs w:val="16"/>
          <w:color w:val="auto"/>
        </w:rPr>
        <w:t>While there was general agreement about the importance of addressing Scope 3, there was not a consensus among stockholders about the appropriateness of absolute Scope 3 reductions.</w:t>
      </w:r>
    </w:p>
    <w:p>
      <w:pPr>
        <w:spacing w:after="0" w:line="83"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Some stockholders, including those that supported the proposal, shared that they recognized that absolute reductions of GHG emissions, and specifically Scope 3 emissions, may not be appropriate for Chevron because that would require significantly changing our business strategy.</w:t>
      </w:r>
    </w:p>
    <w:p>
      <w:pPr>
        <w:spacing w:after="0" w:line="8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Most stockholders generally did not favor shrinking Chevron’s traditional oil and gas business or shifting the core business to renewables as ways to reduce Scope 3 emissions.</w:t>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Stockholders appreciated Chevron’s transparent reporting of Scopes 1, 2, and 3 emissions and generally expressed support for Chevron’s approach to reducing GHG emissions on an equity and intensity basis and including Scope 3 as part of Chevron’s Portfolio Carbon Intensity metric.</w:t>
      </w:r>
    </w:p>
    <w:p>
      <w:pPr>
        <w:spacing w:after="0" w:line="8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flexibility allowed in the proposal for the Company to determine the best path forward was also an important element to many stockholders that supported the proposal.</w:t>
      </w:r>
    </w:p>
    <w:p>
      <w:pPr>
        <w:spacing w:after="0" w:line="20" w:lineRule="exact"/>
        <w:rPr>
          <w:sz w:val="20"/>
          <w:szCs w:val="20"/>
          <w:color w:val="auto"/>
        </w:rPr>
      </w:pPr>
      <w:r>
        <w:rPr>
          <w:sz w:val="20"/>
          <w:szCs w:val="20"/>
          <w:color w:val="auto"/>
        </w:rPr>
        <w:br w:type="column"/>
      </w:r>
    </w:p>
    <w:p>
      <w:pPr>
        <w:ind w:right="40"/>
        <w:spacing w:after="0" w:line="249" w:lineRule="auto"/>
        <w:rPr>
          <w:sz w:val="20"/>
          <w:szCs w:val="20"/>
          <w:color w:val="auto"/>
        </w:rPr>
      </w:pPr>
      <w:r>
        <w:rPr>
          <w:rFonts w:ascii="Arial" w:cs="Arial" w:eastAsia="Arial" w:hAnsi="Arial"/>
          <w:sz w:val="16"/>
          <w:szCs w:val="16"/>
          <w:color w:val="auto"/>
        </w:rPr>
        <w:t>In addition to setting various GHG emissions intensity targets through 2028 and introducing a net zero aspiration by 2050 for Upstream Scope 1 and 2 emissions, Chevron developed a Portfolio Carbon Intensity (“PCI”) methodology that covers Scope 1, 2, and Scope 3 emissions from use of products, and set a PCI Reduction target for 2028 that includes Scope 1, Scope 2, and certain Scope 3 emissions: 71 g CO</w:t>
      </w:r>
      <w:r>
        <w:rPr>
          <w:rFonts w:ascii="Arial" w:cs="Arial" w:eastAsia="Arial" w:hAnsi="Arial"/>
          <w:sz w:val="13"/>
          <w:szCs w:val="13"/>
          <w:color w:val="auto"/>
        </w:rPr>
        <w:t>2e</w:t>
      </w:r>
      <w:r>
        <w:rPr>
          <w:rFonts w:ascii="Arial" w:cs="Arial" w:eastAsia="Arial" w:hAnsi="Arial"/>
          <w:sz w:val="16"/>
          <w:szCs w:val="16"/>
          <w:color w:val="auto"/>
        </w:rPr>
        <w:t>/MJ by 2028, a &gt; 5% reduction from 2016. Chevron has also set 2030 low-carbon business targets on renewable fuels (100 thousand barrels a day), hydrogen (150 million tonnes per annum), and CCUS (25 thousand tonnes per annum) in order to help reduce GHG emissions in hard-to-abate sectors.</w:t>
      </w:r>
    </w:p>
    <w:p>
      <w:pPr>
        <w:spacing w:after="0" w:line="93"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We believe that an absolute Scope 3 target is incompatible with our strategy that includes increasing our oil and gas production while lowering carbon intensity and providing lower carbon solutions for hard-to-abate sectors.</w:t>
      </w:r>
    </w:p>
    <w:p>
      <w:pPr>
        <w:spacing w:after="0" w:line="1152" w:lineRule="exact"/>
        <w:rPr>
          <w:sz w:val="20"/>
          <w:szCs w:val="20"/>
          <w:color w:val="auto"/>
        </w:rPr>
      </w:pPr>
    </w:p>
    <w:p>
      <w:pPr>
        <w:sectPr>
          <w:pgSz w:w="11900" w:h="16838" w:orient="portrait"/>
          <w:cols w:equalWidth="0" w:num="3">
            <w:col w:w="3000" w:space="220"/>
            <w:col w:w="4000" w:space="120"/>
            <w:col w:w="380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02"/>
        </w:trPr>
        <w:tc>
          <w:tcPr>
            <w:tcW w:w="2880" w:type="dxa"/>
            <w:vAlign w:val="bottom"/>
            <w:shd w:val="clear" w:color="auto" w:fill="D8D8D8"/>
          </w:tcPr>
          <w:p>
            <w:pPr>
              <w:ind w:left="160"/>
              <w:spacing w:after="0"/>
              <w:rPr>
                <w:sz w:val="20"/>
                <w:szCs w:val="20"/>
                <w:color w:val="auto"/>
              </w:rPr>
            </w:pPr>
            <w:r>
              <w:rPr>
                <w:rFonts w:ascii="Arial" w:cs="Arial" w:eastAsia="Arial" w:hAnsi="Arial"/>
                <w:sz w:val="16"/>
                <w:szCs w:val="16"/>
                <w:b w:val="1"/>
                <w:bCs w:val="1"/>
                <w:color w:val="auto"/>
              </w:rPr>
              <w:t>2021 Proposal for a Report on</w:t>
            </w:r>
          </w:p>
        </w:tc>
        <w:tc>
          <w:tcPr>
            <w:tcW w:w="4160" w:type="dxa"/>
            <w:vAlign w:val="bottom"/>
            <w:shd w:val="clear" w:color="auto" w:fill="D8D8D8"/>
          </w:tcPr>
          <w:p>
            <w:pPr>
              <w:ind w:left="220"/>
              <w:spacing w:after="0"/>
              <w:rPr>
                <w:sz w:val="20"/>
                <w:szCs w:val="20"/>
                <w:color w:val="auto"/>
              </w:rPr>
            </w:pPr>
            <w:r>
              <w:rPr>
                <w:rFonts w:ascii="Arial" w:cs="Arial" w:eastAsia="Arial" w:hAnsi="Arial"/>
                <w:sz w:val="16"/>
                <w:szCs w:val="16"/>
                <w:color w:val="auto"/>
              </w:rPr>
              <w:t>Stockholders generally provided positive feedback</w:t>
            </w:r>
          </w:p>
        </w:tc>
        <w:tc>
          <w:tcPr>
            <w:tcW w:w="3980" w:type="dxa"/>
            <w:vAlign w:val="bottom"/>
            <w:shd w:val="clear" w:color="auto" w:fill="D8D8D8"/>
          </w:tcPr>
          <w:p>
            <w:pPr>
              <w:ind w:left="180"/>
              <w:spacing w:after="0"/>
              <w:rPr>
                <w:sz w:val="20"/>
                <w:szCs w:val="20"/>
                <w:color w:val="auto"/>
              </w:rPr>
            </w:pPr>
            <w:r>
              <w:rPr>
                <w:rFonts w:ascii="Arial" w:cs="Arial" w:eastAsia="Arial" w:hAnsi="Arial"/>
                <w:sz w:val="16"/>
                <w:szCs w:val="16"/>
                <w:color w:val="auto"/>
              </w:rPr>
              <w:t>Our October 2021 TCFD-aligned Climate Report</w:t>
            </w:r>
          </w:p>
        </w:tc>
      </w:tr>
      <w:tr>
        <w:trPr>
          <w:trHeight w:val="189"/>
        </w:trPr>
        <w:tc>
          <w:tcPr>
            <w:tcW w:w="2880" w:type="dxa"/>
            <w:vAlign w:val="bottom"/>
            <w:shd w:val="clear" w:color="auto" w:fill="D8D8D8"/>
          </w:tcPr>
          <w:p>
            <w:pPr>
              <w:ind w:left="160"/>
              <w:spacing w:after="0"/>
              <w:rPr>
                <w:sz w:val="20"/>
                <w:szCs w:val="20"/>
                <w:color w:val="auto"/>
              </w:rPr>
            </w:pPr>
            <w:r>
              <w:rPr>
                <w:rFonts w:ascii="Arial" w:cs="Arial" w:eastAsia="Arial" w:hAnsi="Arial"/>
                <w:sz w:val="16"/>
                <w:szCs w:val="16"/>
                <w:b w:val="1"/>
                <w:bCs w:val="1"/>
                <w:color w:val="auto"/>
              </w:rPr>
              <w:t>Impacts of Net Zero 2050 Scenario:</w:t>
            </w:r>
          </w:p>
        </w:tc>
        <w:tc>
          <w:tcPr>
            <w:tcW w:w="4160" w:type="dxa"/>
            <w:vAlign w:val="bottom"/>
            <w:shd w:val="clear" w:color="auto" w:fill="D8D8D8"/>
          </w:tcPr>
          <w:p>
            <w:pPr>
              <w:ind w:left="220"/>
              <w:spacing w:after="0"/>
              <w:rPr>
                <w:sz w:val="20"/>
                <w:szCs w:val="20"/>
                <w:color w:val="auto"/>
              </w:rPr>
            </w:pPr>
            <w:r>
              <w:rPr>
                <w:rFonts w:ascii="Arial" w:cs="Arial" w:eastAsia="Arial" w:hAnsi="Arial"/>
                <w:sz w:val="16"/>
                <w:szCs w:val="16"/>
                <w:color w:val="auto"/>
              </w:rPr>
              <w:t>about the level of detail regarding the NZE scenario</w:t>
            </w:r>
          </w:p>
        </w:tc>
        <w:tc>
          <w:tcPr>
            <w:tcW w:w="3980" w:type="dxa"/>
            <w:vAlign w:val="bottom"/>
            <w:shd w:val="clear" w:color="auto" w:fill="D8D8D8"/>
          </w:tcPr>
          <w:p>
            <w:pPr>
              <w:ind w:left="180"/>
              <w:spacing w:after="0"/>
              <w:rPr>
                <w:sz w:val="20"/>
                <w:szCs w:val="20"/>
                <w:color w:val="auto"/>
              </w:rPr>
            </w:pPr>
            <w:r>
              <w:rPr>
                <w:rFonts w:ascii="Arial" w:cs="Arial" w:eastAsia="Arial" w:hAnsi="Arial"/>
                <w:sz w:val="16"/>
                <w:szCs w:val="16"/>
                <w:color w:val="auto"/>
              </w:rPr>
              <w:t>included a detailed scenario analysis of NZE 2050</w:t>
            </w:r>
          </w:p>
        </w:tc>
      </w:tr>
      <w:tr>
        <w:trPr>
          <w:trHeight w:val="189"/>
        </w:trPr>
        <w:tc>
          <w:tcPr>
            <w:tcW w:w="2880" w:type="dxa"/>
            <w:vAlign w:val="bottom"/>
            <w:shd w:val="clear" w:color="auto" w:fill="D8D8D8"/>
          </w:tcPr>
          <w:p>
            <w:pPr>
              <w:ind w:left="160"/>
              <w:spacing w:after="0"/>
              <w:rPr>
                <w:sz w:val="20"/>
                <w:szCs w:val="20"/>
                <w:color w:val="auto"/>
              </w:rPr>
            </w:pPr>
            <w:r>
              <w:rPr>
                <w:rFonts w:ascii="Arial" w:cs="Arial" w:eastAsia="Arial" w:hAnsi="Arial"/>
                <w:sz w:val="16"/>
                <w:szCs w:val="16"/>
                <w:color w:val="auto"/>
              </w:rPr>
              <w:t>Requested an audited report on</w:t>
            </w:r>
          </w:p>
        </w:tc>
        <w:tc>
          <w:tcPr>
            <w:tcW w:w="4160" w:type="dxa"/>
            <w:vAlign w:val="bottom"/>
            <w:shd w:val="clear" w:color="auto" w:fill="D8D8D8"/>
          </w:tcPr>
          <w:p>
            <w:pPr>
              <w:ind w:left="220"/>
              <w:spacing w:after="0"/>
              <w:rPr>
                <w:sz w:val="20"/>
                <w:szCs w:val="20"/>
                <w:color w:val="auto"/>
              </w:rPr>
            </w:pPr>
            <w:r>
              <w:rPr>
                <w:rFonts w:ascii="Arial" w:cs="Arial" w:eastAsia="Arial" w:hAnsi="Arial"/>
                <w:sz w:val="16"/>
                <w:szCs w:val="16"/>
                <w:color w:val="auto"/>
              </w:rPr>
              <w:t>provided in our October 2021 TCFD-aligned Climate</w:t>
            </w:r>
          </w:p>
        </w:tc>
        <w:tc>
          <w:tcPr>
            <w:tcW w:w="3980" w:type="dxa"/>
            <w:vAlign w:val="bottom"/>
            <w:shd w:val="clear" w:color="auto" w:fill="D8D8D8"/>
          </w:tcPr>
          <w:p>
            <w:pPr>
              <w:ind w:left="180"/>
              <w:spacing w:after="0"/>
              <w:rPr>
                <w:sz w:val="20"/>
                <w:szCs w:val="20"/>
                <w:color w:val="auto"/>
              </w:rPr>
            </w:pPr>
            <w:r>
              <w:rPr>
                <w:rFonts w:ascii="Arial" w:cs="Arial" w:eastAsia="Arial" w:hAnsi="Arial"/>
                <w:sz w:val="16"/>
                <w:szCs w:val="16"/>
                <w:color w:val="auto"/>
              </w:rPr>
              <w:t>against Chevron’s forecasted portfolio. The NZE</w:t>
            </w:r>
          </w:p>
        </w:tc>
      </w:tr>
      <w:tr>
        <w:trPr>
          <w:trHeight w:val="189"/>
        </w:trPr>
        <w:tc>
          <w:tcPr>
            <w:tcW w:w="2880" w:type="dxa"/>
            <w:vAlign w:val="bottom"/>
            <w:shd w:val="clear" w:color="auto" w:fill="D8D8D8"/>
          </w:tcPr>
          <w:p>
            <w:pPr>
              <w:ind w:left="160"/>
              <w:spacing w:after="0"/>
              <w:rPr>
                <w:sz w:val="20"/>
                <w:szCs w:val="20"/>
                <w:color w:val="auto"/>
              </w:rPr>
            </w:pPr>
            <w:r>
              <w:rPr>
                <w:rFonts w:ascii="Arial" w:cs="Arial" w:eastAsia="Arial" w:hAnsi="Arial"/>
                <w:sz w:val="16"/>
                <w:szCs w:val="16"/>
                <w:color w:val="auto"/>
              </w:rPr>
              <w:t>whether and how a reduction in fossil</w:t>
            </w:r>
          </w:p>
        </w:tc>
        <w:tc>
          <w:tcPr>
            <w:tcW w:w="4160" w:type="dxa"/>
            <w:vAlign w:val="bottom"/>
            <w:shd w:val="clear" w:color="auto" w:fill="D8D8D8"/>
          </w:tcPr>
          <w:p>
            <w:pPr>
              <w:ind w:left="220"/>
              <w:spacing w:after="0"/>
              <w:rPr>
                <w:sz w:val="20"/>
                <w:szCs w:val="20"/>
                <w:color w:val="auto"/>
              </w:rPr>
            </w:pPr>
            <w:r>
              <w:rPr>
                <w:rFonts w:ascii="Arial" w:cs="Arial" w:eastAsia="Arial" w:hAnsi="Arial"/>
                <w:sz w:val="16"/>
                <w:szCs w:val="16"/>
                <w:color w:val="auto"/>
              </w:rPr>
              <w:t>Report. During engagements, stockholders did not</w:t>
            </w:r>
          </w:p>
        </w:tc>
        <w:tc>
          <w:tcPr>
            <w:tcW w:w="3980" w:type="dxa"/>
            <w:vAlign w:val="bottom"/>
            <w:shd w:val="clear" w:color="auto" w:fill="D8D8D8"/>
          </w:tcPr>
          <w:p>
            <w:pPr>
              <w:ind w:left="180"/>
              <w:spacing w:after="0"/>
              <w:rPr>
                <w:sz w:val="20"/>
                <w:szCs w:val="20"/>
                <w:color w:val="auto"/>
              </w:rPr>
            </w:pPr>
            <w:r>
              <w:rPr>
                <w:rFonts w:ascii="Arial" w:cs="Arial" w:eastAsia="Arial" w:hAnsi="Arial"/>
                <w:sz w:val="16"/>
                <w:szCs w:val="16"/>
                <w:color w:val="auto"/>
              </w:rPr>
              <w:t>scenario analysis describes how our portfolio would</w:t>
            </w:r>
          </w:p>
        </w:tc>
      </w:tr>
      <w:tr>
        <w:trPr>
          <w:trHeight w:val="189"/>
        </w:trPr>
        <w:tc>
          <w:tcPr>
            <w:tcW w:w="2880" w:type="dxa"/>
            <w:vAlign w:val="bottom"/>
            <w:shd w:val="clear" w:color="auto" w:fill="D8D8D8"/>
          </w:tcPr>
          <w:p>
            <w:pPr>
              <w:ind w:left="160"/>
              <w:spacing w:after="0"/>
              <w:rPr>
                <w:sz w:val="20"/>
                <w:szCs w:val="20"/>
                <w:color w:val="auto"/>
              </w:rPr>
            </w:pPr>
            <w:r>
              <w:rPr>
                <w:rFonts w:ascii="Arial" w:cs="Arial" w:eastAsia="Arial" w:hAnsi="Arial"/>
                <w:sz w:val="16"/>
                <w:szCs w:val="16"/>
                <w:color w:val="auto"/>
              </w:rPr>
              <w:t>fuel demand under the International</w:t>
            </w:r>
          </w:p>
        </w:tc>
        <w:tc>
          <w:tcPr>
            <w:tcW w:w="4160" w:type="dxa"/>
            <w:vAlign w:val="bottom"/>
            <w:shd w:val="clear" w:color="auto" w:fill="D8D8D8"/>
          </w:tcPr>
          <w:p>
            <w:pPr>
              <w:ind w:left="220"/>
              <w:spacing w:after="0"/>
              <w:rPr>
                <w:sz w:val="20"/>
                <w:szCs w:val="20"/>
                <w:color w:val="auto"/>
              </w:rPr>
            </w:pPr>
            <w:r>
              <w:rPr>
                <w:rFonts w:ascii="Arial" w:cs="Arial" w:eastAsia="Arial" w:hAnsi="Arial"/>
                <w:sz w:val="16"/>
                <w:szCs w:val="16"/>
                <w:color w:val="auto"/>
              </w:rPr>
              <w:t>generally focus on the issue of auditing the NZE</w:t>
            </w:r>
          </w:p>
        </w:tc>
        <w:tc>
          <w:tcPr>
            <w:tcW w:w="3980" w:type="dxa"/>
            <w:vAlign w:val="bottom"/>
            <w:shd w:val="clear" w:color="auto" w:fill="D8D8D8"/>
          </w:tcPr>
          <w:p>
            <w:pPr>
              <w:ind w:left="180"/>
              <w:spacing w:after="0"/>
              <w:rPr>
                <w:sz w:val="20"/>
                <w:szCs w:val="20"/>
                <w:color w:val="auto"/>
              </w:rPr>
            </w:pPr>
            <w:r>
              <w:rPr>
                <w:rFonts w:ascii="Arial" w:cs="Arial" w:eastAsia="Arial" w:hAnsi="Arial"/>
                <w:sz w:val="16"/>
                <w:szCs w:val="16"/>
                <w:color w:val="auto"/>
              </w:rPr>
              <w:t>fare from a financial viability perspective and also</w:t>
            </w:r>
          </w:p>
        </w:tc>
      </w:tr>
      <w:tr>
        <w:trPr>
          <w:trHeight w:val="189"/>
        </w:trPr>
        <w:tc>
          <w:tcPr>
            <w:tcW w:w="2880" w:type="dxa"/>
            <w:vAlign w:val="bottom"/>
            <w:shd w:val="clear" w:color="auto" w:fill="D8D8D8"/>
          </w:tcPr>
          <w:p>
            <w:pPr>
              <w:ind w:left="160"/>
              <w:spacing w:after="0"/>
              <w:rPr>
                <w:sz w:val="20"/>
                <w:szCs w:val="20"/>
                <w:color w:val="auto"/>
              </w:rPr>
            </w:pPr>
            <w:r>
              <w:rPr>
                <w:rFonts w:ascii="Arial" w:cs="Arial" w:eastAsia="Arial" w:hAnsi="Arial"/>
                <w:sz w:val="16"/>
                <w:szCs w:val="16"/>
                <w:color w:val="auto"/>
              </w:rPr>
              <w:t>Energy Agency’s (“IEA”) Net Zero by</w:t>
            </w:r>
          </w:p>
        </w:tc>
        <w:tc>
          <w:tcPr>
            <w:tcW w:w="4160" w:type="dxa"/>
            <w:vAlign w:val="bottom"/>
            <w:shd w:val="clear" w:color="auto" w:fill="D8D8D8"/>
          </w:tcPr>
          <w:p>
            <w:pPr>
              <w:ind w:left="220"/>
              <w:spacing w:after="0"/>
              <w:rPr>
                <w:sz w:val="20"/>
                <w:szCs w:val="20"/>
                <w:color w:val="auto"/>
              </w:rPr>
            </w:pPr>
            <w:r>
              <w:rPr>
                <w:rFonts w:ascii="Arial" w:cs="Arial" w:eastAsia="Arial" w:hAnsi="Arial"/>
                <w:sz w:val="16"/>
                <w:szCs w:val="16"/>
                <w:color w:val="auto"/>
              </w:rPr>
              <w:t>scenario and recognized that auditing the analysis of</w:t>
            </w:r>
          </w:p>
        </w:tc>
        <w:tc>
          <w:tcPr>
            <w:tcW w:w="3980" w:type="dxa"/>
            <w:vAlign w:val="bottom"/>
            <w:shd w:val="clear" w:color="auto" w:fill="D8D8D8"/>
          </w:tcPr>
          <w:p>
            <w:pPr>
              <w:ind w:left="180"/>
              <w:spacing w:after="0"/>
              <w:rPr>
                <w:sz w:val="20"/>
                <w:szCs w:val="20"/>
                <w:color w:val="auto"/>
              </w:rPr>
            </w:pPr>
            <w:r>
              <w:rPr>
                <w:rFonts w:ascii="Arial" w:cs="Arial" w:eastAsia="Arial" w:hAnsi="Arial"/>
                <w:sz w:val="16"/>
                <w:szCs w:val="16"/>
                <w:color w:val="auto"/>
              </w:rPr>
              <w:t>the changes we would need to make if such a</w:t>
            </w:r>
          </w:p>
        </w:tc>
      </w:tr>
      <w:tr>
        <w:trPr>
          <w:trHeight w:val="189"/>
        </w:trPr>
        <w:tc>
          <w:tcPr>
            <w:tcW w:w="2880" w:type="dxa"/>
            <w:vAlign w:val="bottom"/>
            <w:shd w:val="clear" w:color="auto" w:fill="D8D8D8"/>
          </w:tcPr>
          <w:p>
            <w:pPr>
              <w:ind w:left="160"/>
              <w:spacing w:after="0"/>
              <w:rPr>
                <w:sz w:val="20"/>
                <w:szCs w:val="20"/>
                <w:color w:val="auto"/>
              </w:rPr>
            </w:pPr>
            <w:r>
              <w:rPr>
                <w:rFonts w:ascii="Arial" w:cs="Arial" w:eastAsia="Arial" w:hAnsi="Arial"/>
                <w:sz w:val="16"/>
                <w:szCs w:val="16"/>
                <w:color w:val="auto"/>
              </w:rPr>
              <w:t>2050 scenario (“NZE 2050”) would</w:t>
            </w:r>
          </w:p>
        </w:tc>
        <w:tc>
          <w:tcPr>
            <w:tcW w:w="4160" w:type="dxa"/>
            <w:vAlign w:val="bottom"/>
            <w:shd w:val="clear" w:color="auto" w:fill="D8D8D8"/>
          </w:tcPr>
          <w:p>
            <w:pPr>
              <w:ind w:left="220"/>
              <w:spacing w:after="0"/>
              <w:rPr>
                <w:sz w:val="20"/>
                <w:szCs w:val="20"/>
                <w:color w:val="auto"/>
              </w:rPr>
            </w:pPr>
            <w:r>
              <w:rPr>
                <w:rFonts w:ascii="Arial" w:cs="Arial" w:eastAsia="Arial" w:hAnsi="Arial"/>
                <w:sz w:val="16"/>
                <w:szCs w:val="16"/>
                <w:color w:val="auto"/>
              </w:rPr>
              <w:t>IEA scenarios was not an established practice.</w:t>
            </w:r>
          </w:p>
        </w:tc>
        <w:tc>
          <w:tcPr>
            <w:tcW w:w="3980" w:type="dxa"/>
            <w:vAlign w:val="bottom"/>
            <w:shd w:val="clear" w:color="auto" w:fill="D8D8D8"/>
          </w:tcPr>
          <w:p>
            <w:pPr>
              <w:ind w:left="180"/>
              <w:spacing w:after="0"/>
              <w:rPr>
                <w:sz w:val="20"/>
                <w:szCs w:val="20"/>
                <w:color w:val="auto"/>
              </w:rPr>
            </w:pPr>
            <w:r>
              <w:rPr>
                <w:rFonts w:ascii="Arial" w:cs="Arial" w:eastAsia="Arial" w:hAnsi="Arial"/>
                <w:sz w:val="16"/>
                <w:szCs w:val="16"/>
                <w:color w:val="auto"/>
              </w:rPr>
              <w:t>scenario were to actually occur. Chevron’s</w:t>
            </w:r>
          </w:p>
        </w:tc>
      </w:tr>
      <w:tr>
        <w:trPr>
          <w:trHeight w:val="189"/>
        </w:trPr>
        <w:tc>
          <w:tcPr>
            <w:tcW w:w="2880" w:type="dxa"/>
            <w:vAlign w:val="bottom"/>
            <w:shd w:val="clear" w:color="auto" w:fill="D8D8D8"/>
          </w:tcPr>
          <w:p>
            <w:pPr>
              <w:ind w:left="160"/>
              <w:spacing w:after="0"/>
              <w:rPr>
                <w:sz w:val="20"/>
                <w:szCs w:val="20"/>
                <w:color w:val="auto"/>
              </w:rPr>
            </w:pPr>
            <w:r>
              <w:rPr>
                <w:rFonts w:ascii="Arial" w:cs="Arial" w:eastAsia="Arial" w:hAnsi="Arial"/>
                <w:sz w:val="16"/>
                <w:szCs w:val="16"/>
                <w:color w:val="auto"/>
              </w:rPr>
              <w:t>affect Chevron’s financial position and</w:t>
            </w:r>
          </w:p>
        </w:tc>
        <w:tc>
          <w:tcPr>
            <w:tcW w:w="4160" w:type="dxa"/>
            <w:vAlign w:val="bottom"/>
            <w:shd w:val="clear" w:color="auto" w:fill="D8D8D8"/>
          </w:tcPr>
          <w:p>
            <w:pPr>
              <w:spacing w:after="0"/>
              <w:rPr>
                <w:sz w:val="16"/>
                <w:szCs w:val="16"/>
                <w:color w:val="auto"/>
              </w:rPr>
            </w:pPr>
          </w:p>
        </w:tc>
        <w:tc>
          <w:tcPr>
            <w:tcW w:w="3980" w:type="dxa"/>
            <w:vAlign w:val="bottom"/>
            <w:shd w:val="clear" w:color="auto" w:fill="D8D8D8"/>
          </w:tcPr>
          <w:p>
            <w:pPr>
              <w:ind w:left="180"/>
              <w:spacing w:after="0"/>
              <w:rPr>
                <w:sz w:val="20"/>
                <w:szCs w:val="20"/>
                <w:color w:val="auto"/>
              </w:rPr>
            </w:pPr>
            <w:r>
              <w:rPr>
                <w:rFonts w:ascii="Arial" w:cs="Arial" w:eastAsia="Arial" w:hAnsi="Arial"/>
                <w:sz w:val="16"/>
                <w:szCs w:val="16"/>
                <w:color w:val="auto"/>
              </w:rPr>
              <w:t>Corporate Audit department conducted a non-rated</w:t>
            </w:r>
          </w:p>
        </w:tc>
      </w:tr>
      <w:tr>
        <w:trPr>
          <w:trHeight w:val="189"/>
        </w:trPr>
        <w:tc>
          <w:tcPr>
            <w:tcW w:w="2880" w:type="dxa"/>
            <w:vAlign w:val="bottom"/>
            <w:shd w:val="clear" w:color="auto" w:fill="D8D8D8"/>
          </w:tcPr>
          <w:p>
            <w:pPr>
              <w:ind w:left="160"/>
              <w:spacing w:after="0"/>
              <w:rPr>
                <w:sz w:val="20"/>
                <w:szCs w:val="20"/>
                <w:color w:val="auto"/>
              </w:rPr>
            </w:pPr>
            <w:r>
              <w:rPr>
                <w:rFonts w:ascii="Arial" w:cs="Arial" w:eastAsia="Arial" w:hAnsi="Arial"/>
                <w:sz w:val="16"/>
                <w:szCs w:val="16"/>
                <w:color w:val="auto"/>
              </w:rPr>
              <w:t>underlying assumptions. 48% of votes</w:t>
            </w:r>
          </w:p>
        </w:tc>
        <w:tc>
          <w:tcPr>
            <w:tcW w:w="4160" w:type="dxa"/>
            <w:vAlign w:val="bottom"/>
            <w:shd w:val="clear" w:color="auto" w:fill="D8D8D8"/>
          </w:tcPr>
          <w:p>
            <w:pPr>
              <w:spacing w:after="0"/>
              <w:rPr>
                <w:sz w:val="16"/>
                <w:szCs w:val="16"/>
                <w:color w:val="auto"/>
              </w:rPr>
            </w:pPr>
          </w:p>
        </w:tc>
        <w:tc>
          <w:tcPr>
            <w:tcW w:w="3980" w:type="dxa"/>
            <w:vAlign w:val="bottom"/>
            <w:shd w:val="clear" w:color="auto" w:fill="D8D8D8"/>
          </w:tcPr>
          <w:p>
            <w:pPr>
              <w:ind w:left="180"/>
              <w:spacing w:after="0"/>
              <w:rPr>
                <w:sz w:val="20"/>
                <w:szCs w:val="20"/>
                <w:color w:val="auto"/>
              </w:rPr>
            </w:pPr>
            <w:r>
              <w:rPr>
                <w:rFonts w:ascii="Arial" w:cs="Arial" w:eastAsia="Arial" w:hAnsi="Arial"/>
                <w:sz w:val="16"/>
                <w:szCs w:val="16"/>
                <w:color w:val="auto"/>
              </w:rPr>
              <w:t>assurance review of the analysis. Because we do</w:t>
            </w:r>
          </w:p>
        </w:tc>
      </w:tr>
      <w:tr>
        <w:trPr>
          <w:trHeight w:val="189"/>
        </w:trPr>
        <w:tc>
          <w:tcPr>
            <w:tcW w:w="2880" w:type="dxa"/>
            <w:vAlign w:val="bottom"/>
            <w:shd w:val="clear" w:color="auto" w:fill="D8D8D8"/>
          </w:tcPr>
          <w:p>
            <w:pPr>
              <w:ind w:left="160"/>
              <w:spacing w:after="0"/>
              <w:rPr>
                <w:sz w:val="20"/>
                <w:szCs w:val="20"/>
                <w:color w:val="auto"/>
              </w:rPr>
            </w:pPr>
            <w:r>
              <w:rPr>
                <w:rFonts w:ascii="Arial" w:cs="Arial" w:eastAsia="Arial" w:hAnsi="Arial"/>
                <w:sz w:val="16"/>
                <w:szCs w:val="16"/>
                <w:color w:val="auto"/>
              </w:rPr>
              <w:t>cast supported.</w:t>
            </w:r>
          </w:p>
        </w:tc>
        <w:tc>
          <w:tcPr>
            <w:tcW w:w="4160" w:type="dxa"/>
            <w:vAlign w:val="bottom"/>
            <w:shd w:val="clear" w:color="auto" w:fill="D8D8D8"/>
          </w:tcPr>
          <w:p>
            <w:pPr>
              <w:spacing w:after="0"/>
              <w:rPr>
                <w:sz w:val="16"/>
                <w:szCs w:val="16"/>
                <w:color w:val="auto"/>
              </w:rPr>
            </w:pPr>
          </w:p>
        </w:tc>
        <w:tc>
          <w:tcPr>
            <w:tcW w:w="3980" w:type="dxa"/>
            <w:vAlign w:val="bottom"/>
            <w:shd w:val="clear" w:color="auto" w:fill="D8D8D8"/>
          </w:tcPr>
          <w:p>
            <w:pPr>
              <w:ind w:left="180"/>
              <w:spacing w:after="0"/>
              <w:rPr>
                <w:sz w:val="20"/>
                <w:szCs w:val="20"/>
                <w:color w:val="auto"/>
              </w:rPr>
            </w:pPr>
            <w:r>
              <w:rPr>
                <w:rFonts w:ascii="Arial" w:cs="Arial" w:eastAsia="Arial" w:hAnsi="Arial"/>
                <w:sz w:val="16"/>
                <w:szCs w:val="16"/>
                <w:color w:val="auto"/>
              </w:rPr>
              <w:t>not rely on the NZE 2050 scenario for business</w:t>
            </w:r>
          </w:p>
        </w:tc>
      </w:tr>
      <w:tr>
        <w:trPr>
          <w:trHeight w:val="189"/>
        </w:trPr>
        <w:tc>
          <w:tcPr>
            <w:tcW w:w="2880" w:type="dxa"/>
            <w:vAlign w:val="bottom"/>
            <w:shd w:val="clear" w:color="auto" w:fill="D8D8D8"/>
          </w:tcPr>
          <w:p>
            <w:pPr>
              <w:spacing w:after="0"/>
              <w:rPr>
                <w:sz w:val="16"/>
                <w:szCs w:val="16"/>
                <w:color w:val="auto"/>
              </w:rPr>
            </w:pPr>
          </w:p>
        </w:tc>
        <w:tc>
          <w:tcPr>
            <w:tcW w:w="4160" w:type="dxa"/>
            <w:vAlign w:val="bottom"/>
            <w:shd w:val="clear" w:color="auto" w:fill="D8D8D8"/>
          </w:tcPr>
          <w:p>
            <w:pPr>
              <w:spacing w:after="0"/>
              <w:rPr>
                <w:sz w:val="16"/>
                <w:szCs w:val="16"/>
                <w:color w:val="auto"/>
              </w:rPr>
            </w:pPr>
          </w:p>
        </w:tc>
        <w:tc>
          <w:tcPr>
            <w:tcW w:w="3980" w:type="dxa"/>
            <w:vAlign w:val="bottom"/>
            <w:shd w:val="clear" w:color="auto" w:fill="D8D8D8"/>
          </w:tcPr>
          <w:p>
            <w:pPr>
              <w:ind w:left="180"/>
              <w:spacing w:after="0"/>
              <w:rPr>
                <w:sz w:val="20"/>
                <w:szCs w:val="20"/>
                <w:color w:val="auto"/>
              </w:rPr>
            </w:pPr>
            <w:r>
              <w:rPr>
                <w:rFonts w:ascii="Arial" w:cs="Arial" w:eastAsia="Arial" w:hAnsi="Arial"/>
                <w:sz w:val="16"/>
                <w:szCs w:val="16"/>
                <w:color w:val="auto"/>
              </w:rPr>
              <w:t>planning, we do not think an audited report is</w:t>
            </w:r>
          </w:p>
        </w:tc>
      </w:tr>
      <w:tr>
        <w:trPr>
          <w:trHeight w:val="189"/>
        </w:trPr>
        <w:tc>
          <w:tcPr>
            <w:tcW w:w="2880" w:type="dxa"/>
            <w:vAlign w:val="bottom"/>
            <w:shd w:val="clear" w:color="auto" w:fill="D8D8D8"/>
          </w:tcPr>
          <w:p>
            <w:pPr>
              <w:spacing w:after="0"/>
              <w:rPr>
                <w:sz w:val="16"/>
                <w:szCs w:val="16"/>
                <w:color w:val="auto"/>
              </w:rPr>
            </w:pPr>
          </w:p>
        </w:tc>
        <w:tc>
          <w:tcPr>
            <w:tcW w:w="4160" w:type="dxa"/>
            <w:vAlign w:val="bottom"/>
            <w:shd w:val="clear" w:color="auto" w:fill="D8D8D8"/>
          </w:tcPr>
          <w:p>
            <w:pPr>
              <w:spacing w:after="0"/>
              <w:rPr>
                <w:sz w:val="16"/>
                <w:szCs w:val="16"/>
                <w:color w:val="auto"/>
              </w:rPr>
            </w:pPr>
          </w:p>
        </w:tc>
        <w:tc>
          <w:tcPr>
            <w:tcW w:w="3980" w:type="dxa"/>
            <w:vAlign w:val="bottom"/>
            <w:shd w:val="clear" w:color="auto" w:fill="D8D8D8"/>
          </w:tcPr>
          <w:p>
            <w:pPr>
              <w:ind w:left="180"/>
              <w:spacing w:after="0"/>
              <w:rPr>
                <w:sz w:val="20"/>
                <w:szCs w:val="20"/>
                <w:color w:val="auto"/>
              </w:rPr>
            </w:pPr>
            <w:r>
              <w:rPr>
                <w:rFonts w:ascii="Arial" w:cs="Arial" w:eastAsia="Arial" w:hAnsi="Arial"/>
                <w:sz w:val="16"/>
                <w:szCs w:val="16"/>
                <w:color w:val="auto"/>
              </w:rPr>
              <w:t>warranted under established U.S. GAAP standards</w:t>
            </w:r>
          </w:p>
        </w:tc>
      </w:tr>
      <w:tr>
        <w:trPr>
          <w:trHeight w:val="203"/>
        </w:trPr>
        <w:tc>
          <w:tcPr>
            <w:tcW w:w="2880" w:type="dxa"/>
            <w:vAlign w:val="bottom"/>
            <w:tcBorders>
              <w:bottom w:val="single" w:sz="8" w:color="auto"/>
            </w:tcBorders>
            <w:shd w:val="clear" w:color="auto" w:fill="D8D8D8"/>
          </w:tcPr>
          <w:p>
            <w:pPr>
              <w:spacing w:after="0"/>
              <w:rPr>
                <w:sz w:val="17"/>
                <w:szCs w:val="17"/>
                <w:color w:val="auto"/>
              </w:rPr>
            </w:pPr>
          </w:p>
        </w:tc>
        <w:tc>
          <w:tcPr>
            <w:tcW w:w="4160" w:type="dxa"/>
            <w:vAlign w:val="bottom"/>
            <w:tcBorders>
              <w:bottom w:val="single" w:sz="8" w:color="auto"/>
            </w:tcBorders>
            <w:shd w:val="clear" w:color="auto" w:fill="D8D8D8"/>
          </w:tcPr>
          <w:p>
            <w:pPr>
              <w:spacing w:after="0"/>
              <w:rPr>
                <w:sz w:val="17"/>
                <w:szCs w:val="17"/>
                <w:color w:val="auto"/>
              </w:rPr>
            </w:pPr>
          </w:p>
        </w:tc>
        <w:tc>
          <w:tcPr>
            <w:tcW w:w="3980" w:type="dxa"/>
            <w:vAlign w:val="bottom"/>
            <w:tcBorders>
              <w:bottom w:val="single" w:sz="8" w:color="auto"/>
            </w:tcBorders>
            <w:shd w:val="clear" w:color="auto" w:fill="D8D8D8"/>
          </w:tcPr>
          <w:p>
            <w:pPr>
              <w:ind w:left="180"/>
              <w:spacing w:after="0"/>
              <w:rPr>
                <w:sz w:val="20"/>
                <w:szCs w:val="20"/>
                <w:color w:val="auto"/>
              </w:rPr>
            </w:pPr>
            <w:r>
              <w:rPr>
                <w:rFonts w:ascii="Arial" w:cs="Arial" w:eastAsia="Arial" w:hAnsi="Arial"/>
                <w:sz w:val="16"/>
                <w:szCs w:val="16"/>
                <w:color w:val="auto"/>
              </w:rPr>
              <w:t>and would not be a responsible use of resources.</w:t>
            </w:r>
          </w:p>
        </w:tc>
      </w:tr>
      <w:tr>
        <w:trPr>
          <w:trHeight w:val="290"/>
        </w:trPr>
        <w:tc>
          <w:tcPr>
            <w:tcW w:w="2880" w:type="dxa"/>
            <w:vAlign w:val="bottom"/>
          </w:tcPr>
          <w:p>
            <w:pPr>
              <w:spacing w:after="0"/>
              <w:rPr>
                <w:sz w:val="24"/>
                <w:szCs w:val="24"/>
                <w:color w:val="auto"/>
              </w:rPr>
            </w:pPr>
          </w:p>
        </w:tc>
        <w:tc>
          <w:tcPr>
            <w:tcW w:w="4160" w:type="dxa"/>
            <w:vAlign w:val="bottom"/>
          </w:tcPr>
          <w:p>
            <w:pPr>
              <w:ind w:left="1340"/>
              <w:spacing w:after="0"/>
              <w:rPr>
                <w:sz w:val="20"/>
                <w:szCs w:val="20"/>
                <w:color w:val="auto"/>
              </w:rPr>
            </w:pPr>
            <w:r>
              <w:rPr>
                <w:rFonts w:ascii="Arial" w:cs="Arial" w:eastAsia="Arial" w:hAnsi="Arial"/>
                <w:sz w:val="13"/>
                <w:szCs w:val="13"/>
                <w:color w:val="auto"/>
              </w:rPr>
              <w:t>Chevron Corporation – 2022 Proxy Statement</w:t>
            </w:r>
          </w:p>
        </w:tc>
        <w:tc>
          <w:tcPr>
            <w:tcW w:w="3980" w:type="dxa"/>
            <w:vAlign w:val="bottom"/>
          </w:tcPr>
          <w:p>
            <w:pPr>
              <w:spacing w:after="0"/>
              <w:rPr>
                <w:sz w:val="24"/>
                <w:szCs w:val="24"/>
                <w:color w:val="auto"/>
              </w:rPr>
            </w:pPr>
          </w:p>
        </w:tc>
      </w:tr>
      <w:tr>
        <w:trPr>
          <w:trHeight w:val="216"/>
        </w:trPr>
        <w:tc>
          <w:tcPr>
            <w:tcW w:w="2880" w:type="dxa"/>
            <w:vAlign w:val="bottom"/>
          </w:tcPr>
          <w:p>
            <w:pPr>
              <w:spacing w:after="0"/>
              <w:rPr>
                <w:sz w:val="18"/>
                <w:szCs w:val="18"/>
                <w:color w:val="auto"/>
              </w:rPr>
            </w:pPr>
          </w:p>
        </w:tc>
        <w:tc>
          <w:tcPr>
            <w:tcW w:w="4160" w:type="dxa"/>
            <w:vAlign w:val="bottom"/>
          </w:tcPr>
          <w:p>
            <w:pPr>
              <w:ind w:left="2560"/>
              <w:spacing w:after="0"/>
              <w:rPr>
                <w:sz w:val="20"/>
                <w:szCs w:val="20"/>
                <w:color w:val="auto"/>
              </w:rPr>
            </w:pPr>
            <w:r>
              <w:rPr>
                <w:rFonts w:ascii="Arial" w:cs="Arial" w:eastAsia="Arial" w:hAnsi="Arial"/>
                <w:sz w:val="13"/>
                <w:szCs w:val="13"/>
                <w:color w:val="auto"/>
              </w:rPr>
              <w:t>35</w:t>
            </w:r>
          </w:p>
        </w:tc>
        <w:tc>
          <w:tcPr>
            <w:tcW w:w="3980" w:type="dxa"/>
            <w:vAlign w:val="bottom"/>
          </w:tcPr>
          <w:p>
            <w:pPr>
              <w:spacing w:after="0"/>
              <w:rPr>
                <w:sz w:val="18"/>
                <w:szCs w:val="18"/>
                <w:color w:val="auto"/>
              </w:rPr>
            </w:pPr>
          </w:p>
        </w:tc>
      </w:tr>
    </w:tbl>
    <w:p>
      <w:pPr>
        <w:sectPr>
          <w:pgSz w:w="11900" w:h="16838" w:orient="portrait"/>
          <w:cols w:equalWidth="0" w:num="1">
            <w:col w:w="11140"/>
          </w:cols>
          <w:pgMar w:left="320" w:top="455" w:right="439" w:bottom="1440" w:gutter="0" w:footer="0" w:header="0"/>
          <w:type w:val="continuous"/>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37310" cy="145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37310" cy="145415"/>
                    </a:xfrm>
                    <a:prstGeom prst="rect">
                      <a:avLst/>
                    </a:prstGeom>
                    <a:noFill/>
                  </pic:spPr>
                </pic:pic>
              </a:graphicData>
            </a:graphic>
          </wp:anchor>
        </w:drawing>
      </w:r>
    </w:p>
    <w:p>
      <w:pPr>
        <w:spacing w:after="0" w:line="33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FFFF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118110</wp:posOffset>
            </wp:positionV>
            <wp:extent cx="7003415" cy="57092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03415" cy="5709285"/>
                    </a:xfrm>
                    <a:prstGeom prst="rect">
                      <a:avLst/>
                    </a:prstGeom>
                    <a:noFill/>
                  </pic:spPr>
                </pic:pic>
              </a:graphicData>
            </a:graphic>
          </wp:anchor>
        </w:drawing>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3560" w:type="dxa"/>
            <w:vAlign w:val="bottom"/>
            <w:shd w:val="clear" w:color="auto" w:fill="0066B2"/>
          </w:tcPr>
          <w:p>
            <w:pPr>
              <w:jc w:val="center"/>
              <w:ind w:right="439"/>
              <w:spacing w:after="0"/>
              <w:rPr>
                <w:sz w:val="20"/>
                <w:szCs w:val="20"/>
                <w:color w:val="auto"/>
              </w:rPr>
            </w:pPr>
            <w:r>
              <w:rPr>
                <w:rFonts w:ascii="Arial" w:cs="Arial" w:eastAsia="Arial" w:hAnsi="Arial"/>
                <w:sz w:val="16"/>
                <w:szCs w:val="16"/>
                <w:b w:val="1"/>
                <w:bCs w:val="1"/>
                <w:color w:val="FFFFFF"/>
              </w:rPr>
              <w:t>Key stockholder issues and 2021</w:t>
            </w:r>
          </w:p>
        </w:tc>
        <w:tc>
          <w:tcPr>
            <w:tcW w:w="3420" w:type="dxa"/>
            <w:vAlign w:val="bottom"/>
            <w:shd w:val="clear" w:color="auto" w:fill="0066B2"/>
          </w:tcPr>
          <w:p>
            <w:pPr>
              <w:jc w:val="center"/>
              <w:ind w:right="239"/>
              <w:spacing w:after="0"/>
              <w:rPr>
                <w:sz w:val="20"/>
                <w:szCs w:val="20"/>
                <w:color w:val="auto"/>
              </w:rPr>
            </w:pPr>
            <w:r>
              <w:rPr>
                <w:rFonts w:ascii="Arial" w:cs="Arial" w:eastAsia="Arial" w:hAnsi="Arial"/>
                <w:sz w:val="16"/>
                <w:szCs w:val="16"/>
                <w:b w:val="1"/>
                <w:bCs w:val="1"/>
                <w:color w:val="FFFFFF"/>
              </w:rPr>
              <w:t>What we heard from</w:t>
            </w:r>
          </w:p>
        </w:tc>
        <w:tc>
          <w:tcPr>
            <w:tcW w:w="4040" w:type="dxa"/>
            <w:vAlign w:val="bottom"/>
            <w:shd w:val="clear" w:color="auto" w:fill="0066B2"/>
          </w:tcPr>
          <w:p>
            <w:pPr>
              <w:jc w:val="center"/>
              <w:ind w:left="99"/>
              <w:spacing w:after="0"/>
              <w:rPr>
                <w:sz w:val="20"/>
                <w:szCs w:val="20"/>
                <w:color w:val="auto"/>
              </w:rPr>
            </w:pPr>
            <w:r>
              <w:rPr>
                <w:rFonts w:ascii="Arial" w:cs="Arial" w:eastAsia="Arial" w:hAnsi="Arial"/>
                <w:sz w:val="16"/>
                <w:szCs w:val="16"/>
                <w:b w:val="1"/>
                <w:bCs w:val="1"/>
                <w:color w:val="FFFFFF"/>
              </w:rPr>
              <w:t>Our board’s perspective &amp;</w:t>
            </w:r>
          </w:p>
        </w:tc>
      </w:tr>
      <w:tr>
        <w:trPr>
          <w:trHeight w:val="217"/>
        </w:trPr>
        <w:tc>
          <w:tcPr>
            <w:tcW w:w="3560" w:type="dxa"/>
            <w:vAlign w:val="bottom"/>
            <w:shd w:val="clear" w:color="auto" w:fill="0066B2"/>
          </w:tcPr>
          <w:p>
            <w:pPr>
              <w:jc w:val="center"/>
              <w:ind w:right="459"/>
              <w:spacing w:after="0"/>
              <w:rPr>
                <w:sz w:val="20"/>
                <w:szCs w:val="20"/>
                <w:color w:val="auto"/>
              </w:rPr>
            </w:pPr>
            <w:r>
              <w:rPr>
                <w:rFonts w:ascii="Arial" w:cs="Arial" w:eastAsia="Arial" w:hAnsi="Arial"/>
                <w:sz w:val="16"/>
                <w:szCs w:val="16"/>
                <w:b w:val="1"/>
                <w:bCs w:val="1"/>
                <w:color w:val="FFFFFF"/>
              </w:rPr>
              <w:t>proxy proposals</w:t>
            </w:r>
          </w:p>
        </w:tc>
        <w:tc>
          <w:tcPr>
            <w:tcW w:w="3420" w:type="dxa"/>
            <w:vAlign w:val="bottom"/>
            <w:shd w:val="clear" w:color="auto" w:fill="0066B2"/>
          </w:tcPr>
          <w:p>
            <w:pPr>
              <w:jc w:val="center"/>
              <w:ind w:right="259"/>
              <w:spacing w:after="0"/>
              <w:rPr>
                <w:sz w:val="20"/>
                <w:szCs w:val="20"/>
                <w:color w:val="auto"/>
              </w:rPr>
            </w:pPr>
            <w:r>
              <w:rPr>
                <w:rFonts w:ascii="Arial" w:cs="Arial" w:eastAsia="Arial" w:hAnsi="Arial"/>
                <w:sz w:val="16"/>
                <w:szCs w:val="16"/>
                <w:b w:val="1"/>
                <w:bCs w:val="1"/>
                <w:color w:val="FFFFFF"/>
              </w:rPr>
              <w:t>stockholders</w:t>
            </w:r>
          </w:p>
        </w:tc>
        <w:tc>
          <w:tcPr>
            <w:tcW w:w="4040" w:type="dxa"/>
            <w:vAlign w:val="bottom"/>
            <w:shd w:val="clear" w:color="auto" w:fill="0066B2"/>
          </w:tcPr>
          <w:p>
            <w:pPr>
              <w:jc w:val="center"/>
              <w:ind w:left="119"/>
              <w:spacing w:after="0"/>
              <w:rPr>
                <w:sz w:val="20"/>
                <w:szCs w:val="20"/>
                <w:color w:val="auto"/>
              </w:rPr>
            </w:pPr>
            <w:r>
              <w:rPr>
                <w:rFonts w:ascii="Arial" w:cs="Arial" w:eastAsia="Arial" w:hAnsi="Arial"/>
                <w:sz w:val="16"/>
                <w:szCs w:val="16"/>
                <w:b w:val="1"/>
                <w:bCs w:val="1"/>
                <w:color w:val="FFFFFF"/>
              </w:rPr>
              <w:t>what we did</w:t>
            </w:r>
          </w:p>
        </w:tc>
      </w:tr>
    </w:tbl>
    <w:p>
      <w:pPr>
        <w:spacing w:after="0" w:line="13" w:lineRule="exact"/>
        <w:rPr>
          <w:sz w:val="20"/>
          <w:szCs w:val="20"/>
          <w:color w:val="auto"/>
        </w:rPr>
      </w:pPr>
    </w:p>
    <w:p>
      <w:pPr>
        <w:sectPr>
          <w:pgSz w:w="11900" w:h="16838" w:orient="portrait"/>
          <w:cols w:equalWidth="0" w:num="1">
            <w:col w:w="11140"/>
          </w:cols>
          <w:pgMar w:left="320" w:top="455" w:right="439" w:bottom="1440" w:gutter="0" w:footer="0" w:header="0"/>
        </w:sectPr>
      </w:pPr>
    </w:p>
    <w:p>
      <w:pPr>
        <w:ind w:left="280" w:right="20"/>
        <w:spacing w:after="0" w:line="250" w:lineRule="auto"/>
        <w:rPr>
          <w:sz w:val="20"/>
          <w:szCs w:val="20"/>
          <w:color w:val="auto"/>
        </w:rPr>
      </w:pPr>
      <w:r>
        <w:rPr>
          <w:rFonts w:ascii="Arial" w:cs="Arial" w:eastAsia="Arial" w:hAnsi="Arial"/>
          <w:sz w:val="16"/>
          <w:szCs w:val="16"/>
          <w:b w:val="1"/>
          <w:bCs w:val="1"/>
          <w:color w:val="auto"/>
        </w:rPr>
        <w:t xml:space="preserve">2021 Proposal for a Report on Lobbying: </w:t>
      </w:r>
      <w:r>
        <w:rPr>
          <w:rFonts w:ascii="Arial" w:cs="Arial" w:eastAsia="Arial" w:hAnsi="Arial"/>
          <w:sz w:val="16"/>
          <w:szCs w:val="16"/>
          <w:color w:val="auto"/>
        </w:rPr>
        <w:t>Proposal requested an</w:t>
      </w:r>
      <w:r>
        <w:rPr>
          <w:rFonts w:ascii="Arial" w:cs="Arial" w:eastAsia="Arial" w:hAnsi="Arial"/>
          <w:sz w:val="16"/>
          <w:szCs w:val="16"/>
          <w:b w:val="1"/>
          <w:bCs w:val="1"/>
          <w:color w:val="auto"/>
        </w:rPr>
        <w:t xml:space="preserve"> </w:t>
      </w:r>
      <w:r>
        <w:rPr>
          <w:rFonts w:ascii="Arial" w:cs="Arial" w:eastAsia="Arial" w:hAnsi="Arial"/>
          <w:sz w:val="16"/>
          <w:szCs w:val="16"/>
          <w:color w:val="auto"/>
        </w:rPr>
        <w:t>annual report about: (1) Company policy and procedures governing lobbying, both direct and indirect, and grassroots lobbying communications;</w:t>
      </w:r>
    </w:p>
    <w:p>
      <w:pPr>
        <w:ind w:left="280" w:hanging="7"/>
        <w:spacing w:after="0" w:line="248" w:lineRule="auto"/>
        <w:tabs>
          <w:tab w:leader="none" w:pos="523" w:val="left"/>
        </w:tabs>
        <w:numPr>
          <w:ilvl w:val="0"/>
          <w:numId w:val="49"/>
        </w:numPr>
        <w:rPr>
          <w:rFonts w:ascii="Arial" w:cs="Arial" w:eastAsia="Arial" w:hAnsi="Arial"/>
          <w:sz w:val="16"/>
          <w:szCs w:val="16"/>
          <w:color w:val="auto"/>
        </w:rPr>
      </w:pPr>
      <w:r>
        <w:rPr>
          <w:rFonts w:ascii="Arial" w:cs="Arial" w:eastAsia="Arial" w:hAnsi="Arial"/>
          <w:sz w:val="16"/>
          <w:szCs w:val="16"/>
          <w:color w:val="auto"/>
        </w:rPr>
        <w:t>Payments by Chevron used for (a) direct or indirect lobbying or (b) grassroots lobbying communications, in each case including the amount of the payment and the recipient; (3) Chevron’s membership in and payments to any tax-exempt organization that writes and endorses model legislation; and (4) Description of management’s and the Board’s decision making process and oversight for making payments described in sections 2 and 3 above. 48% of votes cast supported.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Diversity and Inclusion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ind w:left="220"/>
              <w:spacing w:after="0"/>
              <w:rPr>
                <w:sz w:val="20"/>
                <w:szCs w:val="20"/>
                <w:color w:val="auto"/>
              </w:rPr>
            </w:pPr>
            <w:r>
              <w:rPr>
                <w:rFonts w:ascii="Arial" w:cs="Arial" w:eastAsia="Arial" w:hAnsi="Arial"/>
                <w:sz w:val="16"/>
                <w:szCs w:val="16"/>
                <w:color w:val="auto"/>
              </w:rPr>
              <w:t>Stockholders generally acknowledged that the proposal</w:t>
            </w:r>
          </w:p>
        </w:tc>
        <w:tc>
          <w:tcPr>
            <w:tcW w:w="3860" w:type="dxa"/>
            <w:vAlign w:val="bottom"/>
            <w:gridSpan w:val="3"/>
          </w:tcPr>
          <w:p>
            <w:pPr>
              <w:ind w:left="60"/>
              <w:spacing w:after="0"/>
              <w:rPr>
                <w:sz w:val="20"/>
                <w:szCs w:val="20"/>
                <w:color w:val="auto"/>
              </w:rPr>
            </w:pPr>
            <w:r>
              <w:rPr>
                <w:rFonts w:ascii="Arial" w:cs="Arial" w:eastAsia="Arial" w:hAnsi="Arial"/>
                <w:sz w:val="16"/>
                <w:szCs w:val="16"/>
                <w:color w:val="auto"/>
              </w:rPr>
              <w:t>Chevron extensively updated its lobbying and trade</w:t>
            </w:r>
          </w:p>
        </w:tc>
        <w:tc>
          <w:tcPr>
            <w:tcW w:w="0" w:type="dxa"/>
            <w:vAlign w:val="bottom"/>
          </w:tcPr>
          <w:p>
            <w:pPr>
              <w:spacing w:after="0"/>
              <w:rPr>
                <w:sz w:val="1"/>
                <w:szCs w:val="1"/>
                <w:color w:val="auto"/>
              </w:rPr>
            </w:pPr>
          </w:p>
        </w:tc>
      </w:tr>
      <w:tr>
        <w:trPr>
          <w:trHeight w:val="189"/>
        </w:trPr>
        <w:tc>
          <w:tcPr>
            <w:tcW w:w="4280" w:type="dxa"/>
            <w:vAlign w:val="bottom"/>
          </w:tcPr>
          <w:p>
            <w:pPr>
              <w:ind w:left="220"/>
              <w:spacing w:after="0"/>
              <w:rPr>
                <w:sz w:val="20"/>
                <w:szCs w:val="20"/>
                <w:color w:val="auto"/>
              </w:rPr>
            </w:pPr>
            <w:r>
              <w:rPr>
                <w:rFonts w:ascii="Arial" w:cs="Arial" w:eastAsia="Arial" w:hAnsi="Arial"/>
                <w:sz w:val="16"/>
                <w:szCs w:val="16"/>
                <w:color w:val="auto"/>
              </w:rPr>
              <w:t>requested four specific and different actions from the</w:t>
            </w:r>
          </w:p>
        </w:tc>
        <w:tc>
          <w:tcPr>
            <w:tcW w:w="3860" w:type="dxa"/>
            <w:vAlign w:val="bottom"/>
            <w:gridSpan w:val="3"/>
          </w:tcPr>
          <w:p>
            <w:pPr>
              <w:ind w:left="60"/>
              <w:spacing w:after="0"/>
              <w:rPr>
                <w:sz w:val="20"/>
                <w:szCs w:val="20"/>
                <w:color w:val="auto"/>
              </w:rPr>
            </w:pPr>
            <w:r>
              <w:rPr>
                <w:rFonts w:ascii="Arial" w:cs="Arial" w:eastAsia="Arial" w:hAnsi="Arial"/>
                <w:sz w:val="16"/>
                <w:szCs w:val="16"/>
                <w:color w:val="auto"/>
              </w:rPr>
              <w:t>association website. Chevron now includes on its</w:t>
            </w:r>
          </w:p>
        </w:tc>
        <w:tc>
          <w:tcPr>
            <w:tcW w:w="0" w:type="dxa"/>
            <w:vAlign w:val="bottom"/>
          </w:tcPr>
          <w:p>
            <w:pPr>
              <w:spacing w:after="0"/>
              <w:rPr>
                <w:sz w:val="1"/>
                <w:szCs w:val="1"/>
                <w:color w:val="auto"/>
              </w:rPr>
            </w:pPr>
          </w:p>
        </w:tc>
      </w:tr>
      <w:tr>
        <w:trPr>
          <w:trHeight w:val="215"/>
        </w:trPr>
        <w:tc>
          <w:tcPr>
            <w:tcW w:w="4280" w:type="dxa"/>
            <w:vAlign w:val="bottom"/>
          </w:tcPr>
          <w:p>
            <w:pPr>
              <w:ind w:left="220"/>
              <w:spacing w:after="0"/>
              <w:rPr>
                <w:sz w:val="20"/>
                <w:szCs w:val="20"/>
                <w:color w:val="auto"/>
              </w:rPr>
            </w:pPr>
            <w:r>
              <w:rPr>
                <w:rFonts w:ascii="Arial" w:cs="Arial" w:eastAsia="Arial" w:hAnsi="Arial"/>
                <w:sz w:val="16"/>
                <w:szCs w:val="16"/>
                <w:color w:val="auto"/>
              </w:rPr>
              <w:t>Company.</w:t>
            </w:r>
          </w:p>
        </w:tc>
        <w:tc>
          <w:tcPr>
            <w:tcW w:w="3860" w:type="dxa"/>
            <w:vAlign w:val="bottom"/>
            <w:gridSpan w:val="3"/>
          </w:tcPr>
          <w:p>
            <w:pPr>
              <w:ind w:left="60"/>
              <w:spacing w:after="0"/>
              <w:rPr>
                <w:sz w:val="20"/>
                <w:szCs w:val="20"/>
                <w:color w:val="auto"/>
              </w:rPr>
            </w:pPr>
            <w:r>
              <w:rPr>
                <w:rFonts w:ascii="Arial" w:cs="Arial" w:eastAsia="Arial" w:hAnsi="Arial"/>
                <w:sz w:val="16"/>
                <w:szCs w:val="16"/>
                <w:color w:val="auto"/>
              </w:rPr>
              <w:t>website:</w:t>
            </w:r>
          </w:p>
        </w:tc>
        <w:tc>
          <w:tcPr>
            <w:tcW w:w="0" w:type="dxa"/>
            <w:vAlign w:val="bottom"/>
          </w:tcPr>
          <w:p>
            <w:pPr>
              <w:spacing w:after="0"/>
              <w:rPr>
                <w:sz w:val="1"/>
                <w:szCs w:val="1"/>
                <w:color w:val="auto"/>
              </w:rPr>
            </w:pPr>
          </w:p>
        </w:tc>
      </w:tr>
      <w:tr>
        <w:trPr>
          <w:trHeight w:val="258"/>
        </w:trPr>
        <w:tc>
          <w:tcPr>
            <w:tcW w:w="4280" w:type="dxa"/>
            <w:vAlign w:val="bottom"/>
          </w:tcPr>
          <w:p>
            <w:pPr>
              <w:ind w:left="220"/>
              <w:spacing w:after="0"/>
              <w:rPr>
                <w:sz w:val="20"/>
                <w:szCs w:val="20"/>
                <w:color w:val="auto"/>
              </w:rPr>
            </w:pPr>
            <w:r>
              <w:rPr>
                <w:rFonts w:ascii="Arial" w:cs="Arial" w:eastAsia="Arial" w:hAnsi="Arial"/>
                <w:sz w:val="16"/>
                <w:szCs w:val="16"/>
                <w:color w:val="auto"/>
              </w:rPr>
              <w:t>Some stockholders emphasized more transparency into</w:t>
            </w:r>
          </w:p>
        </w:tc>
        <w:tc>
          <w:tcPr>
            <w:tcW w:w="3860" w:type="dxa"/>
            <w:vAlign w:val="bottom"/>
            <w:gridSpan w:val="3"/>
          </w:tcPr>
          <w:p>
            <w:pPr>
              <w:ind w:left="60"/>
              <w:spacing w:after="0"/>
              <w:rPr>
                <w:sz w:val="20"/>
                <w:szCs w:val="20"/>
                <w:color w:val="auto"/>
              </w:rPr>
            </w:pPr>
            <w:r>
              <w:rPr>
                <w:rFonts w:ascii="Arial" w:cs="Arial" w:eastAsia="Arial" w:hAnsi="Arial"/>
                <w:sz w:val="16"/>
                <w:szCs w:val="16"/>
                <w:color w:val="auto"/>
              </w:rPr>
              <w:t>• a detailed description of our policies and</w:t>
            </w:r>
          </w:p>
        </w:tc>
        <w:tc>
          <w:tcPr>
            <w:tcW w:w="0" w:type="dxa"/>
            <w:vAlign w:val="bottom"/>
          </w:tcPr>
          <w:p>
            <w:pPr>
              <w:spacing w:after="0"/>
              <w:rPr>
                <w:sz w:val="1"/>
                <w:szCs w:val="1"/>
                <w:color w:val="auto"/>
              </w:rPr>
            </w:pPr>
          </w:p>
        </w:tc>
      </w:tr>
      <w:tr>
        <w:trPr>
          <w:trHeight w:val="134"/>
        </w:trPr>
        <w:tc>
          <w:tcPr>
            <w:tcW w:w="4280" w:type="dxa"/>
            <w:vAlign w:val="bottom"/>
            <w:vMerge w:val="restart"/>
          </w:tcPr>
          <w:p>
            <w:pPr>
              <w:ind w:left="220"/>
              <w:spacing w:after="0"/>
              <w:rPr>
                <w:sz w:val="20"/>
                <w:szCs w:val="20"/>
                <w:color w:val="auto"/>
              </w:rPr>
            </w:pPr>
            <w:r>
              <w:rPr>
                <w:rFonts w:ascii="Arial" w:cs="Arial" w:eastAsia="Arial" w:hAnsi="Arial"/>
                <w:sz w:val="16"/>
                <w:szCs w:val="16"/>
                <w:color w:val="auto"/>
              </w:rPr>
              <w:t>how the Board oversees lobbying activity.</w:t>
            </w:r>
          </w:p>
        </w:tc>
        <w:tc>
          <w:tcPr>
            <w:tcW w:w="3860" w:type="dxa"/>
            <w:vAlign w:val="bottom"/>
            <w:gridSpan w:val="3"/>
          </w:tcPr>
          <w:p>
            <w:pPr>
              <w:ind w:left="200"/>
              <w:spacing w:after="0" w:line="134" w:lineRule="exact"/>
              <w:rPr>
                <w:sz w:val="20"/>
                <w:szCs w:val="20"/>
                <w:color w:val="auto"/>
              </w:rPr>
            </w:pPr>
            <w:r>
              <w:rPr>
                <w:rFonts w:ascii="Arial" w:cs="Arial" w:eastAsia="Arial" w:hAnsi="Arial"/>
                <w:sz w:val="15"/>
                <w:szCs w:val="15"/>
                <w:color w:val="auto"/>
              </w:rPr>
              <w:t>procedures governing lobbying activities and how</w:t>
            </w:r>
          </w:p>
        </w:tc>
        <w:tc>
          <w:tcPr>
            <w:tcW w:w="0" w:type="dxa"/>
            <w:vAlign w:val="bottom"/>
          </w:tcPr>
          <w:p>
            <w:pPr>
              <w:spacing w:after="0"/>
              <w:rPr>
                <w:sz w:val="1"/>
                <w:szCs w:val="1"/>
                <w:color w:val="auto"/>
              </w:rPr>
            </w:pPr>
          </w:p>
        </w:tc>
      </w:tr>
      <w:tr>
        <w:trPr>
          <w:trHeight w:val="107"/>
        </w:trPr>
        <w:tc>
          <w:tcPr>
            <w:tcW w:w="4280" w:type="dxa"/>
            <w:vAlign w:val="bottom"/>
            <w:vMerge w:val="continue"/>
          </w:tcPr>
          <w:p>
            <w:pPr>
              <w:spacing w:after="0"/>
              <w:rPr>
                <w:sz w:val="9"/>
                <w:szCs w:val="9"/>
                <w:color w:val="auto"/>
              </w:rPr>
            </w:pPr>
          </w:p>
        </w:tc>
        <w:tc>
          <w:tcPr>
            <w:tcW w:w="3860" w:type="dxa"/>
            <w:vAlign w:val="bottom"/>
            <w:gridSpan w:val="3"/>
            <w:vMerge w:val="restart"/>
          </w:tcPr>
          <w:p>
            <w:pPr>
              <w:ind w:left="200"/>
              <w:spacing w:after="0"/>
              <w:rPr>
                <w:sz w:val="20"/>
                <w:szCs w:val="20"/>
                <w:color w:val="auto"/>
              </w:rPr>
            </w:pPr>
            <w:r>
              <w:rPr>
                <w:rFonts w:ascii="Arial" w:cs="Arial" w:eastAsia="Arial" w:hAnsi="Arial"/>
                <w:sz w:val="16"/>
                <w:szCs w:val="16"/>
                <w:color w:val="auto"/>
              </w:rPr>
              <w:t>our Management and Board manage reputational</w:t>
            </w:r>
          </w:p>
        </w:tc>
        <w:tc>
          <w:tcPr>
            <w:tcW w:w="0" w:type="dxa"/>
            <w:vAlign w:val="bottom"/>
          </w:tcPr>
          <w:p>
            <w:pPr>
              <w:spacing w:after="0"/>
              <w:rPr>
                <w:sz w:val="1"/>
                <w:szCs w:val="1"/>
                <w:color w:val="auto"/>
              </w:rPr>
            </w:pPr>
          </w:p>
        </w:tc>
      </w:tr>
      <w:tr>
        <w:trPr>
          <w:trHeight w:val="82"/>
        </w:trPr>
        <w:tc>
          <w:tcPr>
            <w:tcW w:w="4280" w:type="dxa"/>
            <w:vAlign w:val="bottom"/>
          </w:tcPr>
          <w:p>
            <w:pPr>
              <w:spacing w:after="0"/>
              <w:rPr>
                <w:sz w:val="7"/>
                <w:szCs w:val="7"/>
                <w:color w:val="auto"/>
              </w:rPr>
            </w:pPr>
          </w:p>
        </w:tc>
        <w:tc>
          <w:tcPr>
            <w:tcW w:w="3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rPr>
                <w:sz w:val="20"/>
                <w:szCs w:val="20"/>
                <w:color w:val="auto"/>
              </w:rPr>
            </w:pPr>
            <w:r>
              <w:rPr>
                <w:rFonts w:ascii="Arial" w:cs="Arial" w:eastAsia="Arial" w:hAnsi="Arial"/>
                <w:sz w:val="16"/>
                <w:szCs w:val="16"/>
                <w:color w:val="auto"/>
              </w:rPr>
              <w:t>Some stockholders emphasized disclosure of all trade</w:t>
            </w:r>
          </w:p>
        </w:tc>
        <w:tc>
          <w:tcPr>
            <w:tcW w:w="3860" w:type="dxa"/>
            <w:vAlign w:val="bottom"/>
            <w:gridSpan w:val="3"/>
          </w:tcPr>
          <w:p>
            <w:pPr>
              <w:ind w:left="200"/>
              <w:spacing w:after="0"/>
              <w:rPr>
                <w:sz w:val="20"/>
                <w:szCs w:val="20"/>
                <w:color w:val="auto"/>
              </w:rPr>
            </w:pPr>
            <w:r>
              <w:rPr>
                <w:rFonts w:ascii="Arial" w:cs="Arial" w:eastAsia="Arial" w:hAnsi="Arial"/>
                <w:sz w:val="16"/>
                <w:szCs w:val="16"/>
                <w:color w:val="auto"/>
              </w:rPr>
              <w:t>risk associated with lobbying;</w:t>
            </w: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rPr>
                <w:sz w:val="20"/>
                <w:szCs w:val="20"/>
                <w:color w:val="auto"/>
              </w:rPr>
            </w:pPr>
            <w:r>
              <w:rPr>
                <w:rFonts w:ascii="Arial" w:cs="Arial" w:eastAsia="Arial" w:hAnsi="Arial"/>
                <w:sz w:val="16"/>
                <w:szCs w:val="16"/>
                <w:color w:val="auto"/>
              </w:rPr>
              <w:t>associations to which we contribute that participate in</w:t>
            </w:r>
          </w:p>
        </w:tc>
        <w:tc>
          <w:tcPr>
            <w:tcW w:w="3860" w:type="dxa"/>
            <w:vAlign w:val="bottom"/>
            <w:gridSpan w:val="3"/>
          </w:tcPr>
          <w:p>
            <w:pPr>
              <w:ind w:left="60"/>
              <w:spacing w:after="0"/>
              <w:rPr>
                <w:sz w:val="20"/>
                <w:szCs w:val="20"/>
                <w:color w:val="auto"/>
              </w:rPr>
            </w:pPr>
            <w:r>
              <w:rPr>
                <w:rFonts w:ascii="Arial" w:cs="Arial" w:eastAsia="Arial" w:hAnsi="Arial"/>
                <w:sz w:val="16"/>
                <w:szCs w:val="16"/>
                <w:color w:val="auto"/>
              </w:rPr>
              <w:t>• a list of all trade associations to which we</w:t>
            </w:r>
          </w:p>
        </w:tc>
        <w:tc>
          <w:tcPr>
            <w:tcW w:w="0" w:type="dxa"/>
            <w:vAlign w:val="bottom"/>
          </w:tcPr>
          <w:p>
            <w:pPr>
              <w:spacing w:after="0"/>
              <w:rPr>
                <w:sz w:val="1"/>
                <w:szCs w:val="1"/>
                <w:color w:val="auto"/>
              </w:rPr>
            </w:pPr>
          </w:p>
        </w:tc>
      </w:tr>
      <w:tr>
        <w:trPr>
          <w:trHeight w:val="156"/>
        </w:trPr>
        <w:tc>
          <w:tcPr>
            <w:tcW w:w="4280" w:type="dxa"/>
            <w:vAlign w:val="bottom"/>
          </w:tcPr>
          <w:p>
            <w:pPr>
              <w:ind w:left="220"/>
              <w:spacing w:after="0" w:line="155" w:lineRule="exact"/>
              <w:rPr>
                <w:sz w:val="20"/>
                <w:szCs w:val="20"/>
                <w:color w:val="auto"/>
              </w:rPr>
            </w:pPr>
            <w:r>
              <w:rPr>
                <w:rFonts w:ascii="Arial" w:cs="Arial" w:eastAsia="Arial" w:hAnsi="Arial"/>
                <w:sz w:val="16"/>
                <w:szCs w:val="16"/>
                <w:color w:val="auto"/>
              </w:rPr>
              <w:t>lobbying (not just those where our contributions exceed</w:t>
            </w:r>
          </w:p>
        </w:tc>
        <w:tc>
          <w:tcPr>
            <w:tcW w:w="740" w:type="dxa"/>
            <w:vAlign w:val="bottom"/>
          </w:tcPr>
          <w:p>
            <w:pPr>
              <w:ind w:left="200"/>
              <w:spacing w:after="0" w:line="155" w:lineRule="exact"/>
              <w:rPr>
                <w:sz w:val="20"/>
                <w:szCs w:val="20"/>
                <w:color w:val="auto"/>
              </w:rPr>
            </w:pPr>
            <w:r>
              <w:rPr>
                <w:rFonts w:ascii="Arial" w:cs="Arial" w:eastAsia="Arial" w:hAnsi="Arial"/>
                <w:sz w:val="16"/>
                <w:szCs w:val="16"/>
                <w:color w:val="auto"/>
                <w:w w:val="73"/>
              </w:rPr>
              <w:t>contribute</w:t>
            </w:r>
          </w:p>
        </w:tc>
        <w:tc>
          <w:tcPr>
            <w:tcW w:w="160" w:type="dxa"/>
            <w:vAlign w:val="bottom"/>
            <w:tcBorders>
              <w:top w:val="single" w:sz="8" w:color="auto"/>
            </w:tcBorders>
          </w:tcPr>
          <w:p>
            <w:pPr>
              <w:spacing w:after="0"/>
              <w:rPr>
                <w:sz w:val="13"/>
                <w:szCs w:val="13"/>
                <w:color w:val="auto"/>
              </w:rPr>
            </w:pPr>
          </w:p>
        </w:tc>
        <w:tc>
          <w:tcPr>
            <w:tcW w:w="2960" w:type="dxa"/>
            <w:vAlign w:val="bottom"/>
          </w:tcPr>
          <w:p>
            <w:pPr>
              <w:ind w:left="60"/>
              <w:spacing w:after="0" w:line="155" w:lineRule="exact"/>
              <w:rPr>
                <w:sz w:val="20"/>
                <w:szCs w:val="20"/>
                <w:color w:val="auto"/>
              </w:rPr>
            </w:pPr>
            <w:r>
              <w:rPr>
                <w:rFonts w:ascii="Arial" w:cs="Arial" w:eastAsia="Arial" w:hAnsi="Arial"/>
                <w:sz w:val="16"/>
                <w:szCs w:val="16"/>
                <w:color w:val="auto"/>
              </w:rPr>
              <w:t>that lobby; the range of lobbying</w:t>
            </w:r>
          </w:p>
        </w:tc>
        <w:tc>
          <w:tcPr>
            <w:tcW w:w="0" w:type="dxa"/>
            <w:vAlign w:val="bottom"/>
          </w:tcPr>
          <w:p>
            <w:pPr>
              <w:spacing w:after="0"/>
              <w:rPr>
                <w:sz w:val="1"/>
                <w:szCs w:val="1"/>
                <w:color w:val="auto"/>
              </w:rPr>
            </w:pPr>
          </w:p>
        </w:tc>
      </w:tr>
      <w:tr>
        <w:trPr>
          <w:trHeight w:val="215"/>
        </w:trPr>
        <w:tc>
          <w:tcPr>
            <w:tcW w:w="4280" w:type="dxa"/>
            <w:vAlign w:val="bottom"/>
          </w:tcPr>
          <w:p>
            <w:pPr>
              <w:ind w:left="220"/>
              <w:spacing w:after="0"/>
              <w:rPr>
                <w:sz w:val="20"/>
                <w:szCs w:val="20"/>
                <w:color w:val="auto"/>
              </w:rPr>
            </w:pPr>
            <w:r>
              <w:rPr>
                <w:rFonts w:ascii="Arial" w:cs="Arial" w:eastAsia="Arial" w:hAnsi="Arial"/>
                <w:sz w:val="16"/>
                <w:szCs w:val="16"/>
                <w:color w:val="auto"/>
              </w:rPr>
              <w:t>a particular dollar threshold).</w:t>
            </w:r>
          </w:p>
        </w:tc>
        <w:tc>
          <w:tcPr>
            <w:tcW w:w="3860" w:type="dxa"/>
            <w:vAlign w:val="bottom"/>
            <w:gridSpan w:val="3"/>
          </w:tcPr>
          <w:p>
            <w:pPr>
              <w:ind w:left="200"/>
              <w:spacing w:after="0"/>
              <w:rPr>
                <w:sz w:val="20"/>
                <w:szCs w:val="20"/>
                <w:color w:val="auto"/>
              </w:rPr>
            </w:pPr>
            <w:r>
              <w:rPr>
                <w:rFonts w:ascii="Arial" w:cs="Arial" w:eastAsia="Arial" w:hAnsi="Arial"/>
                <w:sz w:val="16"/>
                <w:szCs w:val="16"/>
                <w:color w:val="auto"/>
              </w:rPr>
              <w:t>expenditures (federal, state, and grassroots)</w:t>
            </w:r>
          </w:p>
        </w:tc>
        <w:tc>
          <w:tcPr>
            <w:tcW w:w="0" w:type="dxa"/>
            <w:vAlign w:val="bottom"/>
          </w:tcPr>
          <w:p>
            <w:pPr>
              <w:spacing w:after="0"/>
              <w:rPr>
                <w:sz w:val="1"/>
                <w:szCs w:val="1"/>
                <w:color w:val="auto"/>
              </w:rPr>
            </w:pPr>
          </w:p>
        </w:tc>
      </w:tr>
      <w:tr>
        <w:trPr>
          <w:trHeight w:val="189"/>
        </w:trPr>
        <w:tc>
          <w:tcPr>
            <w:tcW w:w="4280" w:type="dxa"/>
            <w:vAlign w:val="bottom"/>
            <w:vMerge w:val="restart"/>
          </w:tcPr>
          <w:p>
            <w:pPr>
              <w:ind w:left="220"/>
              <w:spacing w:after="0"/>
              <w:rPr>
                <w:sz w:val="20"/>
                <w:szCs w:val="20"/>
                <w:color w:val="auto"/>
              </w:rPr>
            </w:pPr>
            <w:r>
              <w:rPr>
                <w:rFonts w:ascii="Arial" w:cs="Arial" w:eastAsia="Arial" w:hAnsi="Arial"/>
                <w:sz w:val="16"/>
                <w:szCs w:val="16"/>
                <w:color w:val="auto"/>
              </w:rPr>
              <w:t>Stockholders appreciated the increased transparency</w:t>
            </w:r>
          </w:p>
        </w:tc>
        <w:tc>
          <w:tcPr>
            <w:tcW w:w="3860" w:type="dxa"/>
            <w:vAlign w:val="bottom"/>
            <w:gridSpan w:val="3"/>
          </w:tcPr>
          <w:p>
            <w:pPr>
              <w:ind w:left="200"/>
              <w:spacing w:after="0"/>
              <w:rPr>
                <w:sz w:val="20"/>
                <w:szCs w:val="20"/>
                <w:color w:val="auto"/>
              </w:rPr>
            </w:pPr>
            <w:r>
              <w:rPr>
                <w:rFonts w:ascii="Arial" w:cs="Arial" w:eastAsia="Arial" w:hAnsi="Arial"/>
                <w:sz w:val="16"/>
                <w:szCs w:val="16"/>
                <w:color w:val="auto"/>
              </w:rPr>
              <w:t>made through these trade associations; the</w:t>
            </w:r>
          </w:p>
        </w:tc>
        <w:tc>
          <w:tcPr>
            <w:tcW w:w="0" w:type="dxa"/>
            <w:vAlign w:val="bottom"/>
          </w:tcPr>
          <w:p>
            <w:pPr>
              <w:spacing w:after="0"/>
              <w:rPr>
                <w:sz w:val="1"/>
                <w:szCs w:val="1"/>
                <w:color w:val="auto"/>
              </w:rPr>
            </w:pPr>
          </w:p>
        </w:tc>
      </w:tr>
      <w:tr>
        <w:trPr>
          <w:trHeight w:val="94"/>
        </w:trPr>
        <w:tc>
          <w:tcPr>
            <w:tcW w:w="4280" w:type="dxa"/>
            <w:vAlign w:val="bottom"/>
            <w:vMerge w:val="continue"/>
          </w:tcPr>
          <w:p>
            <w:pPr>
              <w:spacing w:after="0"/>
              <w:rPr>
                <w:sz w:val="8"/>
                <w:szCs w:val="8"/>
                <w:color w:val="auto"/>
              </w:rPr>
            </w:pPr>
          </w:p>
        </w:tc>
        <w:tc>
          <w:tcPr>
            <w:tcW w:w="3860" w:type="dxa"/>
            <w:vAlign w:val="bottom"/>
            <w:gridSpan w:val="3"/>
            <w:vMerge w:val="restart"/>
          </w:tcPr>
          <w:p>
            <w:pPr>
              <w:ind w:left="200"/>
              <w:spacing w:after="0"/>
              <w:rPr>
                <w:sz w:val="20"/>
                <w:szCs w:val="20"/>
                <w:color w:val="auto"/>
              </w:rPr>
            </w:pPr>
            <w:r>
              <w:rPr>
                <w:rFonts w:ascii="Arial" w:cs="Arial" w:eastAsia="Arial" w:hAnsi="Arial"/>
                <w:sz w:val="16"/>
                <w:szCs w:val="16"/>
                <w:color w:val="auto"/>
              </w:rPr>
              <w:t>percentage of dues attributed to direct and indirect</w:t>
            </w:r>
          </w:p>
        </w:tc>
        <w:tc>
          <w:tcPr>
            <w:tcW w:w="0" w:type="dxa"/>
            <w:vAlign w:val="bottom"/>
          </w:tcPr>
          <w:p>
            <w:pPr>
              <w:spacing w:after="0"/>
              <w:rPr>
                <w:sz w:val="1"/>
                <w:szCs w:val="1"/>
                <w:color w:val="auto"/>
              </w:rPr>
            </w:pPr>
          </w:p>
        </w:tc>
      </w:tr>
      <w:tr>
        <w:trPr>
          <w:trHeight w:val="95"/>
        </w:trPr>
        <w:tc>
          <w:tcPr>
            <w:tcW w:w="4280" w:type="dxa"/>
            <w:vAlign w:val="bottom"/>
            <w:vMerge w:val="restart"/>
          </w:tcPr>
          <w:p>
            <w:pPr>
              <w:ind w:left="220"/>
              <w:spacing w:after="0"/>
              <w:rPr>
                <w:sz w:val="20"/>
                <w:szCs w:val="20"/>
                <w:color w:val="auto"/>
              </w:rPr>
            </w:pPr>
            <w:r>
              <w:rPr>
                <w:rFonts w:ascii="Arial" w:cs="Arial" w:eastAsia="Arial" w:hAnsi="Arial"/>
                <w:sz w:val="16"/>
                <w:szCs w:val="16"/>
                <w:color w:val="auto"/>
              </w:rPr>
              <w:t>on lobbying and indicated that disclosure of specific</w:t>
            </w:r>
          </w:p>
        </w:tc>
        <w:tc>
          <w:tcPr>
            <w:tcW w:w="38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280" w:type="dxa"/>
            <w:vAlign w:val="bottom"/>
            <w:vMerge w:val="continue"/>
          </w:tcPr>
          <w:p>
            <w:pPr>
              <w:spacing w:after="0"/>
              <w:rPr>
                <w:sz w:val="8"/>
                <w:szCs w:val="8"/>
                <w:color w:val="auto"/>
              </w:rPr>
            </w:pPr>
          </w:p>
        </w:tc>
        <w:tc>
          <w:tcPr>
            <w:tcW w:w="3860" w:type="dxa"/>
            <w:vAlign w:val="bottom"/>
            <w:gridSpan w:val="3"/>
            <w:vMerge w:val="restart"/>
          </w:tcPr>
          <w:p>
            <w:pPr>
              <w:ind w:left="200"/>
              <w:spacing w:after="0"/>
              <w:rPr>
                <w:sz w:val="20"/>
                <w:szCs w:val="20"/>
                <w:color w:val="auto"/>
              </w:rPr>
            </w:pPr>
            <w:r>
              <w:rPr>
                <w:rFonts w:ascii="Arial" w:cs="Arial" w:eastAsia="Arial" w:hAnsi="Arial"/>
                <w:sz w:val="16"/>
                <w:szCs w:val="16"/>
                <w:color w:val="auto"/>
              </w:rPr>
              <w:t>lobbying through trade associations; and</w:t>
            </w:r>
          </w:p>
        </w:tc>
        <w:tc>
          <w:tcPr>
            <w:tcW w:w="0" w:type="dxa"/>
            <w:vAlign w:val="bottom"/>
          </w:tcPr>
          <w:p>
            <w:pPr>
              <w:spacing w:after="0"/>
              <w:rPr>
                <w:sz w:val="1"/>
                <w:szCs w:val="1"/>
                <w:color w:val="auto"/>
              </w:rPr>
            </w:pPr>
          </w:p>
        </w:tc>
      </w:tr>
      <w:tr>
        <w:trPr>
          <w:trHeight w:val="95"/>
        </w:trPr>
        <w:tc>
          <w:tcPr>
            <w:tcW w:w="4280" w:type="dxa"/>
            <w:vAlign w:val="bottom"/>
            <w:vMerge w:val="restart"/>
          </w:tcPr>
          <w:p>
            <w:pPr>
              <w:ind w:left="220"/>
              <w:spacing w:after="0"/>
              <w:rPr>
                <w:sz w:val="20"/>
                <w:szCs w:val="20"/>
                <w:color w:val="auto"/>
              </w:rPr>
            </w:pPr>
            <w:r>
              <w:rPr>
                <w:rFonts w:ascii="Arial" w:cs="Arial" w:eastAsia="Arial" w:hAnsi="Arial"/>
                <w:sz w:val="16"/>
                <w:szCs w:val="16"/>
                <w:color w:val="auto"/>
              </w:rPr>
              <w:t>payments to individual trade associations was not</w:t>
            </w:r>
          </w:p>
        </w:tc>
        <w:tc>
          <w:tcPr>
            <w:tcW w:w="38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280" w:type="dxa"/>
            <w:vAlign w:val="bottom"/>
            <w:vMerge w:val="continue"/>
          </w:tcPr>
          <w:p>
            <w:pPr>
              <w:spacing w:after="0"/>
              <w:rPr>
                <w:sz w:val="8"/>
                <w:szCs w:val="8"/>
                <w:color w:val="auto"/>
              </w:rPr>
            </w:pPr>
          </w:p>
        </w:tc>
        <w:tc>
          <w:tcPr>
            <w:tcW w:w="3860" w:type="dxa"/>
            <w:vAlign w:val="bottom"/>
            <w:gridSpan w:val="3"/>
            <w:vMerge w:val="restart"/>
          </w:tcPr>
          <w:p>
            <w:pPr>
              <w:ind w:left="200"/>
              <w:spacing w:after="0"/>
              <w:rPr>
                <w:sz w:val="20"/>
                <w:szCs w:val="20"/>
                <w:color w:val="auto"/>
              </w:rPr>
            </w:pPr>
            <w:r>
              <w:rPr>
                <w:rFonts w:ascii="Arial" w:cs="Arial" w:eastAsia="Arial" w:hAnsi="Arial"/>
                <w:sz w:val="16"/>
                <w:szCs w:val="16"/>
                <w:color w:val="auto"/>
              </w:rPr>
              <w:t>information about membership dues paid to</w:t>
            </w:r>
          </w:p>
        </w:tc>
        <w:tc>
          <w:tcPr>
            <w:tcW w:w="0" w:type="dxa"/>
            <w:vAlign w:val="bottom"/>
          </w:tcPr>
          <w:p>
            <w:pPr>
              <w:spacing w:after="0"/>
              <w:rPr>
                <w:sz w:val="1"/>
                <w:szCs w:val="1"/>
                <w:color w:val="auto"/>
              </w:rPr>
            </w:pPr>
          </w:p>
        </w:tc>
      </w:tr>
      <w:tr>
        <w:trPr>
          <w:trHeight w:val="94"/>
        </w:trPr>
        <w:tc>
          <w:tcPr>
            <w:tcW w:w="4280" w:type="dxa"/>
            <w:vAlign w:val="bottom"/>
            <w:vMerge w:val="restart"/>
          </w:tcPr>
          <w:p>
            <w:pPr>
              <w:ind w:left="220"/>
              <w:spacing w:after="0"/>
              <w:rPr>
                <w:sz w:val="20"/>
                <w:szCs w:val="20"/>
                <w:color w:val="auto"/>
              </w:rPr>
            </w:pPr>
            <w:r>
              <w:rPr>
                <w:rFonts w:ascii="Arial" w:cs="Arial" w:eastAsia="Arial" w:hAnsi="Arial"/>
                <w:sz w:val="16"/>
                <w:szCs w:val="16"/>
                <w:color w:val="auto"/>
              </w:rPr>
              <w:t>necessary for their decision making.</w:t>
            </w:r>
          </w:p>
        </w:tc>
        <w:tc>
          <w:tcPr>
            <w:tcW w:w="38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280" w:type="dxa"/>
            <w:vAlign w:val="bottom"/>
            <w:vMerge w:val="continue"/>
          </w:tcPr>
          <w:p>
            <w:pPr>
              <w:spacing w:after="0"/>
              <w:rPr>
                <w:sz w:val="10"/>
                <w:szCs w:val="10"/>
                <w:color w:val="auto"/>
              </w:rPr>
            </w:pPr>
          </w:p>
        </w:tc>
        <w:tc>
          <w:tcPr>
            <w:tcW w:w="3860" w:type="dxa"/>
            <w:vAlign w:val="bottom"/>
            <w:gridSpan w:val="3"/>
            <w:vMerge w:val="restart"/>
          </w:tcPr>
          <w:p>
            <w:pPr>
              <w:ind w:left="200"/>
              <w:spacing w:after="0"/>
              <w:rPr>
                <w:sz w:val="20"/>
                <w:szCs w:val="20"/>
                <w:color w:val="auto"/>
              </w:rPr>
            </w:pPr>
            <w:r>
              <w:rPr>
                <w:rFonts w:ascii="Arial" w:cs="Arial" w:eastAsia="Arial" w:hAnsi="Arial"/>
                <w:sz w:val="16"/>
                <w:szCs w:val="16"/>
                <w:color w:val="auto"/>
              </w:rPr>
              <w:t>organizations that write model legislation.</w:t>
            </w:r>
          </w:p>
        </w:tc>
        <w:tc>
          <w:tcPr>
            <w:tcW w:w="0" w:type="dxa"/>
            <w:vAlign w:val="bottom"/>
          </w:tcPr>
          <w:p>
            <w:pPr>
              <w:spacing w:after="0"/>
              <w:rPr>
                <w:sz w:val="1"/>
                <w:szCs w:val="1"/>
                <w:color w:val="auto"/>
              </w:rPr>
            </w:pPr>
          </w:p>
        </w:tc>
      </w:tr>
      <w:tr>
        <w:trPr>
          <w:trHeight w:val="94"/>
        </w:trPr>
        <w:tc>
          <w:tcPr>
            <w:tcW w:w="4280" w:type="dxa"/>
            <w:vAlign w:val="bottom"/>
          </w:tcPr>
          <w:p>
            <w:pPr>
              <w:spacing w:after="0"/>
              <w:rPr>
                <w:sz w:val="8"/>
                <w:szCs w:val="8"/>
                <w:color w:val="auto"/>
              </w:rPr>
            </w:pPr>
          </w:p>
        </w:tc>
        <w:tc>
          <w:tcPr>
            <w:tcW w:w="38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17"/>
                <w:szCs w:val="17"/>
                <w:color w:val="auto"/>
              </w:rPr>
            </w:pPr>
          </w:p>
        </w:tc>
        <w:tc>
          <w:tcPr>
            <w:tcW w:w="3860" w:type="dxa"/>
            <w:vAlign w:val="bottom"/>
            <w:gridSpan w:val="3"/>
          </w:tcPr>
          <w:p>
            <w:pPr>
              <w:ind w:left="60"/>
              <w:spacing w:after="0"/>
              <w:rPr>
                <w:sz w:val="20"/>
                <w:szCs w:val="20"/>
                <w:color w:val="auto"/>
              </w:rPr>
            </w:pPr>
            <w:r>
              <w:rPr>
                <w:rFonts w:ascii="Arial" w:cs="Arial" w:eastAsia="Arial" w:hAnsi="Arial"/>
                <w:sz w:val="16"/>
                <w:szCs w:val="16"/>
                <w:color w:val="auto"/>
              </w:rPr>
              <w:t>• Beginning in 2022, we plan two updates per year</w:t>
            </w: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3860" w:type="dxa"/>
            <w:vAlign w:val="bottom"/>
            <w:gridSpan w:val="3"/>
          </w:tcPr>
          <w:p>
            <w:pPr>
              <w:ind w:left="200"/>
              <w:spacing w:after="0"/>
              <w:rPr>
                <w:sz w:val="20"/>
                <w:szCs w:val="20"/>
                <w:color w:val="auto"/>
              </w:rPr>
            </w:pPr>
            <w:r>
              <w:rPr>
                <w:rFonts w:ascii="Arial" w:cs="Arial" w:eastAsia="Arial" w:hAnsi="Arial"/>
                <w:sz w:val="16"/>
                <w:szCs w:val="16"/>
                <w:color w:val="auto"/>
              </w:rPr>
              <w:t>regarding the Company’s corporate political</w:t>
            </w: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3860" w:type="dxa"/>
            <w:vAlign w:val="bottom"/>
            <w:gridSpan w:val="3"/>
          </w:tcPr>
          <w:p>
            <w:pPr>
              <w:ind w:left="200"/>
              <w:spacing w:after="0"/>
              <w:rPr>
                <w:sz w:val="20"/>
                <w:szCs w:val="20"/>
                <w:color w:val="auto"/>
              </w:rPr>
            </w:pPr>
            <w:r>
              <w:rPr>
                <w:rFonts w:ascii="Arial" w:cs="Arial" w:eastAsia="Arial" w:hAnsi="Arial"/>
                <w:sz w:val="16"/>
                <w:szCs w:val="16"/>
                <w:color w:val="auto"/>
              </w:rPr>
              <w:t>contributions, trade association memberships</w:t>
            </w: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3860" w:type="dxa"/>
            <w:vAlign w:val="bottom"/>
            <w:gridSpan w:val="3"/>
          </w:tcPr>
          <w:p>
            <w:pPr>
              <w:ind w:left="200"/>
              <w:spacing w:after="0"/>
              <w:rPr>
                <w:sz w:val="20"/>
                <w:szCs w:val="20"/>
                <w:color w:val="auto"/>
              </w:rPr>
            </w:pPr>
            <w:r>
              <w:rPr>
                <w:rFonts w:ascii="Arial" w:cs="Arial" w:eastAsia="Arial" w:hAnsi="Arial"/>
                <w:sz w:val="16"/>
                <w:szCs w:val="16"/>
                <w:color w:val="auto"/>
              </w:rPr>
              <w:t>where a portion of dues are attributed to lobbying,</w:t>
            </w: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3860" w:type="dxa"/>
            <w:vAlign w:val="bottom"/>
            <w:gridSpan w:val="3"/>
          </w:tcPr>
          <w:p>
            <w:pPr>
              <w:ind w:left="200"/>
              <w:spacing w:after="0"/>
              <w:rPr>
                <w:sz w:val="20"/>
                <w:szCs w:val="20"/>
                <w:color w:val="auto"/>
              </w:rPr>
            </w:pPr>
            <w:r>
              <w:rPr>
                <w:rFonts w:ascii="Arial" w:cs="Arial" w:eastAsia="Arial" w:hAnsi="Arial"/>
                <w:sz w:val="16"/>
                <w:szCs w:val="16"/>
                <w:color w:val="auto"/>
              </w:rPr>
              <w:t>and Chevron employee political action committee</w:t>
            </w:r>
          </w:p>
        </w:tc>
        <w:tc>
          <w:tcPr>
            <w:tcW w:w="0" w:type="dxa"/>
            <w:vAlign w:val="bottom"/>
          </w:tcPr>
          <w:p>
            <w:pPr>
              <w:spacing w:after="0"/>
              <w:rPr>
                <w:sz w:val="1"/>
                <w:szCs w:val="1"/>
                <w:color w:val="auto"/>
              </w:rPr>
            </w:pPr>
          </w:p>
        </w:tc>
      </w:tr>
      <w:tr>
        <w:trPr>
          <w:trHeight w:val="215"/>
        </w:trPr>
        <w:tc>
          <w:tcPr>
            <w:tcW w:w="4280" w:type="dxa"/>
            <w:vAlign w:val="bottom"/>
          </w:tcPr>
          <w:p>
            <w:pPr>
              <w:spacing w:after="0"/>
              <w:rPr>
                <w:sz w:val="18"/>
                <w:szCs w:val="18"/>
                <w:color w:val="auto"/>
              </w:rPr>
            </w:pPr>
          </w:p>
        </w:tc>
        <w:tc>
          <w:tcPr>
            <w:tcW w:w="3860" w:type="dxa"/>
            <w:vAlign w:val="bottom"/>
            <w:gridSpan w:val="3"/>
          </w:tcPr>
          <w:p>
            <w:pPr>
              <w:ind w:left="200"/>
              <w:spacing w:after="0"/>
              <w:rPr>
                <w:sz w:val="20"/>
                <w:szCs w:val="20"/>
                <w:color w:val="auto"/>
              </w:rPr>
            </w:pPr>
            <w:r>
              <w:rPr>
                <w:rFonts w:ascii="Arial" w:cs="Arial" w:eastAsia="Arial" w:hAnsi="Arial"/>
                <w:sz w:val="16"/>
                <w:szCs w:val="16"/>
                <w:color w:val="auto"/>
              </w:rPr>
              <w:t>contributions.</w:t>
            </w:r>
          </w:p>
        </w:tc>
        <w:tc>
          <w:tcPr>
            <w:tcW w:w="0" w:type="dxa"/>
            <w:vAlign w:val="bottom"/>
          </w:tcPr>
          <w:p>
            <w:pPr>
              <w:spacing w:after="0"/>
              <w:rPr>
                <w:sz w:val="1"/>
                <w:szCs w:val="1"/>
                <w:color w:val="auto"/>
              </w:rPr>
            </w:pPr>
          </w:p>
        </w:tc>
      </w:tr>
      <w:tr>
        <w:trPr>
          <w:trHeight w:val="285"/>
        </w:trPr>
        <w:tc>
          <w:tcPr>
            <w:tcW w:w="4280" w:type="dxa"/>
            <w:vAlign w:val="bottom"/>
          </w:tcPr>
          <w:p>
            <w:pPr>
              <w:spacing w:after="0"/>
              <w:rPr>
                <w:sz w:val="24"/>
                <w:szCs w:val="24"/>
                <w:color w:val="auto"/>
              </w:rPr>
            </w:pPr>
          </w:p>
        </w:tc>
        <w:tc>
          <w:tcPr>
            <w:tcW w:w="3860" w:type="dxa"/>
            <w:vAlign w:val="bottom"/>
            <w:gridSpan w:val="3"/>
          </w:tcPr>
          <w:p>
            <w:pPr>
              <w:ind w:left="60"/>
              <w:spacing w:after="0"/>
              <w:rPr>
                <w:sz w:val="20"/>
                <w:szCs w:val="20"/>
                <w:color w:val="auto"/>
              </w:rPr>
            </w:pPr>
            <w:r>
              <w:rPr>
                <w:rFonts w:ascii="Arial" w:cs="Arial" w:eastAsia="Arial" w:hAnsi="Arial"/>
                <w:sz w:val="16"/>
                <w:szCs w:val="16"/>
                <w:color w:val="auto"/>
              </w:rPr>
              <w:t>During our engagements, we explained our</w:t>
            </w: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3860" w:type="dxa"/>
            <w:vAlign w:val="bottom"/>
            <w:gridSpan w:val="3"/>
          </w:tcPr>
          <w:p>
            <w:pPr>
              <w:ind w:left="60"/>
              <w:spacing w:after="0"/>
              <w:rPr>
                <w:sz w:val="20"/>
                <w:szCs w:val="20"/>
                <w:color w:val="auto"/>
              </w:rPr>
            </w:pPr>
            <w:r>
              <w:rPr>
                <w:rFonts w:ascii="Arial" w:cs="Arial" w:eastAsia="Arial" w:hAnsi="Arial"/>
                <w:sz w:val="16"/>
                <w:szCs w:val="16"/>
                <w:color w:val="auto"/>
              </w:rPr>
              <w:t>approach to potential misalignments with trade</w:t>
            </w: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3860" w:type="dxa"/>
            <w:vAlign w:val="bottom"/>
            <w:gridSpan w:val="3"/>
          </w:tcPr>
          <w:p>
            <w:pPr>
              <w:ind w:left="60"/>
              <w:spacing w:after="0"/>
              <w:rPr>
                <w:sz w:val="20"/>
                <w:szCs w:val="20"/>
                <w:color w:val="auto"/>
              </w:rPr>
            </w:pPr>
            <w:r>
              <w:rPr>
                <w:rFonts w:ascii="Arial" w:cs="Arial" w:eastAsia="Arial" w:hAnsi="Arial"/>
                <w:sz w:val="16"/>
                <w:szCs w:val="16"/>
                <w:color w:val="auto"/>
              </w:rPr>
              <w:t>associations, which is to focus on the overall value a</w:t>
            </w: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3860" w:type="dxa"/>
            <w:vAlign w:val="bottom"/>
            <w:gridSpan w:val="3"/>
          </w:tcPr>
          <w:p>
            <w:pPr>
              <w:ind w:left="60"/>
              <w:spacing w:after="0"/>
              <w:rPr>
                <w:sz w:val="20"/>
                <w:szCs w:val="20"/>
                <w:color w:val="auto"/>
              </w:rPr>
            </w:pPr>
            <w:r>
              <w:rPr>
                <w:rFonts w:ascii="Arial" w:cs="Arial" w:eastAsia="Arial" w:hAnsi="Arial"/>
                <w:sz w:val="16"/>
                <w:szCs w:val="16"/>
                <w:color w:val="auto"/>
              </w:rPr>
              <w:t>trade association provides Chevron and to address</w:t>
            </w: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3860" w:type="dxa"/>
            <w:vAlign w:val="bottom"/>
            <w:gridSpan w:val="3"/>
          </w:tcPr>
          <w:p>
            <w:pPr>
              <w:ind w:left="60"/>
              <w:spacing w:after="0"/>
              <w:rPr>
                <w:sz w:val="20"/>
                <w:szCs w:val="20"/>
                <w:color w:val="auto"/>
              </w:rPr>
            </w:pPr>
            <w:r>
              <w:rPr>
                <w:rFonts w:ascii="Arial" w:cs="Arial" w:eastAsia="Arial" w:hAnsi="Arial"/>
                <w:sz w:val="16"/>
                <w:szCs w:val="16"/>
                <w:color w:val="auto"/>
              </w:rPr>
              <w:t>any misalignment on a specific topic through</w:t>
            </w: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3860" w:type="dxa"/>
            <w:vAlign w:val="bottom"/>
            <w:gridSpan w:val="3"/>
          </w:tcPr>
          <w:p>
            <w:pPr>
              <w:ind w:left="60"/>
              <w:spacing w:after="0"/>
              <w:rPr>
                <w:sz w:val="20"/>
                <w:szCs w:val="20"/>
                <w:color w:val="auto"/>
              </w:rPr>
            </w:pPr>
            <w:r>
              <w:rPr>
                <w:rFonts w:ascii="Arial" w:cs="Arial" w:eastAsia="Arial" w:hAnsi="Arial"/>
                <w:sz w:val="16"/>
                <w:szCs w:val="16"/>
                <w:color w:val="auto"/>
              </w:rPr>
              <w:t>engagement with the trade association. Through</w:t>
            </w: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3860" w:type="dxa"/>
            <w:vAlign w:val="bottom"/>
            <w:gridSpan w:val="3"/>
          </w:tcPr>
          <w:p>
            <w:pPr>
              <w:ind w:left="60"/>
              <w:spacing w:after="0"/>
              <w:rPr>
                <w:sz w:val="20"/>
                <w:szCs w:val="20"/>
                <w:color w:val="auto"/>
              </w:rPr>
            </w:pPr>
            <w:r>
              <w:rPr>
                <w:rFonts w:ascii="Arial" w:cs="Arial" w:eastAsia="Arial" w:hAnsi="Arial"/>
                <w:sz w:val="16"/>
                <w:szCs w:val="16"/>
                <w:color w:val="auto"/>
              </w:rPr>
              <w:t>this approach, we believe we are better able to work</w:t>
            </w: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3860" w:type="dxa"/>
            <w:vAlign w:val="bottom"/>
            <w:gridSpan w:val="3"/>
          </w:tcPr>
          <w:p>
            <w:pPr>
              <w:ind w:left="60"/>
              <w:spacing w:after="0"/>
              <w:rPr>
                <w:sz w:val="20"/>
                <w:szCs w:val="20"/>
                <w:color w:val="auto"/>
              </w:rPr>
            </w:pPr>
            <w:r>
              <w:rPr>
                <w:rFonts w:ascii="Arial" w:cs="Arial" w:eastAsia="Arial" w:hAnsi="Arial"/>
                <w:sz w:val="16"/>
                <w:szCs w:val="16"/>
                <w:color w:val="auto"/>
              </w:rPr>
              <w:t>toward effective solutions. Our updated lobbying</w:t>
            </w: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3860" w:type="dxa"/>
            <w:vAlign w:val="bottom"/>
            <w:gridSpan w:val="3"/>
          </w:tcPr>
          <w:p>
            <w:pPr>
              <w:ind w:left="60"/>
              <w:spacing w:after="0"/>
              <w:rPr>
                <w:sz w:val="20"/>
                <w:szCs w:val="20"/>
                <w:color w:val="auto"/>
              </w:rPr>
            </w:pPr>
            <w:r>
              <w:rPr>
                <w:rFonts w:ascii="Arial" w:cs="Arial" w:eastAsia="Arial" w:hAnsi="Arial"/>
                <w:sz w:val="16"/>
                <w:szCs w:val="16"/>
                <w:color w:val="auto"/>
              </w:rPr>
              <w:t>reports cite examples where Chevron has worked</w:t>
            </w: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3860" w:type="dxa"/>
            <w:vAlign w:val="bottom"/>
            <w:gridSpan w:val="3"/>
          </w:tcPr>
          <w:p>
            <w:pPr>
              <w:ind w:left="60"/>
              <w:spacing w:after="0"/>
              <w:rPr>
                <w:sz w:val="20"/>
                <w:szCs w:val="20"/>
                <w:color w:val="auto"/>
              </w:rPr>
            </w:pPr>
            <w:r>
              <w:rPr>
                <w:rFonts w:ascii="Arial" w:cs="Arial" w:eastAsia="Arial" w:hAnsi="Arial"/>
                <w:sz w:val="16"/>
                <w:szCs w:val="16"/>
                <w:color w:val="auto"/>
              </w:rPr>
              <w:t>with other member companies to move trade</w:t>
            </w: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3860" w:type="dxa"/>
            <w:vAlign w:val="bottom"/>
            <w:gridSpan w:val="3"/>
          </w:tcPr>
          <w:p>
            <w:pPr>
              <w:ind w:left="60"/>
              <w:spacing w:after="0"/>
              <w:rPr>
                <w:sz w:val="20"/>
                <w:szCs w:val="20"/>
                <w:color w:val="auto"/>
              </w:rPr>
            </w:pPr>
            <w:r>
              <w:rPr>
                <w:rFonts w:ascii="Arial" w:cs="Arial" w:eastAsia="Arial" w:hAnsi="Arial"/>
                <w:sz w:val="16"/>
                <w:szCs w:val="16"/>
                <w:color w:val="auto"/>
              </w:rPr>
              <w:t>association positions toward our position, such as</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3860" w:type="dxa"/>
            <w:vAlign w:val="bottom"/>
            <w:gridSpan w:val="3"/>
          </w:tcPr>
          <w:p>
            <w:pPr>
              <w:ind w:left="60"/>
              <w:spacing w:after="0"/>
              <w:rPr>
                <w:sz w:val="20"/>
                <w:szCs w:val="20"/>
                <w:color w:val="auto"/>
              </w:rPr>
            </w:pPr>
            <w:r>
              <w:rPr>
                <w:rFonts w:ascii="Arial" w:cs="Arial" w:eastAsia="Arial" w:hAnsi="Arial"/>
                <w:sz w:val="16"/>
                <w:szCs w:val="16"/>
                <w:color w:val="auto"/>
              </w:rPr>
              <w:t>support for carbon pricing.</w:t>
            </w:r>
          </w:p>
        </w:tc>
        <w:tc>
          <w:tcPr>
            <w:tcW w:w="0" w:type="dxa"/>
            <w:vAlign w:val="bottom"/>
          </w:tcPr>
          <w:p>
            <w:pPr>
              <w:spacing w:after="0"/>
              <w:rPr>
                <w:sz w:val="1"/>
                <w:szCs w:val="1"/>
                <w:color w:val="auto"/>
              </w:rPr>
            </w:pPr>
          </w:p>
        </w:tc>
      </w:tr>
      <w:tr>
        <w:trPr>
          <w:trHeight w:val="203"/>
        </w:trPr>
        <w:tc>
          <w:tcPr>
            <w:tcW w:w="4280" w:type="dxa"/>
            <w:vAlign w:val="bottom"/>
            <w:shd w:val="clear" w:color="auto" w:fill="D8D8D8"/>
          </w:tcPr>
          <w:p>
            <w:pPr>
              <w:ind w:left="220"/>
              <w:spacing w:after="0"/>
              <w:rPr>
                <w:sz w:val="20"/>
                <w:szCs w:val="20"/>
                <w:color w:val="auto"/>
              </w:rPr>
            </w:pPr>
            <w:r>
              <w:rPr>
                <w:rFonts w:ascii="Arial" w:cs="Arial" w:eastAsia="Arial" w:hAnsi="Arial"/>
                <w:sz w:val="16"/>
                <w:szCs w:val="16"/>
                <w:color w:val="auto"/>
              </w:rPr>
              <w:t>Stockholders continue to express interest in Chevron’s</w:t>
            </w:r>
          </w:p>
        </w:tc>
        <w:tc>
          <w:tcPr>
            <w:tcW w:w="3860" w:type="dxa"/>
            <w:vAlign w:val="bottom"/>
            <w:gridSpan w:val="3"/>
            <w:shd w:val="clear" w:color="auto" w:fill="D8D8D8"/>
          </w:tcPr>
          <w:p>
            <w:pPr>
              <w:ind w:left="60"/>
              <w:spacing w:after="0"/>
              <w:rPr>
                <w:sz w:val="20"/>
                <w:szCs w:val="20"/>
                <w:color w:val="auto"/>
              </w:rPr>
            </w:pPr>
            <w:r>
              <w:rPr>
                <w:rFonts w:ascii="Arial" w:cs="Arial" w:eastAsia="Arial" w:hAnsi="Arial"/>
                <w:sz w:val="16"/>
                <w:szCs w:val="16"/>
                <w:color w:val="auto"/>
              </w:rPr>
              <w:t>In 2021, as part of our continued efforts to foster</w:t>
            </w:r>
          </w:p>
        </w:tc>
        <w:tc>
          <w:tcPr>
            <w:tcW w:w="0" w:type="dxa"/>
            <w:vAlign w:val="bottom"/>
          </w:tcPr>
          <w:p>
            <w:pPr>
              <w:spacing w:after="0"/>
              <w:rPr>
                <w:sz w:val="1"/>
                <w:szCs w:val="1"/>
                <w:color w:val="auto"/>
              </w:rPr>
            </w:pPr>
          </w:p>
        </w:tc>
      </w:tr>
      <w:tr>
        <w:trPr>
          <w:trHeight w:val="189"/>
        </w:trPr>
        <w:tc>
          <w:tcPr>
            <w:tcW w:w="4280" w:type="dxa"/>
            <w:vAlign w:val="bottom"/>
            <w:shd w:val="clear" w:color="auto" w:fill="D8D8D8"/>
          </w:tcPr>
          <w:p>
            <w:pPr>
              <w:ind w:left="220"/>
              <w:spacing w:after="0"/>
              <w:rPr>
                <w:sz w:val="20"/>
                <w:szCs w:val="20"/>
                <w:color w:val="auto"/>
              </w:rPr>
            </w:pPr>
            <w:r>
              <w:rPr>
                <w:rFonts w:ascii="Arial" w:cs="Arial" w:eastAsia="Arial" w:hAnsi="Arial"/>
                <w:sz w:val="16"/>
                <w:szCs w:val="16"/>
                <w:color w:val="auto"/>
              </w:rPr>
              <w:t>approach to diversity and inclusion, and the steps</w:t>
            </w:r>
          </w:p>
        </w:tc>
        <w:tc>
          <w:tcPr>
            <w:tcW w:w="3860" w:type="dxa"/>
            <w:vAlign w:val="bottom"/>
            <w:gridSpan w:val="3"/>
            <w:shd w:val="clear" w:color="auto" w:fill="D8D8D8"/>
          </w:tcPr>
          <w:p>
            <w:pPr>
              <w:ind w:left="60"/>
              <w:spacing w:after="0"/>
              <w:rPr>
                <w:sz w:val="20"/>
                <w:szCs w:val="20"/>
                <w:color w:val="auto"/>
              </w:rPr>
            </w:pPr>
            <w:r>
              <w:rPr>
                <w:rFonts w:ascii="Arial" w:cs="Arial" w:eastAsia="Arial" w:hAnsi="Arial"/>
                <w:sz w:val="16"/>
                <w:szCs w:val="16"/>
                <w:color w:val="auto"/>
              </w:rPr>
              <w:t>diversity and inclusion at all levels of the Company,</w:t>
            </w:r>
          </w:p>
        </w:tc>
        <w:tc>
          <w:tcPr>
            <w:tcW w:w="0" w:type="dxa"/>
            <w:vAlign w:val="bottom"/>
          </w:tcPr>
          <w:p>
            <w:pPr>
              <w:spacing w:after="0"/>
              <w:rPr>
                <w:sz w:val="1"/>
                <w:szCs w:val="1"/>
                <w:color w:val="auto"/>
              </w:rPr>
            </w:pPr>
          </w:p>
        </w:tc>
      </w:tr>
      <w:tr>
        <w:trPr>
          <w:trHeight w:val="189"/>
        </w:trPr>
        <w:tc>
          <w:tcPr>
            <w:tcW w:w="4280" w:type="dxa"/>
            <w:vAlign w:val="bottom"/>
            <w:shd w:val="clear" w:color="auto" w:fill="D8D8D8"/>
          </w:tcPr>
          <w:p>
            <w:pPr>
              <w:ind w:left="220"/>
              <w:spacing w:after="0"/>
              <w:rPr>
                <w:sz w:val="20"/>
                <w:szCs w:val="20"/>
                <w:color w:val="auto"/>
              </w:rPr>
            </w:pPr>
            <w:r>
              <w:rPr>
                <w:rFonts w:ascii="Arial" w:cs="Arial" w:eastAsia="Arial" w:hAnsi="Arial"/>
                <w:sz w:val="16"/>
                <w:szCs w:val="16"/>
                <w:color w:val="auto"/>
              </w:rPr>
              <w:t>Chevron is taking to enhance diversity and inclusion to</w:t>
            </w:r>
          </w:p>
        </w:tc>
        <w:tc>
          <w:tcPr>
            <w:tcW w:w="3860" w:type="dxa"/>
            <w:vAlign w:val="bottom"/>
            <w:gridSpan w:val="3"/>
            <w:shd w:val="clear" w:color="auto" w:fill="D8D8D8"/>
          </w:tcPr>
          <w:p>
            <w:pPr>
              <w:ind w:left="60"/>
              <w:spacing w:after="0"/>
              <w:rPr>
                <w:sz w:val="20"/>
                <w:szCs w:val="20"/>
                <w:color w:val="auto"/>
              </w:rPr>
            </w:pPr>
            <w:r>
              <w:rPr>
                <w:rFonts w:ascii="Arial" w:cs="Arial" w:eastAsia="Arial" w:hAnsi="Arial"/>
                <w:sz w:val="16"/>
                <w:szCs w:val="16"/>
                <w:color w:val="auto"/>
              </w:rPr>
              <w:t>Chevron updated its talent development strategy</w:t>
            </w:r>
          </w:p>
        </w:tc>
        <w:tc>
          <w:tcPr>
            <w:tcW w:w="0" w:type="dxa"/>
            <w:vAlign w:val="bottom"/>
          </w:tcPr>
          <w:p>
            <w:pPr>
              <w:spacing w:after="0"/>
              <w:rPr>
                <w:sz w:val="1"/>
                <w:szCs w:val="1"/>
                <w:color w:val="auto"/>
              </w:rPr>
            </w:pPr>
          </w:p>
        </w:tc>
      </w:tr>
      <w:tr>
        <w:trPr>
          <w:trHeight w:val="189"/>
        </w:trPr>
        <w:tc>
          <w:tcPr>
            <w:tcW w:w="4280" w:type="dxa"/>
            <w:vAlign w:val="bottom"/>
            <w:shd w:val="clear" w:color="auto" w:fill="D8D8D8"/>
          </w:tcPr>
          <w:p>
            <w:pPr>
              <w:ind w:left="220"/>
              <w:spacing w:after="0"/>
              <w:rPr>
                <w:sz w:val="20"/>
                <w:szCs w:val="20"/>
                <w:color w:val="auto"/>
              </w:rPr>
            </w:pPr>
            <w:r>
              <w:rPr>
                <w:rFonts w:ascii="Arial" w:cs="Arial" w:eastAsia="Arial" w:hAnsi="Arial"/>
                <w:sz w:val="16"/>
                <w:szCs w:val="16"/>
                <w:color w:val="auto"/>
              </w:rPr>
              <w:t>protect Chevron’s reputation and to leverage the full</w:t>
            </w:r>
          </w:p>
        </w:tc>
        <w:tc>
          <w:tcPr>
            <w:tcW w:w="3860" w:type="dxa"/>
            <w:vAlign w:val="bottom"/>
            <w:gridSpan w:val="3"/>
            <w:shd w:val="clear" w:color="auto" w:fill="D8D8D8"/>
          </w:tcPr>
          <w:p>
            <w:pPr>
              <w:ind w:left="60"/>
              <w:spacing w:after="0"/>
              <w:rPr>
                <w:sz w:val="20"/>
                <w:szCs w:val="20"/>
                <w:color w:val="auto"/>
              </w:rPr>
            </w:pPr>
            <w:r>
              <w:rPr>
                <w:rFonts w:ascii="Arial" w:cs="Arial" w:eastAsia="Arial" w:hAnsi="Arial"/>
                <w:sz w:val="16"/>
                <w:szCs w:val="16"/>
                <w:color w:val="auto"/>
              </w:rPr>
              <w:t>and launched new development programs for</w:t>
            </w:r>
          </w:p>
        </w:tc>
        <w:tc>
          <w:tcPr>
            <w:tcW w:w="0" w:type="dxa"/>
            <w:vAlign w:val="bottom"/>
          </w:tcPr>
          <w:p>
            <w:pPr>
              <w:spacing w:after="0"/>
              <w:rPr>
                <w:sz w:val="1"/>
                <w:szCs w:val="1"/>
                <w:color w:val="auto"/>
              </w:rPr>
            </w:pPr>
          </w:p>
        </w:tc>
      </w:tr>
      <w:tr>
        <w:trPr>
          <w:trHeight w:val="189"/>
        </w:trPr>
        <w:tc>
          <w:tcPr>
            <w:tcW w:w="4280" w:type="dxa"/>
            <w:vAlign w:val="bottom"/>
            <w:shd w:val="clear" w:color="auto" w:fill="D8D8D8"/>
          </w:tcPr>
          <w:p>
            <w:pPr>
              <w:ind w:left="220"/>
              <w:spacing w:after="0"/>
              <w:rPr>
                <w:sz w:val="20"/>
                <w:szCs w:val="20"/>
                <w:color w:val="auto"/>
              </w:rPr>
            </w:pPr>
            <w:r>
              <w:rPr>
                <w:rFonts w:ascii="Arial" w:cs="Arial" w:eastAsia="Arial" w:hAnsi="Arial"/>
                <w:sz w:val="16"/>
                <w:szCs w:val="16"/>
                <w:color w:val="auto"/>
              </w:rPr>
              <w:t>value of our workforce.</w:t>
            </w:r>
          </w:p>
        </w:tc>
        <w:tc>
          <w:tcPr>
            <w:tcW w:w="3860" w:type="dxa"/>
            <w:vAlign w:val="bottom"/>
            <w:gridSpan w:val="3"/>
            <w:shd w:val="clear" w:color="auto" w:fill="D8D8D8"/>
          </w:tcPr>
          <w:p>
            <w:pPr>
              <w:ind w:left="60"/>
              <w:spacing w:after="0"/>
              <w:rPr>
                <w:sz w:val="20"/>
                <w:szCs w:val="20"/>
                <w:color w:val="auto"/>
              </w:rPr>
            </w:pPr>
            <w:r>
              <w:rPr>
                <w:rFonts w:ascii="Arial" w:cs="Arial" w:eastAsia="Arial" w:hAnsi="Arial"/>
                <w:sz w:val="16"/>
                <w:szCs w:val="16"/>
                <w:color w:val="auto"/>
              </w:rPr>
              <w:t>underrepresented talent. These programs include</w:t>
            </w:r>
          </w:p>
        </w:tc>
        <w:tc>
          <w:tcPr>
            <w:tcW w:w="0" w:type="dxa"/>
            <w:vAlign w:val="bottom"/>
          </w:tcPr>
          <w:p>
            <w:pPr>
              <w:spacing w:after="0"/>
              <w:rPr>
                <w:sz w:val="1"/>
                <w:szCs w:val="1"/>
                <w:color w:val="auto"/>
              </w:rPr>
            </w:pPr>
          </w:p>
        </w:tc>
      </w:tr>
      <w:tr>
        <w:trPr>
          <w:trHeight w:val="189"/>
        </w:trPr>
        <w:tc>
          <w:tcPr>
            <w:tcW w:w="4280" w:type="dxa"/>
            <w:vAlign w:val="bottom"/>
            <w:shd w:val="clear" w:color="auto" w:fill="D8D8D8"/>
          </w:tcPr>
          <w:p>
            <w:pPr>
              <w:spacing w:after="0"/>
              <w:rPr>
                <w:sz w:val="16"/>
                <w:szCs w:val="16"/>
                <w:color w:val="auto"/>
              </w:rPr>
            </w:pPr>
          </w:p>
        </w:tc>
        <w:tc>
          <w:tcPr>
            <w:tcW w:w="3860" w:type="dxa"/>
            <w:vAlign w:val="bottom"/>
            <w:gridSpan w:val="3"/>
            <w:shd w:val="clear" w:color="auto" w:fill="D8D8D8"/>
          </w:tcPr>
          <w:p>
            <w:pPr>
              <w:ind w:left="60"/>
              <w:spacing w:after="0"/>
              <w:rPr>
                <w:sz w:val="20"/>
                <w:szCs w:val="20"/>
                <w:color w:val="auto"/>
              </w:rPr>
            </w:pPr>
            <w:r>
              <w:rPr>
                <w:rFonts w:ascii="Arial" w:cs="Arial" w:eastAsia="Arial" w:hAnsi="Arial"/>
                <w:sz w:val="16"/>
                <w:szCs w:val="16"/>
                <w:color w:val="auto"/>
              </w:rPr>
              <w:t>the Chevron Latinx Leadership Program and the</w:t>
            </w:r>
          </w:p>
        </w:tc>
        <w:tc>
          <w:tcPr>
            <w:tcW w:w="0" w:type="dxa"/>
            <w:vAlign w:val="bottom"/>
          </w:tcPr>
          <w:p>
            <w:pPr>
              <w:spacing w:after="0"/>
              <w:rPr>
                <w:sz w:val="1"/>
                <w:szCs w:val="1"/>
                <w:color w:val="auto"/>
              </w:rPr>
            </w:pPr>
          </w:p>
        </w:tc>
      </w:tr>
      <w:tr>
        <w:trPr>
          <w:trHeight w:val="215"/>
        </w:trPr>
        <w:tc>
          <w:tcPr>
            <w:tcW w:w="4280" w:type="dxa"/>
            <w:vAlign w:val="bottom"/>
            <w:shd w:val="clear" w:color="auto" w:fill="D8D8D8"/>
          </w:tcPr>
          <w:p>
            <w:pPr>
              <w:spacing w:after="0"/>
              <w:rPr>
                <w:sz w:val="18"/>
                <w:szCs w:val="18"/>
                <w:color w:val="auto"/>
              </w:rPr>
            </w:pPr>
          </w:p>
        </w:tc>
        <w:tc>
          <w:tcPr>
            <w:tcW w:w="3860" w:type="dxa"/>
            <w:vAlign w:val="bottom"/>
            <w:gridSpan w:val="3"/>
            <w:shd w:val="clear" w:color="auto" w:fill="D8D8D8"/>
          </w:tcPr>
          <w:p>
            <w:pPr>
              <w:ind w:left="60"/>
              <w:spacing w:after="0"/>
              <w:rPr>
                <w:sz w:val="20"/>
                <w:szCs w:val="20"/>
                <w:color w:val="auto"/>
              </w:rPr>
            </w:pPr>
            <w:r>
              <w:rPr>
                <w:rFonts w:ascii="Arial" w:cs="Arial" w:eastAsia="Arial" w:hAnsi="Arial"/>
                <w:sz w:val="16"/>
                <w:szCs w:val="16"/>
                <w:color w:val="auto"/>
              </w:rPr>
              <w:t>Asian American Leadership Development Program.</w:t>
            </w:r>
          </w:p>
        </w:tc>
        <w:tc>
          <w:tcPr>
            <w:tcW w:w="0" w:type="dxa"/>
            <w:vAlign w:val="bottom"/>
          </w:tcPr>
          <w:p>
            <w:pPr>
              <w:spacing w:after="0"/>
              <w:rPr>
                <w:sz w:val="1"/>
                <w:szCs w:val="1"/>
                <w:color w:val="auto"/>
              </w:rPr>
            </w:pPr>
          </w:p>
        </w:tc>
      </w:tr>
      <w:tr>
        <w:trPr>
          <w:trHeight w:val="285"/>
        </w:trPr>
        <w:tc>
          <w:tcPr>
            <w:tcW w:w="4280" w:type="dxa"/>
            <w:vAlign w:val="bottom"/>
            <w:shd w:val="clear" w:color="auto" w:fill="D8D8D8"/>
          </w:tcPr>
          <w:p>
            <w:pPr>
              <w:spacing w:after="0"/>
              <w:rPr>
                <w:sz w:val="24"/>
                <w:szCs w:val="24"/>
                <w:color w:val="auto"/>
              </w:rPr>
            </w:pPr>
          </w:p>
        </w:tc>
        <w:tc>
          <w:tcPr>
            <w:tcW w:w="3860" w:type="dxa"/>
            <w:vAlign w:val="bottom"/>
            <w:gridSpan w:val="3"/>
            <w:shd w:val="clear" w:color="auto" w:fill="D8D8D8"/>
          </w:tcPr>
          <w:p>
            <w:pPr>
              <w:ind w:left="60"/>
              <w:spacing w:after="0"/>
              <w:rPr>
                <w:sz w:val="20"/>
                <w:szCs w:val="20"/>
                <w:color w:val="auto"/>
              </w:rPr>
            </w:pPr>
            <w:r>
              <w:rPr>
                <w:rFonts w:ascii="Arial" w:cs="Arial" w:eastAsia="Arial" w:hAnsi="Arial"/>
                <w:sz w:val="16"/>
                <w:szCs w:val="16"/>
                <w:color w:val="auto"/>
              </w:rPr>
              <w:t>Chevron has continued to publish our most recent</w:t>
            </w:r>
          </w:p>
        </w:tc>
        <w:tc>
          <w:tcPr>
            <w:tcW w:w="0" w:type="dxa"/>
            <w:vAlign w:val="bottom"/>
          </w:tcPr>
          <w:p>
            <w:pPr>
              <w:spacing w:after="0"/>
              <w:rPr>
                <w:sz w:val="1"/>
                <w:szCs w:val="1"/>
                <w:color w:val="auto"/>
              </w:rPr>
            </w:pPr>
          </w:p>
        </w:tc>
      </w:tr>
      <w:tr>
        <w:trPr>
          <w:trHeight w:val="189"/>
        </w:trPr>
        <w:tc>
          <w:tcPr>
            <w:tcW w:w="4280" w:type="dxa"/>
            <w:vAlign w:val="bottom"/>
            <w:shd w:val="clear" w:color="auto" w:fill="D8D8D8"/>
          </w:tcPr>
          <w:p>
            <w:pPr>
              <w:spacing w:after="0"/>
              <w:rPr>
                <w:sz w:val="16"/>
                <w:szCs w:val="16"/>
                <w:color w:val="auto"/>
              </w:rPr>
            </w:pPr>
          </w:p>
        </w:tc>
        <w:tc>
          <w:tcPr>
            <w:tcW w:w="3860" w:type="dxa"/>
            <w:vAlign w:val="bottom"/>
            <w:gridSpan w:val="3"/>
            <w:shd w:val="clear" w:color="auto" w:fill="D8D8D8"/>
          </w:tcPr>
          <w:p>
            <w:pPr>
              <w:ind w:left="60"/>
              <w:spacing w:after="0"/>
              <w:rPr>
                <w:sz w:val="20"/>
                <w:szCs w:val="20"/>
                <w:color w:val="auto"/>
              </w:rPr>
            </w:pPr>
            <w:r>
              <w:rPr>
                <w:rFonts w:ascii="Arial" w:cs="Arial" w:eastAsia="Arial" w:hAnsi="Arial"/>
                <w:sz w:val="16"/>
                <w:szCs w:val="16"/>
                <w:color w:val="auto"/>
              </w:rPr>
              <w:t>EEOC Report on our website and in our corporate</w:t>
            </w:r>
          </w:p>
        </w:tc>
        <w:tc>
          <w:tcPr>
            <w:tcW w:w="0" w:type="dxa"/>
            <w:vAlign w:val="bottom"/>
          </w:tcPr>
          <w:p>
            <w:pPr>
              <w:spacing w:after="0"/>
              <w:rPr>
                <w:sz w:val="1"/>
                <w:szCs w:val="1"/>
                <w:color w:val="auto"/>
              </w:rPr>
            </w:pPr>
          </w:p>
        </w:tc>
      </w:tr>
      <w:tr>
        <w:trPr>
          <w:trHeight w:val="217"/>
        </w:trPr>
        <w:tc>
          <w:tcPr>
            <w:tcW w:w="4280" w:type="dxa"/>
            <w:vAlign w:val="bottom"/>
            <w:shd w:val="clear" w:color="auto" w:fill="D8D8D8"/>
          </w:tcPr>
          <w:p>
            <w:pPr>
              <w:spacing w:after="0"/>
              <w:rPr>
                <w:sz w:val="18"/>
                <w:szCs w:val="18"/>
                <w:color w:val="auto"/>
              </w:rPr>
            </w:pPr>
          </w:p>
        </w:tc>
        <w:tc>
          <w:tcPr>
            <w:tcW w:w="3860" w:type="dxa"/>
            <w:vAlign w:val="bottom"/>
            <w:gridSpan w:val="3"/>
            <w:shd w:val="clear" w:color="auto" w:fill="D8D8D8"/>
          </w:tcPr>
          <w:p>
            <w:pPr>
              <w:ind w:left="60"/>
              <w:spacing w:after="0"/>
              <w:rPr>
                <w:sz w:val="20"/>
                <w:szCs w:val="20"/>
                <w:color w:val="auto"/>
              </w:rPr>
            </w:pPr>
            <w:r>
              <w:rPr>
                <w:rFonts w:ascii="Arial" w:cs="Arial" w:eastAsia="Arial" w:hAnsi="Arial"/>
                <w:sz w:val="16"/>
                <w:szCs w:val="16"/>
                <w:color w:val="auto"/>
              </w:rPr>
              <w:t>sustainability report.</w:t>
            </w:r>
          </w:p>
        </w:tc>
        <w:tc>
          <w:tcPr>
            <w:tcW w:w="0" w:type="dxa"/>
            <w:vAlign w:val="bottom"/>
          </w:tcPr>
          <w:p>
            <w:pPr>
              <w:spacing w:after="0"/>
              <w:rPr>
                <w:sz w:val="1"/>
                <w:szCs w:val="1"/>
                <w:color w:val="auto"/>
              </w:rPr>
            </w:pPr>
          </w:p>
        </w:tc>
      </w:tr>
    </w:tbl>
    <w:p>
      <w:pPr>
        <w:spacing w:after="0" w:line="144" w:lineRule="exact"/>
        <w:rPr>
          <w:sz w:val="20"/>
          <w:szCs w:val="20"/>
          <w:color w:val="auto"/>
        </w:rPr>
      </w:pPr>
    </w:p>
    <w:p>
      <w:pPr>
        <w:sectPr>
          <w:pgSz w:w="11900" w:h="16838" w:orient="portrait"/>
          <w:cols w:equalWidth="0" w:num="2">
            <w:col w:w="2980" w:space="20"/>
            <w:col w:w="8140"/>
          </w:cols>
          <w:pgMar w:left="320" w:top="455" w:right="439" w:bottom="1440" w:gutter="0" w:footer="0" w:header="0"/>
          <w:type w:val="continuous"/>
        </w:sectPr>
      </w:pPr>
    </w:p>
    <w:p>
      <w:pPr>
        <w:jc w:val="center"/>
        <w:ind w:right="-99"/>
        <w:spacing w:after="0"/>
        <w:rPr>
          <w:sz w:val="20"/>
          <w:szCs w:val="20"/>
          <w:color w:val="auto"/>
        </w:rPr>
      </w:pPr>
      <w:r>
        <w:rPr>
          <w:rFonts w:ascii="Arial" w:cs="Arial" w:eastAsia="Arial" w:hAnsi="Arial"/>
          <w:sz w:val="12"/>
          <w:szCs w:val="12"/>
          <w:color w:val="auto"/>
        </w:rPr>
        <w:t>Chevron Corporation – 2022 Proxy Statement</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1140"/>
          </w:cols>
          <w:pgMar w:left="320" w:top="455" w:right="439" w:bottom="1440" w:gutter="0" w:footer="0" w:header="0"/>
          <w:type w:val="continuous"/>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35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20" w:type="dxa"/>
            <w:vAlign w:val="bottom"/>
            <w:shd w:val="clear" w:color="auto" w:fill="0B2D71"/>
          </w:tcPr>
          <w:p>
            <w:pPr>
              <w:ind w:left="360"/>
              <w:spacing w:after="0"/>
              <w:rPr>
                <w:sz w:val="20"/>
                <w:szCs w:val="20"/>
                <w:color w:val="auto"/>
              </w:rPr>
            </w:pPr>
            <w:r>
              <w:rPr>
                <w:rFonts w:ascii="Arial" w:cs="Arial" w:eastAsia="Arial" w:hAnsi="Arial"/>
                <w:sz w:val="14"/>
                <w:szCs w:val="14"/>
                <w:b w:val="1"/>
                <w:bCs w:val="1"/>
                <w:color w:val="FFFFFF"/>
              </w:rPr>
              <w:t>Corporate governance</w:t>
            </w:r>
          </w:p>
        </w:tc>
      </w:tr>
      <w:tr>
        <w:trPr>
          <w:trHeight w:val="149"/>
        </w:trPr>
        <w:tc>
          <w:tcPr>
            <w:tcW w:w="3560" w:type="dxa"/>
            <w:vAlign w:val="bottom"/>
            <w:tcBorders>
              <w:bottom w:val="single" w:sz="8" w:color="auto"/>
            </w:tcBorders>
          </w:tcPr>
          <w:p>
            <w:pPr>
              <w:spacing w:after="0"/>
              <w:rPr>
                <w:sz w:val="12"/>
                <w:szCs w:val="12"/>
                <w:color w:val="auto"/>
              </w:rPr>
            </w:pPr>
          </w:p>
        </w:tc>
        <w:tc>
          <w:tcPr>
            <w:tcW w:w="3420" w:type="dxa"/>
            <w:vAlign w:val="bottom"/>
            <w:tcBorders>
              <w:bottom w:val="single" w:sz="8" w:color="auto"/>
            </w:tcBorders>
          </w:tcPr>
          <w:p>
            <w:pPr>
              <w:spacing w:after="0"/>
              <w:rPr>
                <w:sz w:val="12"/>
                <w:szCs w:val="12"/>
                <w:color w:val="auto"/>
              </w:rPr>
            </w:pPr>
          </w:p>
        </w:tc>
        <w:tc>
          <w:tcPr>
            <w:tcW w:w="4040" w:type="dxa"/>
            <w:vAlign w:val="bottom"/>
            <w:tcBorders>
              <w:bottom w:val="single" w:sz="8" w:color="auto"/>
            </w:tcBorders>
            <w:gridSpan w:val="2"/>
          </w:tcPr>
          <w:p>
            <w:pPr>
              <w:spacing w:after="0"/>
              <w:rPr>
                <w:sz w:val="12"/>
                <w:szCs w:val="12"/>
                <w:color w:val="auto"/>
              </w:rPr>
            </w:pPr>
          </w:p>
        </w:tc>
      </w:tr>
      <w:tr>
        <w:trPr>
          <w:trHeight w:val="168"/>
        </w:trPr>
        <w:tc>
          <w:tcPr>
            <w:tcW w:w="3560" w:type="dxa"/>
            <w:vAlign w:val="bottom"/>
            <w:shd w:val="clear" w:color="auto" w:fill="0066B2"/>
          </w:tcPr>
          <w:p>
            <w:pPr>
              <w:jc w:val="center"/>
              <w:ind w:right="439"/>
              <w:spacing w:after="0" w:line="168" w:lineRule="exact"/>
              <w:rPr>
                <w:sz w:val="20"/>
                <w:szCs w:val="20"/>
                <w:color w:val="auto"/>
              </w:rPr>
            </w:pPr>
            <w:r>
              <w:rPr>
                <w:rFonts w:ascii="Arial" w:cs="Arial" w:eastAsia="Arial" w:hAnsi="Arial"/>
                <w:sz w:val="16"/>
                <w:szCs w:val="16"/>
                <w:b w:val="1"/>
                <w:bCs w:val="1"/>
                <w:color w:val="FFFFFF"/>
              </w:rPr>
              <w:t>Key stockholder issues and 2021</w:t>
            </w:r>
          </w:p>
        </w:tc>
        <w:tc>
          <w:tcPr>
            <w:tcW w:w="3420" w:type="dxa"/>
            <w:vAlign w:val="bottom"/>
            <w:shd w:val="clear" w:color="auto" w:fill="0066B2"/>
          </w:tcPr>
          <w:p>
            <w:pPr>
              <w:jc w:val="center"/>
              <w:ind w:right="239"/>
              <w:spacing w:after="0" w:line="168" w:lineRule="exact"/>
              <w:rPr>
                <w:sz w:val="20"/>
                <w:szCs w:val="20"/>
                <w:color w:val="auto"/>
              </w:rPr>
            </w:pPr>
            <w:r>
              <w:rPr>
                <w:rFonts w:ascii="Arial" w:cs="Arial" w:eastAsia="Arial" w:hAnsi="Arial"/>
                <w:sz w:val="16"/>
                <w:szCs w:val="16"/>
                <w:b w:val="1"/>
                <w:bCs w:val="1"/>
                <w:color w:val="FFFFFF"/>
              </w:rPr>
              <w:t>What we heard from</w:t>
            </w:r>
          </w:p>
        </w:tc>
        <w:tc>
          <w:tcPr>
            <w:tcW w:w="4040" w:type="dxa"/>
            <w:vAlign w:val="bottom"/>
            <w:gridSpan w:val="2"/>
            <w:shd w:val="clear" w:color="auto" w:fill="0066B2"/>
          </w:tcPr>
          <w:p>
            <w:pPr>
              <w:jc w:val="center"/>
              <w:ind w:left="99"/>
              <w:spacing w:after="0" w:line="168" w:lineRule="exact"/>
              <w:rPr>
                <w:sz w:val="20"/>
                <w:szCs w:val="20"/>
                <w:color w:val="auto"/>
              </w:rPr>
            </w:pPr>
            <w:r>
              <w:rPr>
                <w:rFonts w:ascii="Arial" w:cs="Arial" w:eastAsia="Arial" w:hAnsi="Arial"/>
                <w:sz w:val="16"/>
                <w:szCs w:val="16"/>
                <w:b w:val="1"/>
                <w:bCs w:val="1"/>
                <w:color w:val="FFFFFF"/>
              </w:rPr>
              <w:t>Our board’s perspective &amp;</w:t>
            </w:r>
          </w:p>
        </w:tc>
      </w:tr>
      <w:tr>
        <w:trPr>
          <w:trHeight w:val="217"/>
        </w:trPr>
        <w:tc>
          <w:tcPr>
            <w:tcW w:w="3560" w:type="dxa"/>
            <w:vAlign w:val="bottom"/>
            <w:shd w:val="clear" w:color="auto" w:fill="0066B2"/>
          </w:tcPr>
          <w:p>
            <w:pPr>
              <w:jc w:val="center"/>
              <w:ind w:right="459"/>
              <w:spacing w:after="0"/>
              <w:rPr>
                <w:sz w:val="20"/>
                <w:szCs w:val="20"/>
                <w:color w:val="auto"/>
              </w:rPr>
            </w:pPr>
            <w:r>
              <w:rPr>
                <w:rFonts w:ascii="Arial" w:cs="Arial" w:eastAsia="Arial" w:hAnsi="Arial"/>
                <w:sz w:val="16"/>
                <w:szCs w:val="16"/>
                <w:b w:val="1"/>
                <w:bCs w:val="1"/>
                <w:color w:val="FFFFFF"/>
              </w:rPr>
              <w:t>proxy proposals</w:t>
            </w:r>
          </w:p>
        </w:tc>
        <w:tc>
          <w:tcPr>
            <w:tcW w:w="3420" w:type="dxa"/>
            <w:vAlign w:val="bottom"/>
            <w:shd w:val="clear" w:color="auto" w:fill="0066B2"/>
          </w:tcPr>
          <w:p>
            <w:pPr>
              <w:jc w:val="center"/>
              <w:ind w:right="259"/>
              <w:spacing w:after="0"/>
              <w:rPr>
                <w:sz w:val="20"/>
                <w:szCs w:val="20"/>
                <w:color w:val="auto"/>
              </w:rPr>
            </w:pPr>
            <w:r>
              <w:rPr>
                <w:rFonts w:ascii="Arial" w:cs="Arial" w:eastAsia="Arial" w:hAnsi="Arial"/>
                <w:sz w:val="16"/>
                <w:szCs w:val="16"/>
                <w:b w:val="1"/>
                <w:bCs w:val="1"/>
                <w:color w:val="FFFFFF"/>
              </w:rPr>
              <w:t>stockholders</w:t>
            </w:r>
          </w:p>
        </w:tc>
        <w:tc>
          <w:tcPr>
            <w:tcW w:w="4040" w:type="dxa"/>
            <w:vAlign w:val="bottom"/>
            <w:gridSpan w:val="2"/>
            <w:shd w:val="clear" w:color="auto" w:fill="0066B2"/>
          </w:tcPr>
          <w:p>
            <w:pPr>
              <w:jc w:val="center"/>
              <w:ind w:left="119"/>
              <w:spacing w:after="0"/>
              <w:rPr>
                <w:sz w:val="20"/>
                <w:szCs w:val="20"/>
                <w:color w:val="auto"/>
              </w:rPr>
            </w:pPr>
            <w:r>
              <w:rPr>
                <w:rFonts w:ascii="Arial" w:cs="Arial" w:eastAsia="Arial" w:hAnsi="Arial"/>
                <w:sz w:val="16"/>
                <w:szCs w:val="16"/>
                <w:b w:val="1"/>
                <w:bCs w:val="1"/>
                <w:color w:val="FFFFFF"/>
              </w:rPr>
              <w:t>what we did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-256540</wp:posOffset>
            </wp:positionV>
            <wp:extent cx="7003415" cy="35058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03415" cy="350583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3" w:lineRule="exact"/>
        <w:rPr>
          <w:sz w:val="20"/>
          <w:szCs w:val="20"/>
          <w:color w:val="auto"/>
        </w:rPr>
      </w:pPr>
    </w:p>
    <w:p>
      <w:pPr>
        <w:ind w:left="280"/>
        <w:spacing w:after="0"/>
        <w:tabs>
          <w:tab w:leader="none" w:pos="3200" w:val="left"/>
        </w:tabs>
        <w:rPr>
          <w:sz w:val="20"/>
          <w:szCs w:val="20"/>
          <w:color w:val="auto"/>
        </w:rPr>
      </w:pPr>
      <w:r>
        <w:rPr>
          <w:rFonts w:ascii="Arial" w:cs="Arial" w:eastAsia="Arial" w:hAnsi="Arial"/>
          <w:sz w:val="16"/>
          <w:szCs w:val="16"/>
          <w:b w:val="1"/>
          <w:bCs w:val="1"/>
          <w:color w:val="auto"/>
        </w:rPr>
        <w:t>Board Composition and Skills</w:t>
      </w:r>
      <w:r>
        <w:rPr>
          <w:sz w:val="20"/>
          <w:szCs w:val="20"/>
          <w:color w:val="auto"/>
        </w:rPr>
        <w:tab/>
      </w:r>
      <w:r>
        <w:rPr>
          <w:rFonts w:ascii="Arial" w:cs="Arial" w:eastAsia="Arial" w:hAnsi="Arial"/>
          <w:sz w:val="16"/>
          <w:szCs w:val="16"/>
          <w:color w:val="auto"/>
        </w:rPr>
        <w:t>Stockholders are increasingly interested in</w:t>
      </w:r>
    </w:p>
    <w:p>
      <w:pPr>
        <w:spacing w:after="0" w:line="21"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understanding how the skills of our Board can help</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Chevron navigate in the energy transition.</w:t>
      </w:r>
    </w:p>
    <w:p>
      <w:pPr>
        <w:spacing w:after="0" w:line="111" w:lineRule="exact"/>
        <w:rPr>
          <w:sz w:val="20"/>
          <w:szCs w:val="20"/>
          <w:color w:val="auto"/>
        </w:rPr>
      </w:pPr>
    </w:p>
    <w:p>
      <w:pPr>
        <w:ind w:left="3220"/>
        <w:spacing w:after="0" w:line="266" w:lineRule="auto"/>
        <w:rPr>
          <w:sz w:val="20"/>
          <w:szCs w:val="20"/>
          <w:color w:val="auto"/>
        </w:rPr>
      </w:pPr>
      <w:r>
        <w:rPr>
          <w:rFonts w:ascii="Arial" w:cs="Arial" w:eastAsia="Arial" w:hAnsi="Arial"/>
          <w:sz w:val="16"/>
          <w:szCs w:val="16"/>
          <w:color w:val="auto"/>
        </w:rPr>
        <w:t>Stockholders want assurance that our Directors have the time and capacity to support the Company in challenging times.</w:t>
      </w:r>
    </w:p>
    <w:p>
      <w:pPr>
        <w:spacing w:after="0" w:line="20" w:lineRule="exact"/>
        <w:rPr>
          <w:sz w:val="20"/>
          <w:szCs w:val="20"/>
          <w:color w:val="auto"/>
        </w:rPr>
      </w:pPr>
      <w:r>
        <w:rPr>
          <w:sz w:val="20"/>
          <w:szCs w:val="20"/>
          <w:color w:val="auto"/>
        </w:rPr>
        <w:br w:type="column"/>
      </w:r>
    </w:p>
    <w:p>
      <w:pPr>
        <w:ind w:right="140"/>
        <w:spacing w:after="0" w:line="256" w:lineRule="auto"/>
        <w:rPr>
          <w:sz w:val="20"/>
          <w:szCs w:val="20"/>
          <w:color w:val="auto"/>
        </w:rPr>
      </w:pPr>
      <w:r>
        <w:rPr>
          <w:rFonts w:ascii="Arial" w:cs="Arial" w:eastAsia="Arial" w:hAnsi="Arial"/>
          <w:sz w:val="16"/>
          <w:szCs w:val="16"/>
          <w:color w:val="auto"/>
        </w:rPr>
        <w:t>We have expanded our skills matrix to show where our Directors have experience in leading business transformation. The Board recognizes that this capability is critical to the Board’s ability to provide effective oversight of the Company and its strategy.</w:t>
      </w:r>
    </w:p>
    <w:p>
      <w:pPr>
        <w:spacing w:after="0" w:line="153"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Board has provided greater disclosure about how the Governance Committee assesses the composition of the Board and evaluates the effectiveness of: the Board as a whole, each Board Committee, and individual Directors, including how the Governance Committee assesses Director time commitments and limits on public company directorships, to ensure that the nominees and Board as a whole meet the requirements and needs of the Company.</w:t>
      </w:r>
    </w:p>
    <w:p>
      <w:pPr>
        <w:spacing w:after="0" w:line="135" w:lineRule="exact"/>
        <w:rPr>
          <w:sz w:val="20"/>
          <w:szCs w:val="20"/>
          <w:color w:val="auto"/>
        </w:rPr>
      </w:pPr>
    </w:p>
    <w:p>
      <w:pPr>
        <w:sectPr>
          <w:pgSz w:w="11900" w:h="16838" w:orient="portrait"/>
          <w:cols w:equalWidth="0" w:num="2">
            <w:col w:w="7020" w:space="320"/>
            <w:col w:w="3800"/>
          </w:cols>
          <w:pgMar w:left="320" w:top="455" w:right="439" w:bottom="1440" w:gutter="0" w:footer="0" w:header="0"/>
          <w:type w:val="continuous"/>
        </w:sectPr>
      </w:pPr>
    </w:p>
    <w:p>
      <w:pPr>
        <w:jc w:val="both"/>
        <w:ind w:left="3220" w:hanging="2947"/>
        <w:spacing w:after="0" w:line="266" w:lineRule="auto"/>
        <w:tabs>
          <w:tab w:leader="none" w:pos="3200" w:val="left"/>
        </w:tabs>
        <w:rPr>
          <w:sz w:val="20"/>
          <w:szCs w:val="20"/>
          <w:color w:val="auto"/>
        </w:rPr>
      </w:pPr>
      <w:r>
        <w:rPr>
          <w:rFonts w:ascii="Arial" w:cs="Arial" w:eastAsia="Arial" w:hAnsi="Arial"/>
          <w:sz w:val="16"/>
          <w:szCs w:val="16"/>
          <w:b w:val="1"/>
          <w:bCs w:val="1"/>
          <w:color w:val="auto"/>
        </w:rPr>
        <w:t>Chevron Incentive Plan Scorecard</w:t>
      </w:r>
      <w:r>
        <w:rPr>
          <w:sz w:val="20"/>
          <w:szCs w:val="20"/>
          <w:color w:val="auto"/>
        </w:rPr>
        <w:tab/>
      </w:r>
      <w:r>
        <w:rPr>
          <w:rFonts w:ascii="Arial" w:cs="Arial" w:eastAsia="Arial" w:hAnsi="Arial"/>
          <w:sz w:val="16"/>
          <w:szCs w:val="16"/>
          <w:color w:val="auto"/>
        </w:rPr>
        <w:t>Stockholders expressed interest in learning how the Company incentivizes progress on Chevron’s energy transition strategy.</w:t>
      </w:r>
    </w:p>
    <w:p>
      <w:pPr>
        <w:spacing w:after="0" w:line="20" w:lineRule="exact"/>
        <w:rPr>
          <w:sz w:val="20"/>
          <w:szCs w:val="20"/>
          <w:color w:val="auto"/>
        </w:rPr>
      </w:pPr>
      <w:r>
        <w:rPr>
          <w:sz w:val="20"/>
          <w:szCs w:val="20"/>
          <w:color w:val="auto"/>
        </w:rPr>
        <w:br w:type="column"/>
      </w:r>
    </w:p>
    <w:p>
      <w:pPr>
        <w:ind w:right="80"/>
        <w:spacing w:after="0" w:line="250" w:lineRule="auto"/>
        <w:rPr>
          <w:sz w:val="20"/>
          <w:szCs w:val="20"/>
          <w:color w:val="auto"/>
        </w:rPr>
      </w:pPr>
      <w:r>
        <w:rPr>
          <w:rFonts w:ascii="Arial" w:cs="Arial" w:eastAsia="Arial" w:hAnsi="Arial"/>
          <w:sz w:val="16"/>
          <w:szCs w:val="16"/>
          <w:color w:val="auto"/>
        </w:rPr>
        <w:t>To ensure accountability for our efforts to advance a lower carbon future, we modified the 2021 Chevron Incentive Plan (“CIP”) scorecard to include an “Energy Transition” category. Performance will be measured on progress in achieving our GHG metrics, growing renewable energy and carbon offsets, and investing in low-carbon technologies. The scorecard performance outcomes impact CIP payout for our eligible employees – approximately 37,000 at year-end 2021.</w:t>
      </w:r>
    </w:p>
    <w:p>
      <w:pPr>
        <w:spacing w:after="0" w:line="132" w:lineRule="exact"/>
        <w:rPr>
          <w:sz w:val="20"/>
          <w:szCs w:val="20"/>
          <w:color w:val="auto"/>
        </w:rPr>
      </w:pPr>
    </w:p>
    <w:p>
      <w:pPr>
        <w:sectPr>
          <w:pgSz w:w="11900" w:h="16838" w:orient="portrait"/>
          <w:cols w:equalWidth="0" w:num="2">
            <w:col w:w="7000" w:space="340"/>
            <w:col w:w="3800"/>
          </w:cols>
          <w:pgMar w:left="320" w:top="455" w:right="439" w:bottom="1440" w:gutter="0" w:footer="0" w:header="0"/>
          <w:type w:val="continuous"/>
        </w:sectPr>
      </w:pPr>
    </w:p>
    <w:p>
      <w:pPr>
        <w:jc w:val="center"/>
        <w:ind w:right="-99"/>
        <w:spacing w:after="0"/>
        <w:rPr>
          <w:sz w:val="20"/>
          <w:szCs w:val="20"/>
          <w:color w:val="auto"/>
        </w:rPr>
      </w:pPr>
      <w:r>
        <w:rPr>
          <w:rFonts w:ascii="Arial" w:cs="Arial" w:eastAsia="Arial" w:hAnsi="Arial"/>
          <w:sz w:val="12"/>
          <w:szCs w:val="12"/>
          <w:color w:val="auto"/>
        </w:rPr>
        <w:t>Chevron Corporation – 2022 Proxy Statement</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140"/>
          </w:cols>
          <w:pgMar w:left="320" w:top="455" w:right="439" w:bottom="1440" w:gutter="0" w:footer="0" w:header="0"/>
          <w:type w:val="continuous"/>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37310" cy="145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37310" cy="145415"/>
                    </a:xfrm>
                    <a:prstGeom prst="rect">
                      <a:avLst/>
                    </a:prstGeom>
                    <a:noFill/>
                  </pic:spPr>
                </pic:pic>
              </a:graphicData>
            </a:graphic>
          </wp:anchor>
        </w:drawing>
      </w:r>
    </w:p>
    <w:p>
      <w:pPr>
        <w:spacing w:after="0" w:line="33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FFFFFF"/>
        </w:rPr>
        <w:t>Corporate governance</w:t>
      </w:r>
    </w:p>
    <w:p>
      <w:pPr>
        <w:spacing w:after="0" w:line="156"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0B2D71"/>
        </w:rPr>
        <w:t>Board nominating and governance committee report</w:t>
      </w:r>
    </w:p>
    <w:p>
      <w:pPr>
        <w:sectPr>
          <w:pgSz w:w="11900" w:h="16838" w:orient="portrait"/>
          <w:cols w:equalWidth="0" w:num="1">
            <w:col w:w="11120"/>
          </w:cols>
          <w:pgMar w:left="320" w:top="455" w:right="459" w:bottom="1440" w:gutter="0" w:footer="0" w:header="0"/>
        </w:sectPr>
      </w:pPr>
    </w:p>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Board Nominating and Governance Committee (“Committee”) 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responsible for recommending to the Board the qualifications for Board</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membership, identifying, assessing, and recommending qualified Director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candidates for the Board’s consideration, assisting the Board in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organizing itself to discharge its duties and responsibilities, and providing</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oversight of Chevron’s corporate governance practices and policies,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including an effective process for stockholders to communicate with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Board. The Committee is composed entirely of independent Directors as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defined by the New York Stock Exchange Corporate Governance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Standards and operates under a written charter. The Committee’s charter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is available on Chevron’s website at</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www.chevron.com/investors/corporate-governance/board-nominating-</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governance and is available in print upon request.</w:t>
      </w:r>
    </w:p>
    <w:p>
      <w:pPr>
        <w:spacing w:after="0" w:line="97"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The Committee’s role in and process for identifying and evaluating prospective Director nominees, including nominees recommended by stockholders, is described in the “Election of Directors” section of this Proxy Statement. In addition, the Committee makes recommendations to the Board concerning Director independence, Board Committee assignments, Committee Chairs, Audit Committee “financial experts,” and the financial literacy of Audit Committee members. The Committee also reviews the process and the results of the annual performance evaluations of the Board, Board Committees, and individual Directors.</w:t>
      </w:r>
    </w:p>
    <w:p>
      <w:pPr>
        <w:spacing w:after="0" w:line="77"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The Committee regularly reviews trends and recommends best practices, initiates improvements, and plays a leadership role in maintaining Chevron’s strong corporate governance structures and practices. Among the practices the Committee believes demonstrate the Company’s commitment to strong corporate governance are the following:</w:t>
      </w:r>
    </w:p>
    <w:p>
      <w:pPr>
        <w:spacing w:after="0" w:line="85" w:lineRule="exact"/>
        <w:rPr>
          <w:sz w:val="20"/>
          <w:szCs w:val="20"/>
          <w:color w:val="auto"/>
        </w:rPr>
      </w:pPr>
    </w:p>
    <w:p>
      <w:pPr>
        <w:ind w:left="300" w:hanging="184"/>
        <w:spacing w:after="0"/>
        <w:tabs>
          <w:tab w:leader="none" w:pos="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Annual election of all Directors;</w:t>
      </w:r>
    </w:p>
    <w:p>
      <w:pPr>
        <w:spacing w:after="0" w:line="126" w:lineRule="exact"/>
        <w:rPr>
          <w:rFonts w:ascii="Arial" w:cs="Arial" w:eastAsia="Arial" w:hAnsi="Arial"/>
          <w:sz w:val="16"/>
          <w:szCs w:val="16"/>
          <w:color w:val="auto"/>
        </w:rPr>
      </w:pPr>
    </w:p>
    <w:p>
      <w:pPr>
        <w:ind w:left="300" w:hanging="184"/>
        <w:spacing w:after="0"/>
        <w:tabs>
          <w:tab w:leader="none" w:pos="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Supermajority of independent Directors;</w:t>
      </w:r>
    </w:p>
    <w:p>
      <w:pPr>
        <w:spacing w:after="0" w:line="126" w:lineRule="exact"/>
        <w:rPr>
          <w:rFonts w:ascii="Arial" w:cs="Arial" w:eastAsia="Arial" w:hAnsi="Arial"/>
          <w:sz w:val="16"/>
          <w:szCs w:val="16"/>
          <w:color w:val="auto"/>
        </w:rPr>
      </w:pPr>
    </w:p>
    <w:p>
      <w:pPr>
        <w:ind w:left="300" w:right="420" w:hanging="184"/>
        <w:spacing w:after="0" w:line="286" w:lineRule="auto"/>
        <w:tabs>
          <w:tab w:leader="none" w:pos="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Majority vote standard for the election of Directors in uncontested elections, coupled with a Director resignation policy;</w:t>
      </w:r>
    </w:p>
    <w:p>
      <w:pPr>
        <w:spacing w:after="0" w:line="61" w:lineRule="exact"/>
        <w:rPr>
          <w:rFonts w:ascii="Arial" w:cs="Arial" w:eastAsia="Arial" w:hAnsi="Arial"/>
          <w:sz w:val="16"/>
          <w:szCs w:val="16"/>
          <w:color w:val="auto"/>
        </w:rPr>
      </w:pPr>
    </w:p>
    <w:p>
      <w:pPr>
        <w:ind w:left="300" w:right="700" w:hanging="184"/>
        <w:spacing w:after="0" w:line="286" w:lineRule="auto"/>
        <w:tabs>
          <w:tab w:leader="none" w:pos="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Annual election of the Chairman of the Board by independent Directors;</w:t>
      </w:r>
    </w:p>
    <w:p>
      <w:pPr>
        <w:spacing w:after="0" w:line="61" w:lineRule="exact"/>
        <w:rPr>
          <w:rFonts w:ascii="Arial" w:cs="Arial" w:eastAsia="Arial" w:hAnsi="Arial"/>
          <w:sz w:val="16"/>
          <w:szCs w:val="16"/>
          <w:color w:val="auto"/>
        </w:rPr>
      </w:pPr>
    </w:p>
    <w:p>
      <w:pPr>
        <w:ind w:left="300" w:right="320" w:hanging="184"/>
        <w:spacing w:after="0" w:line="286" w:lineRule="auto"/>
        <w:tabs>
          <w:tab w:leader="none" w:pos="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Annual election of an independent Lead Director by independent Directors when the Chief Executive Officer is elected as Chairman;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66" w:right="120" w:hanging="166"/>
        <w:spacing w:after="0" w:line="286" w:lineRule="auto"/>
        <w:tabs>
          <w:tab w:leader="none" w:pos="166"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Annual performance assessment of the Board, Board Committees, and individual Directors;</w:t>
      </w:r>
    </w:p>
    <w:p>
      <w:pPr>
        <w:spacing w:after="0" w:line="61" w:lineRule="exact"/>
        <w:rPr>
          <w:rFonts w:ascii="Arial" w:cs="Arial" w:eastAsia="Arial" w:hAnsi="Arial"/>
          <w:sz w:val="16"/>
          <w:szCs w:val="16"/>
          <w:color w:val="auto"/>
        </w:rPr>
      </w:pPr>
    </w:p>
    <w:p>
      <w:pPr>
        <w:ind w:left="166" w:hanging="166"/>
        <w:spacing w:after="0"/>
        <w:tabs>
          <w:tab w:leader="none" w:pos="166" w:val="left"/>
        </w:tabs>
        <w:numPr>
          <w:ilvl w:val="0"/>
          <w:numId w:val="51"/>
        </w:numPr>
        <w:rPr>
          <w:rFonts w:ascii="Arial" w:cs="Arial" w:eastAsia="Arial" w:hAnsi="Arial"/>
          <w:sz w:val="16"/>
          <w:szCs w:val="16"/>
          <w:color w:val="auto"/>
        </w:rPr>
      </w:pPr>
      <w:r>
        <w:rPr>
          <w:rFonts w:ascii="Arial" w:cs="Arial" w:eastAsia="Arial" w:hAnsi="Arial"/>
          <w:sz w:val="16"/>
          <w:szCs w:val="16"/>
          <w:color w:val="auto"/>
        </w:rPr>
        <w:t>Director retirement policy;</w:t>
      </w:r>
    </w:p>
    <w:p>
      <w:pPr>
        <w:spacing w:after="0" w:line="126" w:lineRule="exact"/>
        <w:rPr>
          <w:rFonts w:ascii="Arial" w:cs="Arial" w:eastAsia="Arial" w:hAnsi="Arial"/>
          <w:sz w:val="16"/>
          <w:szCs w:val="16"/>
          <w:color w:val="auto"/>
        </w:rPr>
      </w:pPr>
    </w:p>
    <w:p>
      <w:pPr>
        <w:ind w:left="166" w:hanging="166"/>
        <w:spacing w:after="0"/>
        <w:tabs>
          <w:tab w:leader="none" w:pos="166" w:val="left"/>
        </w:tabs>
        <w:numPr>
          <w:ilvl w:val="0"/>
          <w:numId w:val="51"/>
        </w:numPr>
        <w:rPr>
          <w:rFonts w:ascii="Arial" w:cs="Arial" w:eastAsia="Arial" w:hAnsi="Arial"/>
          <w:sz w:val="16"/>
          <w:szCs w:val="16"/>
          <w:color w:val="auto"/>
        </w:rPr>
      </w:pPr>
      <w:r>
        <w:rPr>
          <w:rFonts w:ascii="Arial" w:cs="Arial" w:eastAsia="Arial" w:hAnsi="Arial"/>
          <w:sz w:val="16"/>
          <w:szCs w:val="16"/>
          <w:color w:val="auto"/>
        </w:rPr>
        <w:t>Director and executive officer succession planning;</w:t>
      </w:r>
    </w:p>
    <w:p>
      <w:pPr>
        <w:spacing w:after="0" w:line="126" w:lineRule="exact"/>
        <w:rPr>
          <w:rFonts w:ascii="Arial" w:cs="Arial" w:eastAsia="Arial" w:hAnsi="Arial"/>
          <w:sz w:val="16"/>
          <w:szCs w:val="16"/>
          <w:color w:val="auto"/>
        </w:rPr>
      </w:pPr>
    </w:p>
    <w:p>
      <w:pPr>
        <w:ind w:left="166" w:hanging="166"/>
        <w:spacing w:after="0"/>
        <w:tabs>
          <w:tab w:leader="none" w:pos="166"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Confidential stockholder voting policy;</w:t>
      </w:r>
    </w:p>
    <w:p>
      <w:pPr>
        <w:spacing w:after="0" w:line="126" w:lineRule="exact"/>
        <w:rPr>
          <w:rFonts w:ascii="Arial" w:cs="Arial" w:eastAsia="Arial" w:hAnsi="Arial"/>
          <w:sz w:val="16"/>
          <w:szCs w:val="16"/>
          <w:color w:val="auto"/>
        </w:rPr>
      </w:pPr>
    </w:p>
    <w:p>
      <w:pPr>
        <w:ind w:left="166" w:right="780" w:hanging="166"/>
        <w:spacing w:after="0" w:line="286" w:lineRule="auto"/>
        <w:tabs>
          <w:tab w:leader="none" w:pos="166" w:val="left"/>
        </w:tabs>
        <w:numPr>
          <w:ilvl w:val="0"/>
          <w:numId w:val="51"/>
        </w:numPr>
        <w:rPr>
          <w:rFonts w:ascii="Arial" w:cs="Arial" w:eastAsia="Arial" w:hAnsi="Arial"/>
          <w:sz w:val="16"/>
          <w:szCs w:val="16"/>
          <w:color w:val="auto"/>
        </w:rPr>
      </w:pPr>
      <w:r>
        <w:rPr>
          <w:rFonts w:ascii="Arial" w:cs="Arial" w:eastAsia="Arial" w:hAnsi="Arial"/>
          <w:sz w:val="16"/>
          <w:szCs w:val="16"/>
          <w:color w:val="auto"/>
        </w:rPr>
        <w:t>Robust business conduct and ethics code for all Directors and employees;</w:t>
      </w:r>
    </w:p>
    <w:p>
      <w:pPr>
        <w:spacing w:after="0" w:line="61" w:lineRule="exact"/>
        <w:rPr>
          <w:rFonts w:ascii="Arial" w:cs="Arial" w:eastAsia="Arial" w:hAnsi="Arial"/>
          <w:sz w:val="16"/>
          <w:szCs w:val="16"/>
          <w:color w:val="auto"/>
        </w:rPr>
      </w:pPr>
    </w:p>
    <w:p>
      <w:pPr>
        <w:ind w:left="166" w:hanging="166"/>
        <w:spacing w:after="0" w:line="286" w:lineRule="auto"/>
        <w:tabs>
          <w:tab w:leader="none" w:pos="166" w:val="left"/>
        </w:tabs>
        <w:numPr>
          <w:ilvl w:val="0"/>
          <w:numId w:val="51"/>
        </w:numPr>
        <w:rPr>
          <w:rFonts w:ascii="Arial" w:cs="Arial" w:eastAsia="Arial" w:hAnsi="Arial"/>
          <w:sz w:val="16"/>
          <w:szCs w:val="16"/>
          <w:color w:val="auto"/>
        </w:rPr>
      </w:pPr>
      <w:r>
        <w:rPr>
          <w:rFonts w:ascii="Arial" w:cs="Arial" w:eastAsia="Arial" w:hAnsi="Arial"/>
          <w:sz w:val="16"/>
          <w:szCs w:val="16"/>
          <w:color w:val="auto"/>
        </w:rPr>
        <w:t>Director orientation program for new Directors and ongoing education for Directors;</w:t>
      </w:r>
    </w:p>
    <w:p>
      <w:pPr>
        <w:spacing w:after="0" w:line="61" w:lineRule="exact"/>
        <w:rPr>
          <w:rFonts w:ascii="Arial" w:cs="Arial" w:eastAsia="Arial" w:hAnsi="Arial"/>
          <w:sz w:val="16"/>
          <w:szCs w:val="16"/>
          <w:color w:val="auto"/>
        </w:rPr>
      </w:pPr>
    </w:p>
    <w:p>
      <w:pPr>
        <w:ind w:left="166" w:right="600" w:hanging="166"/>
        <w:spacing w:after="0" w:line="286" w:lineRule="auto"/>
        <w:tabs>
          <w:tab w:leader="none" w:pos="166" w:val="left"/>
        </w:tabs>
        <w:numPr>
          <w:ilvl w:val="0"/>
          <w:numId w:val="51"/>
        </w:numPr>
        <w:rPr>
          <w:rFonts w:ascii="Arial" w:cs="Arial" w:eastAsia="Arial" w:hAnsi="Arial"/>
          <w:sz w:val="16"/>
          <w:szCs w:val="16"/>
          <w:color w:val="auto"/>
        </w:rPr>
      </w:pPr>
      <w:r>
        <w:rPr>
          <w:rFonts w:ascii="Arial" w:cs="Arial" w:eastAsia="Arial" w:hAnsi="Arial"/>
          <w:sz w:val="16"/>
          <w:szCs w:val="16"/>
          <w:color w:val="auto"/>
        </w:rPr>
        <w:t>Minimum stock ownership guidelines for Directors and executive officers;</w:t>
      </w:r>
    </w:p>
    <w:p>
      <w:pPr>
        <w:spacing w:after="0" w:line="61" w:lineRule="exact"/>
        <w:rPr>
          <w:rFonts w:ascii="Arial" w:cs="Arial" w:eastAsia="Arial" w:hAnsi="Arial"/>
          <w:sz w:val="16"/>
          <w:szCs w:val="16"/>
          <w:color w:val="auto"/>
        </w:rPr>
      </w:pPr>
    </w:p>
    <w:p>
      <w:pPr>
        <w:ind w:left="166" w:right="220" w:hanging="166"/>
        <w:spacing w:after="0" w:line="286" w:lineRule="auto"/>
        <w:tabs>
          <w:tab w:leader="none" w:pos="166"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Review and approval or ratification of “related person transactions” as defined by SEC rules;</w:t>
      </w:r>
    </w:p>
    <w:p>
      <w:pPr>
        <w:spacing w:after="0" w:line="61" w:lineRule="exact"/>
        <w:rPr>
          <w:rFonts w:ascii="Arial" w:cs="Arial" w:eastAsia="Arial" w:hAnsi="Arial"/>
          <w:sz w:val="16"/>
          <w:szCs w:val="16"/>
          <w:color w:val="auto"/>
        </w:rPr>
      </w:pPr>
    </w:p>
    <w:p>
      <w:pPr>
        <w:ind w:left="166" w:hanging="166"/>
        <w:spacing w:after="0"/>
        <w:tabs>
          <w:tab w:leader="none" w:pos="166" w:val="left"/>
        </w:tabs>
        <w:numPr>
          <w:ilvl w:val="0"/>
          <w:numId w:val="51"/>
        </w:numPr>
        <w:rPr>
          <w:rFonts w:ascii="Arial" w:cs="Arial" w:eastAsia="Arial" w:hAnsi="Arial"/>
          <w:sz w:val="16"/>
          <w:szCs w:val="16"/>
          <w:color w:val="auto"/>
        </w:rPr>
      </w:pPr>
      <w:r>
        <w:rPr>
          <w:rFonts w:ascii="Arial" w:cs="Arial" w:eastAsia="Arial" w:hAnsi="Arial"/>
          <w:sz w:val="16"/>
          <w:szCs w:val="16"/>
          <w:color w:val="auto"/>
        </w:rPr>
        <w:t>Policy to obtain stockholder approval of any stockholder rights plan;</w:t>
      </w:r>
    </w:p>
    <w:p>
      <w:pPr>
        <w:spacing w:after="0" w:line="126" w:lineRule="exact"/>
        <w:rPr>
          <w:rFonts w:ascii="Arial" w:cs="Arial" w:eastAsia="Arial" w:hAnsi="Arial"/>
          <w:sz w:val="16"/>
          <w:szCs w:val="16"/>
          <w:color w:val="auto"/>
        </w:rPr>
      </w:pPr>
    </w:p>
    <w:p>
      <w:pPr>
        <w:ind w:left="166" w:hanging="166"/>
        <w:spacing w:after="0"/>
        <w:tabs>
          <w:tab w:leader="none" w:pos="166"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Proxy access;</w:t>
      </w:r>
    </w:p>
    <w:p>
      <w:pPr>
        <w:spacing w:after="0" w:line="126" w:lineRule="exact"/>
        <w:rPr>
          <w:rFonts w:ascii="Arial" w:cs="Arial" w:eastAsia="Arial" w:hAnsi="Arial"/>
          <w:sz w:val="16"/>
          <w:szCs w:val="16"/>
          <w:color w:val="auto"/>
        </w:rPr>
      </w:pPr>
    </w:p>
    <w:p>
      <w:pPr>
        <w:ind w:left="166" w:hanging="166"/>
        <w:spacing w:after="0"/>
        <w:tabs>
          <w:tab w:leader="none" w:pos="166" w:val="left"/>
        </w:tabs>
        <w:numPr>
          <w:ilvl w:val="0"/>
          <w:numId w:val="51"/>
        </w:numPr>
        <w:rPr>
          <w:rFonts w:ascii="Arial" w:cs="Arial" w:eastAsia="Arial" w:hAnsi="Arial"/>
          <w:sz w:val="16"/>
          <w:szCs w:val="16"/>
          <w:color w:val="auto"/>
        </w:rPr>
      </w:pPr>
      <w:r>
        <w:rPr>
          <w:rFonts w:ascii="Arial" w:cs="Arial" w:eastAsia="Arial" w:hAnsi="Arial"/>
          <w:sz w:val="16"/>
          <w:szCs w:val="16"/>
          <w:color w:val="auto"/>
        </w:rPr>
        <w:t>One vote for each common stock;</w:t>
      </w:r>
    </w:p>
    <w:p>
      <w:pPr>
        <w:spacing w:after="0" w:line="126" w:lineRule="exact"/>
        <w:rPr>
          <w:rFonts w:ascii="Arial" w:cs="Arial" w:eastAsia="Arial" w:hAnsi="Arial"/>
          <w:sz w:val="16"/>
          <w:szCs w:val="16"/>
          <w:color w:val="auto"/>
        </w:rPr>
      </w:pPr>
    </w:p>
    <w:p>
      <w:pPr>
        <w:ind w:left="166" w:hanging="166"/>
        <w:spacing w:after="0"/>
        <w:tabs>
          <w:tab w:leader="none" w:pos="166" w:val="left"/>
        </w:tabs>
        <w:numPr>
          <w:ilvl w:val="0"/>
          <w:numId w:val="51"/>
        </w:numPr>
        <w:rPr>
          <w:rFonts w:ascii="Arial" w:cs="Arial" w:eastAsia="Arial" w:hAnsi="Arial"/>
          <w:sz w:val="16"/>
          <w:szCs w:val="16"/>
          <w:color w:val="auto"/>
        </w:rPr>
      </w:pPr>
      <w:r>
        <w:rPr>
          <w:rFonts w:ascii="Arial" w:cs="Arial" w:eastAsia="Arial" w:hAnsi="Arial"/>
          <w:sz w:val="16"/>
          <w:szCs w:val="16"/>
          <w:color w:val="auto"/>
        </w:rPr>
        <w:t>Right of stockholders to call for a special meeting; and</w:t>
      </w:r>
    </w:p>
    <w:p>
      <w:pPr>
        <w:spacing w:after="0" w:line="126" w:lineRule="exact"/>
        <w:rPr>
          <w:rFonts w:ascii="Arial" w:cs="Arial" w:eastAsia="Arial" w:hAnsi="Arial"/>
          <w:sz w:val="16"/>
          <w:szCs w:val="16"/>
          <w:color w:val="auto"/>
        </w:rPr>
      </w:pPr>
    </w:p>
    <w:p>
      <w:pPr>
        <w:ind w:left="166" w:right="820" w:hanging="166"/>
        <w:spacing w:after="0" w:line="286" w:lineRule="auto"/>
        <w:tabs>
          <w:tab w:leader="none" w:pos="166"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 supermajority voting provisions in the Restated Certificate of Incorporation or By-Laws.</w:t>
      </w:r>
    </w:p>
    <w:p>
      <w:pPr>
        <w:spacing w:after="0" w:line="48" w:lineRule="exact"/>
        <w:rPr>
          <w:sz w:val="20"/>
          <w:szCs w:val="20"/>
          <w:color w:val="auto"/>
        </w:rPr>
      </w:pPr>
    </w:p>
    <w:p>
      <w:pPr>
        <w:ind w:left="6" w:right="300"/>
        <w:spacing w:after="0" w:line="254" w:lineRule="auto"/>
        <w:rPr>
          <w:sz w:val="20"/>
          <w:szCs w:val="20"/>
          <w:color w:val="auto"/>
        </w:rPr>
      </w:pPr>
      <w:r>
        <w:rPr>
          <w:rFonts w:ascii="Arial" w:cs="Arial" w:eastAsia="Arial" w:hAnsi="Arial"/>
          <w:sz w:val="16"/>
          <w:szCs w:val="16"/>
          <w:color w:val="auto"/>
        </w:rPr>
        <w:t>Stockholders can find additional information concerning Chevron’s corporate governance structures and practices in Chevron’s Corporate Governance Guidelines, By-Laws, and Restated Certificate of Incorporation, copies of which are available on Chevron’s website at www.chevron.com/investors/corporate-governance and are available in print upon request.</w:t>
      </w:r>
    </w:p>
    <w:p>
      <w:pPr>
        <w:spacing w:after="0" w:line="74" w:lineRule="exact"/>
        <w:rPr>
          <w:sz w:val="20"/>
          <w:szCs w:val="20"/>
          <w:color w:val="auto"/>
        </w:rPr>
      </w:pPr>
    </w:p>
    <w:p>
      <w:pPr>
        <w:ind w:left="6" w:right="460"/>
        <w:spacing w:after="0" w:line="286" w:lineRule="auto"/>
        <w:rPr>
          <w:sz w:val="20"/>
          <w:szCs w:val="20"/>
          <w:color w:val="auto"/>
        </w:rPr>
      </w:pPr>
      <w:r>
        <w:rPr>
          <w:rFonts w:ascii="Arial" w:cs="Arial" w:eastAsia="Arial" w:hAnsi="Arial"/>
          <w:sz w:val="16"/>
          <w:szCs w:val="16"/>
          <w:color w:val="auto"/>
        </w:rPr>
        <w:t>Respectfully submitted on March 29, 2022, by members of the Board Nominating and Governance Committee of your Board:</w:t>
      </w:r>
    </w:p>
    <w:p>
      <w:pPr>
        <w:spacing w:after="0" w:line="48" w:lineRule="exact"/>
        <w:rPr>
          <w:sz w:val="20"/>
          <w:szCs w:val="20"/>
          <w:color w:val="auto"/>
        </w:rPr>
      </w:pPr>
    </w:p>
    <w:p>
      <w:pPr>
        <w:ind w:left="6"/>
        <w:spacing w:after="0"/>
        <w:rPr>
          <w:sz w:val="20"/>
          <w:szCs w:val="20"/>
          <w:color w:val="auto"/>
        </w:rPr>
      </w:pPr>
      <w:r>
        <w:rPr>
          <w:rFonts w:ascii="Arial" w:cs="Arial" w:eastAsia="Arial" w:hAnsi="Arial"/>
          <w:sz w:val="16"/>
          <w:szCs w:val="16"/>
          <w:color w:val="auto"/>
        </w:rPr>
        <w:t>Wanda M. Austin, Chair</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6"/>
          <w:szCs w:val="16"/>
          <w:color w:val="auto"/>
        </w:rPr>
        <w:t>Alice P. Gast</w:t>
      </w:r>
    </w:p>
    <w:p>
      <w:pPr>
        <w:spacing w:after="0" w:line="5" w:lineRule="exact"/>
        <w:rPr>
          <w:sz w:val="20"/>
          <w:szCs w:val="20"/>
          <w:color w:val="auto"/>
        </w:rPr>
      </w:pPr>
    </w:p>
    <w:p>
      <w:pPr>
        <w:ind w:left="6"/>
        <w:spacing w:after="0"/>
        <w:rPr>
          <w:sz w:val="20"/>
          <w:szCs w:val="20"/>
          <w:color w:val="auto"/>
        </w:rPr>
      </w:pPr>
      <w:r>
        <w:rPr>
          <w:rFonts w:ascii="Arial" w:cs="Arial" w:eastAsia="Arial" w:hAnsi="Arial"/>
          <w:sz w:val="16"/>
          <w:szCs w:val="16"/>
          <w:color w:val="auto"/>
        </w:rPr>
        <w:t>Charles W. Moorman</w:t>
      </w:r>
    </w:p>
    <w:p>
      <w:pPr>
        <w:spacing w:after="0" w:line="5" w:lineRule="exact"/>
        <w:rPr>
          <w:sz w:val="20"/>
          <w:szCs w:val="20"/>
          <w:color w:val="auto"/>
        </w:rPr>
      </w:pPr>
    </w:p>
    <w:p>
      <w:pPr>
        <w:ind w:left="6"/>
        <w:spacing w:after="0"/>
        <w:rPr>
          <w:sz w:val="20"/>
          <w:szCs w:val="20"/>
          <w:color w:val="auto"/>
        </w:rPr>
      </w:pPr>
      <w:r>
        <w:rPr>
          <w:rFonts w:ascii="Arial" w:cs="Arial" w:eastAsia="Arial" w:hAnsi="Arial"/>
          <w:sz w:val="16"/>
          <w:szCs w:val="16"/>
          <w:color w:val="auto"/>
        </w:rPr>
        <w:t>Ronald D. Sugar</w:t>
      </w:r>
    </w:p>
    <w:p>
      <w:pPr>
        <w:spacing w:after="0" w:line="5" w:lineRule="exact"/>
        <w:rPr>
          <w:sz w:val="20"/>
          <w:szCs w:val="20"/>
          <w:color w:val="auto"/>
        </w:rPr>
      </w:pPr>
    </w:p>
    <w:p>
      <w:pPr>
        <w:ind w:left="6"/>
        <w:spacing w:after="0"/>
        <w:rPr>
          <w:sz w:val="20"/>
          <w:szCs w:val="20"/>
          <w:color w:val="auto"/>
        </w:rPr>
      </w:pPr>
      <w:r>
        <w:rPr>
          <w:rFonts w:ascii="Arial" w:cs="Arial" w:eastAsia="Arial" w:hAnsi="Arial"/>
          <w:sz w:val="16"/>
          <w:szCs w:val="16"/>
          <w:color w:val="auto"/>
        </w:rPr>
        <w:t>D. James Umpleby III</w:t>
      </w:r>
    </w:p>
    <w:p>
      <w:pPr>
        <w:spacing w:after="0" w:line="200" w:lineRule="exact"/>
        <w:rPr>
          <w:sz w:val="20"/>
          <w:szCs w:val="20"/>
          <w:color w:val="auto"/>
        </w:rPr>
      </w:pPr>
    </w:p>
    <w:p>
      <w:pPr>
        <w:sectPr>
          <w:pgSz w:w="11900" w:h="16838" w:orient="portrait"/>
          <w:cols w:equalWidth="0" w:num="2">
            <w:col w:w="5380" w:space="354"/>
            <w:col w:w="5386"/>
          </w:cols>
          <w:pgMar w:left="320" w:top="455" w:right="459" w:bottom="1440" w:gutter="0" w:footer="0" w:header="0"/>
          <w:type w:val="continuous"/>
        </w:sectPr>
      </w:pPr>
    </w:p>
    <w:p>
      <w:pPr>
        <w:spacing w:after="0" w:line="82"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Chevron Corporation – 2022 Proxy Statement</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120"/>
          </w:cols>
          <w:pgMar w:left="320" w:top="455" w:right="459" w:bottom="1440" w:gutter="0" w:footer="0" w:header="0"/>
          <w:type w:val="continuous"/>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208280</wp:posOffset>
            </wp:positionV>
            <wp:extent cx="1405890" cy="145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05890" cy="145415"/>
                    </a:xfrm>
                    <a:prstGeom prst="rect">
                      <a:avLst/>
                    </a:prstGeom>
                    <a:noFill/>
                  </pic:spPr>
                </pic:pic>
              </a:graphicData>
            </a:graphic>
          </wp:anchor>
        </w:drawing>
      </w:r>
    </w:p>
    <w:p>
      <w:pPr>
        <w:spacing w:after="0" w:line="339"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FFFFFF"/>
        </w:rPr>
        <w:t>Corporate governance</w:t>
      </w:r>
    </w:p>
    <w:p>
      <w:pPr>
        <w:spacing w:after="0" w:line="156"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0B2D71"/>
        </w:rPr>
        <w:t>Management compensation committee report</w:t>
      </w:r>
    </w:p>
    <w:p>
      <w:pPr>
        <w:spacing w:after="0" w:line="134"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The Management Compensation Committee (the “Committee”) of Chevron has reviewed and discussed with management the Compensation Discussion and Analysis beginning on page 40 of this Proxy Statement. Based on such review and discussion, the Committee recommended to the Board of Directors of the Corporation that the Compensation Discussion and Analysis be included in this Proxy Statement and incorporated by reference into the Corporation’s Annual Report on Form 10-K.</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Respectfully submitted on March 29, 2022, by members of the Management Compensation Committee of your Board:</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Charles W. Moorman, Chair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Wanda M. Austin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Enrique Hernandez, Jr.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Jon M. Huntsman Jr.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Ronald D. Sugar</w:t>
      </w:r>
    </w:p>
    <w:p>
      <w:pPr>
        <w:spacing w:after="0" w:line="189"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0B2D71"/>
        </w:rPr>
        <w:t>Audit committee report</w:t>
      </w:r>
    </w:p>
    <w:p>
      <w:pPr>
        <w:sectPr>
          <w:pgSz w:w="11900" w:h="16838" w:orient="portrait"/>
          <w:cols w:equalWidth="0" w:num="1">
            <w:col w:w="11080"/>
          </w:cols>
          <w:pgMar w:left="320" w:top="455" w:right="499" w:bottom="1440" w:gutter="0" w:footer="0" w:header="0"/>
        </w:sectPr>
      </w:pPr>
    </w:p>
    <w:p>
      <w:pPr>
        <w:spacing w:after="0" w:line="202"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b w:val="1"/>
          <w:bCs w:val="1"/>
          <w:color w:val="auto"/>
        </w:rPr>
        <w:t xml:space="preserve">Roles and responsibilities. </w:t>
      </w:r>
      <w:r>
        <w:rPr>
          <w:rFonts w:ascii="Arial" w:cs="Arial" w:eastAsia="Arial" w:hAnsi="Arial"/>
          <w:sz w:val="16"/>
          <w:szCs w:val="16"/>
          <w:color w:val="auto"/>
        </w:rPr>
        <w:t>The Audit Committee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assists your Board in fulfilling its responsibility to provide independent, objective oversight of Chevron’s financial reporting and internal control processes. The Committee’s charter can be viewed on Chevron’s website at www.chevron.com under the tabs “Investors” and “Corporate Governance.”</w:t>
      </w:r>
    </w:p>
    <w:p>
      <w:pPr>
        <w:spacing w:after="0" w:line="74"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Management is responsible for preparing Chevron’s financial statements in accordance with generally accepted accounting principles in the United States (“U.S. GAAP”) and for developing, maintaining, and evaluating disclosure controls and procedures and internal control over financial reporting.</w:t>
      </w:r>
    </w:p>
    <w:p>
      <w:pPr>
        <w:spacing w:after="0" w:line="72"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The Company’s independent registered public accounting firm – PricewaterhouseCoopers LLP (“PwC”) – is responsible for expressing an opinion on the conformity of Chevron’s financial statements with U.S. GAAP and on the effectiveness of Chevron’s internal control over financial reporting.</w:t>
      </w:r>
    </w:p>
    <w:p>
      <w:pPr>
        <w:spacing w:after="0" w:line="72"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b w:val="1"/>
          <w:bCs w:val="1"/>
          <w:color w:val="auto"/>
        </w:rPr>
        <w:t xml:space="preserve">Required disclosures and discussions. </w:t>
      </w:r>
      <w:r>
        <w:rPr>
          <w:rFonts w:ascii="Arial" w:cs="Arial" w:eastAsia="Arial" w:hAnsi="Arial"/>
          <w:sz w:val="16"/>
          <w:szCs w:val="16"/>
          <w:color w:val="auto"/>
        </w:rPr>
        <w:t>In discharging its oversight</w:t>
      </w:r>
      <w:r>
        <w:rPr>
          <w:rFonts w:ascii="Arial" w:cs="Arial" w:eastAsia="Arial" w:hAnsi="Arial"/>
          <w:sz w:val="16"/>
          <w:szCs w:val="16"/>
          <w:b w:val="1"/>
          <w:bCs w:val="1"/>
          <w:color w:val="auto"/>
        </w:rPr>
        <w:t xml:space="preserve"> </w:t>
      </w:r>
      <w:r>
        <w:rPr>
          <w:rFonts w:ascii="Arial" w:cs="Arial" w:eastAsia="Arial" w:hAnsi="Arial"/>
          <w:sz w:val="16"/>
          <w:szCs w:val="16"/>
          <w:color w:val="auto"/>
        </w:rPr>
        <w:t>role, the Committee reviewed and discussed with management and PwC the audited financial statements for the year ended December 31, 2021, as contained in the 2021 Annual Report on Form 10-K, and management’s and PwC’s evaluation of Chevron’s internal control over financial reporting. The Committee routinely met privately with PwC</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and discussed issues deemed significant by PwC and/or the Committee. The Committee has discussed with PwC the matters required to be discussed by the applicable requirements of the Public Company Accounting Oversight Board (“PCAOB”) and the U.S. Securities and Exchange Commission.</w:t>
      </w:r>
    </w:p>
    <w:p>
      <w:pPr>
        <w:spacing w:after="0" w:line="72"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In addition, the Committee discussed with PwC its independence from Chevron and Chevron’s management; received the written disclosures required by the PCAOB regarding PwC’s independence; and considered whether the provision of non-audit services was compatible with maintaining PwC’s independence.</w:t>
      </w:r>
    </w:p>
    <w:p>
      <w:pPr>
        <w:spacing w:after="0" w:line="7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b w:val="1"/>
          <w:bCs w:val="1"/>
          <w:color w:val="auto"/>
        </w:rPr>
        <w:t xml:space="preserve">Committee recommendation. </w:t>
      </w:r>
      <w:r>
        <w:rPr>
          <w:rFonts w:ascii="Arial" w:cs="Arial" w:eastAsia="Arial" w:hAnsi="Arial"/>
          <w:sz w:val="16"/>
          <w:szCs w:val="16"/>
          <w:color w:val="auto"/>
        </w:rPr>
        <w:t>In reliance on the reviews and discussions</w:t>
      </w:r>
      <w:r>
        <w:rPr>
          <w:rFonts w:ascii="Arial" w:cs="Arial" w:eastAsia="Arial" w:hAnsi="Arial"/>
          <w:sz w:val="16"/>
          <w:szCs w:val="16"/>
          <w:b w:val="1"/>
          <w:bCs w:val="1"/>
          <w:color w:val="auto"/>
        </w:rPr>
        <w:t xml:space="preserve"> </w:t>
      </w:r>
      <w:r>
        <w:rPr>
          <w:rFonts w:ascii="Arial" w:cs="Arial" w:eastAsia="Arial" w:hAnsi="Arial"/>
          <w:sz w:val="16"/>
          <w:szCs w:val="16"/>
          <w:color w:val="auto"/>
        </w:rPr>
        <w:t>outlined above, the Committee recommended to your Board that the audited financial statements be included in Chevron’s Annual Report on Form 10-K for the year ended December 31, 2021, for filing with the U.S. Securities and Exchange Commission.</w:t>
      </w:r>
    </w:p>
    <w:p>
      <w:pPr>
        <w:spacing w:after="0" w:line="7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Respectfully submitted on February 23, 2022, by the members of the Audit Committee of your Board:</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Debra Reed-Klages,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John B. Frank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Marillyn A. Hewson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Dambisa F. Moyo</w:t>
      </w:r>
    </w:p>
    <w:p>
      <w:pPr>
        <w:spacing w:after="0" w:line="304" w:lineRule="exact"/>
        <w:rPr>
          <w:sz w:val="20"/>
          <w:szCs w:val="20"/>
          <w:color w:val="auto"/>
        </w:rPr>
      </w:pPr>
    </w:p>
    <w:p>
      <w:pPr>
        <w:sectPr>
          <w:pgSz w:w="11900" w:h="16838" w:orient="portrait"/>
          <w:cols w:equalWidth="0" w:num="2">
            <w:col w:w="5380" w:space="360"/>
            <w:col w:w="5340"/>
          </w:cols>
          <w:pgMar w:left="320" w:top="455" w:right="499" w:bottom="1440" w:gutter="0" w:footer="0" w:header="0"/>
          <w:type w:val="continuous"/>
        </w:sectPr>
      </w:pP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0B2D71"/>
        </w:rPr>
        <w:t>Communicating with the board</w:t>
      </w:r>
    </w:p>
    <w:p>
      <w:pPr>
        <w:sectPr>
          <w:pgSz w:w="11900" w:h="16838" w:orient="portrait"/>
          <w:cols w:equalWidth="0" w:num="1">
            <w:col w:w="11080"/>
          </w:cols>
          <w:pgMar w:left="320" w:top="455" w:right="499" w:bottom="1440" w:gutter="0" w:footer="0" w:header="0"/>
          <w:type w:val="continuous"/>
        </w:sectPr>
      </w:pPr>
    </w:p>
    <w:p>
      <w:pPr>
        <w:spacing w:after="0" w:line="323"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The Governance Committee reviews interested-party communications, including stockholder inquiries directed to non-employee Directors. The Corporate Secretary and Chief Governance Officer compiles the communications, summarizes lengthy or repetitive communications and the responses sent, and takes further action, as appropriate. All communications are available to the Directors.</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Interested parties wishing to communicate their concerns or questions about Chevron to the independent Lead Director or any other non-employee Director may do so by mail addressed to the Lead Director or Non-Employee Directors, c/o Office of the Corporate Secretary and Chief Governance Officer, 6001 Bollinger Canyon Road, San Ramon, CA 94583-2324 or by email to corpgov@chevron.com.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-732155</wp:posOffset>
            </wp:positionV>
            <wp:extent cx="3420110" cy="7543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0110" cy="7543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560"/>
            <w:col w:w="5280"/>
          </w:cols>
          <w:pgMar w:left="320" w:top="455" w:right="499" w:bottom="1440" w:gutter="0" w:footer="0" w:header="0"/>
          <w:type w:val="continuous"/>
        </w:sectPr>
      </w:pPr>
    </w:p>
    <w:p>
      <w:pPr>
        <w:spacing w:after="0" w:line="180"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Chevron Corporation – 2022 Proxy Statement</w:t>
      </w:r>
    </w:p>
    <w:p>
      <w:pPr>
        <w:spacing w:after="0" w:line="65"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080"/>
          </w:cols>
          <w:pgMar w:left="320" w:top="455" w:right="499" w:bottom="1440" w:gutter="0" w:footer="0" w:header="0"/>
          <w:type w:val="continuous"/>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0B2D71"/>
        </w:rPr>
        <w:t>Executive compensation</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28"/>
          <w:szCs w:val="28"/>
          <w:b w:val="1"/>
          <w:bCs w:val="1"/>
          <w:color w:val="0B2D71"/>
        </w:rPr>
        <w:t>Compensation discussion and analysis</w:t>
      </w:r>
    </w:p>
    <w:p>
      <w:pPr>
        <w:spacing w:after="0" w:line="133"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0B2D71"/>
        </w:rPr>
        <w:t>Executive summary</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Business description and context</w:t>
      </w:r>
    </w:p>
    <w:p>
      <w:pPr>
        <w:sectPr>
          <w:pgSz w:w="11900" w:h="16838" w:orient="portrait"/>
          <w:cols w:equalWidth="0" w:num="1">
            <w:col w:w="11100"/>
          </w:cols>
          <w:pgMar w:left="320" w:top="455" w:right="479" w:bottom="1440" w:gutter="0" w:footer="0" w:header="0"/>
        </w:sectPr>
      </w:pPr>
    </w:p>
    <w:p>
      <w:pPr>
        <w:spacing w:after="0" w:line="180"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Chevron is a fully integrated company involved in many facets of the energy industry. We believe affordable, reliable, and ever-cleaner energy is essential to achieving a more prosperous and sustainable world. We explore for, produce, and transport crude oil, natural gas, and natural gas liquids; process and transport liquefied natural gas; refine, market, and distribute transportation fuels and lubricants; manufacture and sell petrochemicals and additives; have a small, but growing, presence in the manufacture and sale of renewable natural gas, renewable diesel, and renewable base-oil; generate power; and develop and deploy technologies that enhance business value in multiple aspects of the Company’s operations. We are focused on lowering the carbon intensity of our operations and seeking to grow lower carbon businesses along with our traditional business lines. Our business is capital-intensive and has long investment horizons – most of our resource and manufacturing investments span decades. Most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Note:</w:t>
      </w:r>
    </w:p>
    <w:p>
      <w:pPr>
        <w:spacing w:after="0" w:line="15" w:lineRule="exact"/>
        <w:rPr>
          <w:sz w:val="20"/>
          <w:szCs w:val="20"/>
          <w:color w:val="auto"/>
        </w:rPr>
      </w:pPr>
    </w:p>
    <w:p>
      <w:pPr>
        <w:ind w:left="540" w:hanging="424"/>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Brent futures prices are as of March 29, 2022.</w:t>
      </w:r>
    </w:p>
    <w:p>
      <w:pPr>
        <w:spacing w:after="0" w:line="158"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color w:val="auto"/>
        </w:rPr>
        <w:t>Chevron made significant progress in a year full of ongoing challenges from the pandemic by:</w:t>
      </w:r>
    </w:p>
    <w:p>
      <w:pPr>
        <w:spacing w:after="0" w:line="21" w:lineRule="exact"/>
        <w:rPr>
          <w:sz w:val="20"/>
          <w:szCs w:val="20"/>
          <w:color w:val="auto"/>
        </w:rPr>
      </w:pPr>
    </w:p>
    <w:p>
      <w:pPr>
        <w:jc w:val="both"/>
        <w:ind w:left="300" w:right="120" w:hanging="184"/>
        <w:spacing w:after="0" w:line="266" w:lineRule="auto"/>
        <w:tabs>
          <w:tab w:leader="none" w:pos="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Acting consistently with our financial priorities to protect the dividend, maintain capital discipline, and strengthen the balance sheet – while reinstating stock repurchases;</w:t>
      </w:r>
    </w:p>
    <w:p>
      <w:pPr>
        <w:spacing w:after="0" w:line="36" w:lineRule="exact"/>
        <w:rPr>
          <w:rFonts w:ascii="Arial" w:cs="Arial" w:eastAsia="Arial" w:hAnsi="Arial"/>
          <w:sz w:val="16"/>
          <w:szCs w:val="16"/>
          <w:color w:val="auto"/>
        </w:rPr>
      </w:pPr>
    </w:p>
    <w:p>
      <w:pPr>
        <w:ind w:left="300" w:hanging="184"/>
        <w:spacing w:after="0"/>
        <w:tabs>
          <w:tab w:leader="none" w:pos="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Executing a lower-risk, flexible, and disciplined capital program;</w:t>
      </w:r>
    </w:p>
    <w:p>
      <w:pPr>
        <w:spacing w:after="0" w:line="86" w:lineRule="exact"/>
        <w:rPr>
          <w:rFonts w:ascii="Arial" w:cs="Arial" w:eastAsia="Arial" w:hAnsi="Arial"/>
          <w:sz w:val="16"/>
          <w:szCs w:val="16"/>
          <w:color w:val="auto"/>
        </w:rPr>
      </w:pPr>
    </w:p>
    <w:p>
      <w:pPr>
        <w:ind w:left="300" w:right="200" w:hanging="184"/>
        <w:spacing w:after="0" w:line="286" w:lineRule="auto"/>
        <w:tabs>
          <w:tab w:leader="none" w:pos="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Operating efficiently and effectively as rebounding economies drove increased demand for energy;</w:t>
      </w:r>
    </w:p>
    <w:p>
      <w:pPr>
        <w:spacing w:after="0" w:line="20" w:lineRule="exact"/>
        <w:rPr>
          <w:rFonts w:ascii="Arial" w:cs="Arial" w:eastAsia="Arial" w:hAnsi="Arial"/>
          <w:sz w:val="16"/>
          <w:szCs w:val="16"/>
          <w:color w:val="auto"/>
        </w:rPr>
      </w:pPr>
    </w:p>
    <w:p>
      <w:pPr>
        <w:ind w:left="300" w:right="440" w:hanging="184"/>
        <w:spacing w:after="0" w:line="286" w:lineRule="auto"/>
        <w:tabs>
          <w:tab w:leader="none" w:pos="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Successfully integrating Noble Energy’s people and assets while doubling expected synergy capture;</w:t>
      </w:r>
    </w:p>
    <w:p>
      <w:pPr>
        <w:spacing w:after="0" w:line="20" w:lineRule="exact"/>
        <w:rPr>
          <w:rFonts w:ascii="Arial" w:cs="Arial" w:eastAsia="Arial" w:hAnsi="Arial"/>
          <w:sz w:val="16"/>
          <w:szCs w:val="16"/>
          <w:color w:val="auto"/>
        </w:rPr>
      </w:pPr>
    </w:p>
    <w:p>
      <w:pPr>
        <w:jc w:val="both"/>
        <w:ind w:left="300" w:right="20" w:hanging="184"/>
        <w:spacing w:after="0" w:line="209" w:lineRule="auto"/>
        <w:tabs>
          <w:tab w:leader="none" w:pos="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Setting a net zero aspiration for Upstream Scope 1 and 2 Greenhouse Gas (GHG) emissions by 2050</w:t>
      </w:r>
      <w:r>
        <w:rPr>
          <w:rFonts w:ascii="Arial" w:cs="Arial" w:eastAsia="Arial" w:hAnsi="Arial"/>
          <w:sz w:val="27"/>
          <w:szCs w:val="27"/>
          <w:color w:val="auto"/>
          <w:vertAlign w:val="superscript"/>
        </w:rPr>
        <w:t>2</w:t>
      </w:r>
      <w:r>
        <w:rPr>
          <w:rFonts w:ascii="Arial" w:cs="Arial" w:eastAsia="Arial" w:hAnsi="Arial"/>
          <w:sz w:val="16"/>
          <w:szCs w:val="16"/>
          <w:color w:val="auto"/>
        </w:rPr>
        <w:t xml:space="preserve"> and creating Chevron New Energies, an organization dedicated to growing lower carbon business lines;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6"/>
        <w:spacing w:after="0" w:line="249" w:lineRule="auto"/>
        <w:rPr>
          <w:sz w:val="20"/>
          <w:szCs w:val="20"/>
          <w:color w:val="auto"/>
        </w:rPr>
      </w:pPr>
      <w:r>
        <w:rPr>
          <w:rFonts w:ascii="Arial" w:cs="Arial" w:eastAsia="Arial" w:hAnsi="Arial"/>
          <w:sz w:val="16"/>
          <w:szCs w:val="16"/>
          <w:color w:val="auto"/>
        </w:rPr>
        <w:t>product sales are commodities, whose prices can be volatile, leading to fluctuating earnings and cash flow through price cycles. In 2019, Brent oil prices averaged $64 per barrel, down 10% versus the prior year, primarily due to demand concerns about a slowing global economy. By late March 2020, the Brent oil price was under $20 per barrel, mainly due to the significant decline in demand as a result of the COVID-19 pandemic and the breakdown in the OPEC+ talks about production levels. In late 2020, the Brent price had recovered to $50 per barrel, largely based on optimism that the availability of COVID-19 vaccines would lead to greater oil demand and that OPEC+ producers’ supply cuts would be only gradually reduced. By the end of 2021, oil and gas demand had returned to near pre-pandemic levels, even with jet demand lagging recovery, and the Brent price averaged $71 for the full year. Looking forward, oil price futures indicate Brent prices may remain elevated above $90 per barrel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-2923540</wp:posOffset>
            </wp:positionH>
            <wp:positionV relativeFrom="paragraph">
              <wp:posOffset>438150</wp:posOffset>
            </wp:positionV>
            <wp:extent cx="5709285" cy="24174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0928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66" w:right="260" w:hanging="166"/>
        <w:spacing w:after="0" w:line="196" w:lineRule="auto"/>
        <w:tabs>
          <w:tab w:leader="none" w:pos="166" w:val="left"/>
        </w:tabs>
        <w:numPr>
          <w:ilvl w:val="0"/>
          <w:numId w:val="54"/>
        </w:numPr>
        <w:rPr>
          <w:rFonts w:ascii="Arial" w:cs="Arial" w:eastAsia="Arial" w:hAnsi="Arial"/>
          <w:sz w:val="16"/>
          <w:szCs w:val="16"/>
          <w:color w:val="auto"/>
        </w:rPr>
      </w:pPr>
      <w:r>
        <w:rPr>
          <w:rFonts w:ascii="Arial" w:cs="Arial" w:eastAsia="Arial" w:hAnsi="Arial"/>
          <w:sz w:val="16"/>
          <w:szCs w:val="16"/>
          <w:color w:val="auto"/>
        </w:rPr>
        <w:t>Delivering record free cash flow</w:t>
      </w:r>
      <w:r>
        <w:rPr>
          <w:rFonts w:ascii="Arial" w:cs="Arial" w:eastAsia="Arial" w:hAnsi="Arial"/>
          <w:sz w:val="27"/>
          <w:szCs w:val="27"/>
          <w:color w:val="auto"/>
          <w:vertAlign w:val="superscript"/>
        </w:rPr>
        <w:t>3</w:t>
      </w:r>
      <w:r>
        <w:rPr>
          <w:rFonts w:ascii="Arial" w:cs="Arial" w:eastAsia="Arial" w:hAnsi="Arial"/>
          <w:sz w:val="16"/>
          <w:szCs w:val="16"/>
          <w:color w:val="auto"/>
        </w:rPr>
        <w:t xml:space="preserve"> and achieving production guidance; and</w:t>
      </w:r>
    </w:p>
    <w:p>
      <w:pPr>
        <w:spacing w:after="0" w:line="56" w:lineRule="exact"/>
        <w:rPr>
          <w:rFonts w:ascii="Arial" w:cs="Arial" w:eastAsia="Arial" w:hAnsi="Arial"/>
          <w:sz w:val="16"/>
          <w:szCs w:val="16"/>
          <w:color w:val="auto"/>
        </w:rPr>
      </w:pPr>
    </w:p>
    <w:p>
      <w:pPr>
        <w:ind w:left="166" w:right="320" w:hanging="166"/>
        <w:spacing w:after="0" w:line="266" w:lineRule="auto"/>
        <w:tabs>
          <w:tab w:leader="none" w:pos="166" w:val="left"/>
        </w:tabs>
        <w:numPr>
          <w:ilvl w:val="0"/>
          <w:numId w:val="54"/>
        </w:numPr>
        <w:rPr>
          <w:rFonts w:ascii="Arial" w:cs="Arial" w:eastAsia="Arial" w:hAnsi="Arial"/>
          <w:sz w:val="16"/>
          <w:szCs w:val="16"/>
          <w:color w:val="auto"/>
        </w:rPr>
      </w:pPr>
      <w:r>
        <w:rPr>
          <w:rFonts w:ascii="Arial" w:cs="Arial" w:eastAsia="Arial" w:hAnsi="Arial"/>
          <w:sz w:val="16"/>
          <w:szCs w:val="16"/>
          <w:color w:val="auto"/>
        </w:rPr>
        <w:t>Delivering competitive total stockholder return (“TSR”) performance, albeit lagging the S&amp;P 500 Total Return Index over 5 and 10 year periods.</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6"/>
          <w:szCs w:val="16"/>
          <w:color w:val="auto"/>
        </w:rPr>
        <w:t>More information on Chevron’s 2021 performance available on page 45.</w:t>
      </w:r>
    </w:p>
    <w:p>
      <w:pPr>
        <w:spacing w:after="0" w:line="199"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auto"/>
        </w:rPr>
        <w:t>Notes:</w:t>
      </w:r>
    </w:p>
    <w:p>
      <w:pPr>
        <w:spacing w:after="0" w:line="15" w:lineRule="exact"/>
        <w:rPr>
          <w:sz w:val="20"/>
          <w:szCs w:val="20"/>
          <w:color w:val="auto"/>
        </w:rPr>
      </w:pPr>
    </w:p>
    <w:p>
      <w:pPr>
        <w:ind w:left="326" w:right="20" w:hanging="326"/>
        <w:spacing w:after="0" w:line="249" w:lineRule="auto"/>
        <w:tabs>
          <w:tab w:leader="none" w:pos="326" w:val="left"/>
        </w:tabs>
        <w:numPr>
          <w:ilvl w:val="0"/>
          <w:numId w:val="55"/>
        </w:numPr>
        <w:rPr>
          <w:rFonts w:ascii="Arial" w:cs="Arial" w:eastAsia="Arial" w:hAnsi="Arial"/>
          <w:sz w:val="14"/>
          <w:szCs w:val="14"/>
          <w:color w:val="auto"/>
        </w:rPr>
      </w:pPr>
      <w:r>
        <w:rPr>
          <w:rFonts w:ascii="Arial" w:cs="Arial" w:eastAsia="Arial" w:hAnsi="Arial"/>
          <w:sz w:val="14"/>
          <w:szCs w:val="14"/>
          <w:color w:val="auto"/>
        </w:rPr>
        <w:t>Accomplishing this aspiration depends on continuing progress on commercially viable technology; government policy; successful negotiations for CCUS and nature-based projects; availability of cost-effective, verifiable offsets in the global market; and granting of necessary permits by governing authorities.</w:t>
      </w:r>
    </w:p>
    <w:p>
      <w:pPr>
        <w:spacing w:after="0" w:line="33" w:lineRule="exact"/>
        <w:rPr>
          <w:sz w:val="20"/>
          <w:szCs w:val="20"/>
          <w:color w:val="auto"/>
        </w:rPr>
      </w:pPr>
    </w:p>
    <w:p>
      <w:pPr>
        <w:ind w:left="326" w:right="20" w:hanging="326"/>
        <w:spacing w:after="0" w:line="285" w:lineRule="auto"/>
        <w:tabs>
          <w:tab w:leader="none" w:pos="326" w:val="left"/>
        </w:tabs>
        <w:numPr>
          <w:ilvl w:val="0"/>
          <w:numId w:val="56"/>
        </w:numPr>
        <w:rPr>
          <w:rFonts w:ascii="Arial" w:cs="Arial" w:eastAsia="Arial" w:hAnsi="Arial"/>
          <w:sz w:val="14"/>
          <w:szCs w:val="14"/>
          <w:color w:val="auto"/>
        </w:rPr>
      </w:pPr>
      <w:r>
        <w:rPr>
          <w:rFonts w:ascii="Arial" w:cs="Arial" w:eastAsia="Arial" w:hAnsi="Arial"/>
          <w:sz w:val="14"/>
          <w:szCs w:val="14"/>
          <w:color w:val="auto"/>
        </w:rPr>
        <w:t>Free cash flow is defined as net cash provided by operating activities less cash capital expenditures.</w:t>
      </w:r>
    </w:p>
    <w:p>
      <w:pPr>
        <w:spacing w:after="0" w:line="349" w:lineRule="exact"/>
        <w:rPr>
          <w:sz w:val="20"/>
          <w:szCs w:val="20"/>
          <w:color w:val="auto"/>
        </w:rPr>
      </w:pPr>
    </w:p>
    <w:p>
      <w:pPr>
        <w:sectPr>
          <w:pgSz w:w="11900" w:h="16838" w:orient="portrait"/>
          <w:cols w:equalWidth="0" w:num="2">
            <w:col w:w="5340" w:space="394"/>
            <w:col w:w="5366"/>
          </w:cols>
          <w:pgMar w:left="320" w:top="455" w:right="479" w:bottom="1440" w:gutter="0" w:footer="0" w:header="0"/>
          <w:type w:val="continuous"/>
        </w:sectPr>
      </w:pPr>
    </w:p>
    <w:p>
      <w:pPr>
        <w:spacing w:after="0" w:line="69"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Chevron Corporation – 2022 Proxy Statement</w:t>
      </w:r>
    </w:p>
    <w:p>
      <w:pPr>
        <w:sectPr>
          <w:pgSz w:w="11900" w:h="16838" w:orient="portrait"/>
          <w:cols w:equalWidth="0" w:num="1">
            <w:col w:w="11100"/>
          </w:cols>
          <w:pgMar w:left="320" w:top="455" w:right="479" w:bottom="1440" w:gutter="0" w:footer="0" w:header="0"/>
          <w:type w:val="continuous"/>
        </w:sectPr>
      </w:pPr>
    </w:p>
    <w:p>
      <w:pPr>
        <w:spacing w:after="0" w:line="65" w:lineRule="exact"/>
        <w:rPr>
          <w:sz w:val="20"/>
          <w:szCs w:val="20"/>
          <w:color w:val="auto"/>
        </w:rPr>
      </w:pPr>
    </w:p>
    <w:p>
      <w:pPr>
        <w:jc w:val="center"/>
        <w:ind w:right="-159"/>
        <w:spacing w:after="0"/>
        <w:rPr>
          <w:sz w:val="20"/>
          <w:szCs w:val="20"/>
          <w:color w:val="auto"/>
        </w:rPr>
      </w:pPr>
      <w:r>
        <w:rPr>
          <w:rFonts w:ascii="Arial" w:cs="Arial" w:eastAsia="Arial" w:hAnsi="Arial"/>
          <w:sz w:val="12"/>
          <w:szCs w:val="12"/>
          <w:b w:val="1"/>
          <w:bCs w:val="1"/>
          <w:color w:val="auto"/>
        </w:rPr>
        <w:t>40</w:t>
      </w:r>
    </w:p>
    <w:p>
      <w:pPr>
        <w:sectPr>
          <w:pgSz w:w="11900" w:h="16838" w:orient="portrait"/>
          <w:cols w:equalWidth="0" w:num="1">
            <w:col w:w="11100"/>
          </w:cols>
          <w:pgMar w:left="320" w:top="455" w:right="479" w:bottom="1440" w:gutter="0" w:footer="0" w:header="0"/>
          <w:type w:val="continuous"/>
        </w:sectPr>
      </w:pPr>
    </w:p>
    <w:bookmarkStart w:id="47" w:name="page48"/>
    <w:bookmarkEnd w:id="4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215265</wp:posOffset>
            </wp:positionV>
            <wp:extent cx="1474470"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74470" cy="146050"/>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Total shareholder return</w:t>
      </w:r>
    </w:p>
    <w:p>
      <w:pPr>
        <w:spacing w:after="0" w:line="180" w:lineRule="exact"/>
        <w:rPr>
          <w:sz w:val="20"/>
          <w:szCs w:val="20"/>
          <w:color w:val="auto"/>
        </w:rPr>
      </w:pPr>
    </w:p>
    <w:p>
      <w:pPr>
        <w:ind w:left="120" w:right="80"/>
        <w:spacing w:after="0" w:line="217" w:lineRule="auto"/>
        <w:rPr>
          <w:sz w:val="20"/>
          <w:szCs w:val="20"/>
          <w:color w:val="auto"/>
        </w:rPr>
      </w:pPr>
      <w:r>
        <w:rPr>
          <w:rFonts w:ascii="Arial" w:cs="Arial" w:eastAsia="Arial" w:hAnsi="Arial"/>
          <w:sz w:val="16"/>
          <w:szCs w:val="16"/>
          <w:color w:val="auto"/>
        </w:rPr>
        <w:t>Over the past 15 years, the Company’s dividend growth rate of 6.7% per year (CAGR</w:t>
      </w:r>
      <w:r>
        <w:rPr>
          <w:rFonts w:ascii="Arial" w:cs="Arial" w:eastAsia="Arial" w:hAnsi="Arial"/>
          <w:sz w:val="27"/>
          <w:szCs w:val="27"/>
          <w:color w:val="auto"/>
          <w:vertAlign w:val="superscript"/>
        </w:rPr>
        <w:t>1</w:t>
      </w:r>
      <w:r>
        <w:rPr>
          <w:rFonts w:ascii="Arial" w:cs="Arial" w:eastAsia="Arial" w:hAnsi="Arial"/>
          <w:sz w:val="16"/>
          <w:szCs w:val="16"/>
          <w:color w:val="auto"/>
        </w:rPr>
        <w:t>) was over six times greater than the peer group</w:t>
      </w:r>
      <w:r>
        <w:rPr>
          <w:rFonts w:ascii="Arial" w:cs="Arial" w:eastAsia="Arial" w:hAnsi="Arial"/>
          <w:sz w:val="27"/>
          <w:szCs w:val="27"/>
          <w:color w:val="auto"/>
          <w:vertAlign w:val="superscript"/>
        </w:rPr>
        <w:t>2</w:t>
      </w:r>
      <w:r>
        <w:rPr>
          <w:rFonts w:ascii="Arial" w:cs="Arial" w:eastAsia="Arial" w:hAnsi="Arial"/>
          <w:sz w:val="16"/>
          <w:szCs w:val="16"/>
          <w:color w:val="auto"/>
        </w:rPr>
        <w:t xml:space="preserve"> average and was also higher than that of the S&amp;P 500 Total Return Index. Our dividend yield</w:t>
      </w:r>
      <w:r>
        <w:rPr>
          <w:rFonts w:ascii="Arial" w:cs="Arial" w:eastAsia="Arial" w:hAnsi="Arial"/>
          <w:sz w:val="27"/>
          <w:szCs w:val="27"/>
          <w:color w:val="auto"/>
          <w:vertAlign w:val="superscript"/>
        </w:rPr>
        <w:t>3</w:t>
      </w:r>
      <w:r>
        <w:rPr>
          <w:rFonts w:ascii="Arial" w:cs="Arial" w:eastAsia="Arial" w:hAnsi="Arial"/>
          <w:sz w:val="16"/>
          <w:szCs w:val="16"/>
          <w:color w:val="auto"/>
        </w:rPr>
        <w:t xml:space="preserve"> was over three times higher than the S&amp;P 500 Total Return Index at year-end. In April 2021, we raised our quarterly dividend per share by 4%, extending an annual dividend payment per share increase to 34 consecutive years. In 2020, two peers cut their quarterly dividend per share, ranging from 50% to 66%. These dividend cuts have not been fully reinstated.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Outlook</w:t>
      </w:r>
    </w:p>
    <w:p>
      <w:pPr>
        <w:spacing w:after="0" w:line="180"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auto"/>
        </w:rPr>
        <w:t>Looking forward, we believe the Company is well positioned to deliver on our objectives of higher returns, lower carbon, and superior stockholder value in any business environment by:</w:t>
      </w:r>
    </w:p>
    <w:p>
      <w:pPr>
        <w:spacing w:after="0" w:line="77" w:lineRule="exact"/>
        <w:rPr>
          <w:sz w:val="20"/>
          <w:szCs w:val="20"/>
          <w:color w:val="auto"/>
        </w:rPr>
      </w:pPr>
    </w:p>
    <w:p>
      <w:pPr>
        <w:ind w:left="300" w:right="140" w:hanging="184"/>
        <w:spacing w:after="0" w:line="266" w:lineRule="auto"/>
        <w:tabs>
          <w:tab w:leader="none" w:pos="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Increasing return on capital employed (“ROCE”) through more capital efficient investments, continued cost reductions and margin improvement efforts;</w:t>
      </w:r>
    </w:p>
    <w:p>
      <w:pPr>
        <w:spacing w:after="0" w:line="76" w:lineRule="exact"/>
        <w:rPr>
          <w:rFonts w:ascii="Arial" w:cs="Arial" w:eastAsia="Arial" w:hAnsi="Arial"/>
          <w:sz w:val="16"/>
          <w:szCs w:val="16"/>
          <w:color w:val="auto"/>
        </w:rPr>
      </w:pPr>
    </w:p>
    <w:p>
      <w:pPr>
        <w:ind w:left="300" w:hanging="184"/>
        <w:spacing w:after="0" w:line="286" w:lineRule="auto"/>
        <w:tabs>
          <w:tab w:leader="none" w:pos="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Growing profitable, lower carbon, new energy businesses that leverage our strengths; and</w:t>
      </w:r>
    </w:p>
    <w:p>
      <w:pPr>
        <w:spacing w:after="0" w:line="61" w:lineRule="exact"/>
        <w:rPr>
          <w:rFonts w:ascii="Arial" w:cs="Arial" w:eastAsia="Arial" w:hAnsi="Arial"/>
          <w:sz w:val="16"/>
          <w:szCs w:val="16"/>
          <w:color w:val="auto"/>
        </w:rPr>
      </w:pPr>
    </w:p>
    <w:p>
      <w:pPr>
        <w:ind w:left="300" w:right="360" w:hanging="184"/>
        <w:spacing w:after="0" w:line="286" w:lineRule="auto"/>
        <w:tabs>
          <w:tab w:leader="none" w:pos="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Generating surplus cash flow in upside oil-price environments and maintaining the dividend in downside ones.</w:t>
      </w:r>
    </w:p>
    <w:p>
      <w:pPr>
        <w:spacing w:after="0" w:line="48"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We are focused on creating value for stockholders through a disciplined capital program, prioritizing high-return, low-execution-risk investments. We have an advantaged Upstream portfolio composed of long-duration, low-production decline assets (such as those in Australia and Kazakhstan), flexible, shorter cycle investments (such as in the Permian Basin and other shale and tight assets, infill drilling, and tiebacks), and an attractive queue of deepwater opportunities (such as in the Gulf of Mexico, Brazil, and West Africa). We also have an efficient, returns-focused Downstream &amp; Chemicals business.</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left="3406"/>
        <w:spacing w:after="0"/>
        <w:rPr>
          <w:sz w:val="20"/>
          <w:szCs w:val="20"/>
          <w:color w:val="auto"/>
        </w:rPr>
      </w:pPr>
      <w:r>
        <w:rPr>
          <w:rFonts w:ascii="Arial" w:cs="Arial" w:eastAsia="Arial" w:hAnsi="Arial"/>
          <w:sz w:val="14"/>
          <w:szCs w:val="14"/>
          <w:b w:val="1"/>
          <w:bCs w:val="1"/>
          <w:color w:val="FFFFFF"/>
        </w:rPr>
        <w:t>Executive compensation</w:t>
      </w:r>
    </w:p>
    <w:p>
      <w:pPr>
        <w:spacing w:after="0" w:line="200" w:lineRule="exact"/>
        <w:rPr>
          <w:sz w:val="20"/>
          <w:szCs w:val="20"/>
          <w:color w:val="auto"/>
        </w:rPr>
      </w:pPr>
    </w:p>
    <w:p>
      <w:pPr>
        <w:spacing w:after="0" w:line="390" w:lineRule="exact"/>
        <w:rPr>
          <w:sz w:val="20"/>
          <w:szCs w:val="20"/>
          <w:color w:val="auto"/>
        </w:rPr>
      </w:pPr>
    </w:p>
    <w:p>
      <w:pPr>
        <w:ind w:left="6" w:right="200"/>
        <w:spacing w:after="0" w:line="209" w:lineRule="auto"/>
        <w:rPr>
          <w:sz w:val="20"/>
          <w:szCs w:val="20"/>
          <w:color w:val="auto"/>
        </w:rPr>
      </w:pPr>
      <w:r>
        <w:rPr>
          <w:rFonts w:ascii="Arial" w:cs="Arial" w:eastAsia="Arial" w:hAnsi="Arial"/>
          <w:sz w:val="16"/>
          <w:szCs w:val="16"/>
          <w:color w:val="auto"/>
        </w:rPr>
        <w:t>Chevron continued to deliver competitive TSR performance among large-cap integrated energy companies</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over the one-, three-, five- and 10-year periods through the end of 2021.</w:t>
      </w:r>
    </w:p>
    <w:p>
      <w:pPr>
        <w:spacing w:after="0" w:line="84" w:lineRule="exact"/>
        <w:rPr>
          <w:sz w:val="20"/>
          <w:szCs w:val="20"/>
          <w:color w:val="auto"/>
        </w:rPr>
      </w:pPr>
    </w:p>
    <w:p>
      <w:pPr>
        <w:ind w:left="6" w:right="160"/>
        <w:spacing w:after="0" w:line="259" w:lineRule="auto"/>
        <w:rPr>
          <w:sz w:val="20"/>
          <w:szCs w:val="20"/>
          <w:color w:val="auto"/>
        </w:rPr>
      </w:pPr>
      <w:r>
        <w:rPr>
          <w:rFonts w:ascii="Arial" w:cs="Arial" w:eastAsia="Arial" w:hAnsi="Arial"/>
          <w:sz w:val="16"/>
          <w:szCs w:val="16"/>
          <w:color w:val="auto"/>
        </w:rPr>
        <w:t>The large-cap integrated energy companies outperformed the S&amp;P 500 Total Return Index in TSR over the one-year period but underperformed over the five- and 10-year periods in part due to the significant drop in commodity prices since 2014 and the impacts of COVID-19 on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-1475105</wp:posOffset>
            </wp:positionH>
            <wp:positionV relativeFrom="paragraph">
              <wp:posOffset>404495</wp:posOffset>
            </wp:positionV>
            <wp:extent cx="2811780" cy="1602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11780" cy="160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
        <w:spacing w:after="0" w:line="256" w:lineRule="auto"/>
        <w:rPr>
          <w:sz w:val="20"/>
          <w:szCs w:val="20"/>
          <w:color w:val="auto"/>
        </w:rPr>
      </w:pPr>
      <w:r>
        <w:rPr>
          <w:rFonts w:ascii="Arial" w:cs="Arial" w:eastAsia="Arial" w:hAnsi="Arial"/>
          <w:sz w:val="16"/>
          <w:szCs w:val="16"/>
          <w:color w:val="auto"/>
        </w:rPr>
        <w:t>We believe the future of energy will be lower carbon and we intend to be a leader in that future. We plan to lower the carbon intensity of our oil and gas operations and invest in new lower carbon energy solutions where we believe we can build competitive advantages and we plan to target major industries that cannot be easily electrified.</w:t>
      </w:r>
    </w:p>
    <w:p>
      <w:pPr>
        <w:spacing w:after="0" w:line="72" w:lineRule="exact"/>
        <w:rPr>
          <w:sz w:val="20"/>
          <w:szCs w:val="20"/>
          <w:color w:val="auto"/>
        </w:rPr>
      </w:pPr>
    </w:p>
    <w:p>
      <w:pPr>
        <w:ind w:left="6" w:right="20"/>
        <w:spacing w:after="0" w:line="251" w:lineRule="auto"/>
        <w:rPr>
          <w:sz w:val="20"/>
          <w:szCs w:val="20"/>
          <w:color w:val="auto"/>
        </w:rPr>
      </w:pPr>
      <w:r>
        <w:rPr>
          <w:rFonts w:ascii="Arial" w:cs="Arial" w:eastAsia="Arial" w:hAnsi="Arial"/>
          <w:sz w:val="16"/>
          <w:szCs w:val="16"/>
          <w:color w:val="auto"/>
        </w:rPr>
        <w:t>We believe our strategy positions Chevron to return cash to stockholders, today and into the future. We expect our financial strength and capital discipline to sustain our dividend in any reasonable price scenario while our portfolio is well positioned to generate excess cash in a strong commodity price environment. Finally, we have a proven management team, a talented organization, and a results-oriented culture, which we believe enable us to adapt to dynamic markets and deliver higher returns and lower carbon. As a company of problem solvers, we look to the future of energy with optimism, believing it to be essential to human progress.</w:t>
      </w:r>
    </w:p>
    <w:p>
      <w:pPr>
        <w:spacing w:after="0" w:line="190"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auto"/>
        </w:rPr>
        <w:t>Notes:</w:t>
      </w:r>
    </w:p>
    <w:p>
      <w:pPr>
        <w:spacing w:after="0" w:line="15" w:lineRule="exact"/>
        <w:rPr>
          <w:sz w:val="20"/>
          <w:szCs w:val="20"/>
          <w:color w:val="auto"/>
        </w:rPr>
      </w:pPr>
    </w:p>
    <w:p>
      <w:pPr>
        <w:ind w:left="326" w:hanging="326"/>
        <w:spacing w:after="0"/>
        <w:tabs>
          <w:tab w:leader="none" w:pos="326" w:val="left"/>
        </w:tabs>
        <w:numPr>
          <w:ilvl w:val="0"/>
          <w:numId w:val="58"/>
        </w:numPr>
        <w:rPr>
          <w:rFonts w:ascii="Arial" w:cs="Arial" w:eastAsia="Arial" w:hAnsi="Arial"/>
          <w:sz w:val="14"/>
          <w:szCs w:val="14"/>
          <w:color w:val="auto"/>
        </w:rPr>
      </w:pPr>
      <w:r>
        <w:rPr>
          <w:rFonts w:ascii="Arial" w:cs="Arial" w:eastAsia="Arial" w:hAnsi="Arial"/>
          <w:sz w:val="14"/>
          <w:szCs w:val="14"/>
          <w:color w:val="auto"/>
        </w:rPr>
        <w:t>CAGR = Compound Annual Growth Rate</w:t>
      </w:r>
    </w:p>
    <w:p>
      <w:pPr>
        <w:spacing w:after="0" w:line="68" w:lineRule="exact"/>
        <w:rPr>
          <w:sz w:val="20"/>
          <w:szCs w:val="20"/>
          <w:color w:val="auto"/>
        </w:rPr>
      </w:pPr>
    </w:p>
    <w:p>
      <w:pPr>
        <w:ind w:left="326" w:right="60" w:hanging="326"/>
        <w:spacing w:after="0" w:line="285" w:lineRule="auto"/>
        <w:tabs>
          <w:tab w:leader="none" w:pos="326" w:val="left"/>
        </w:tabs>
        <w:numPr>
          <w:ilvl w:val="0"/>
          <w:numId w:val="59"/>
        </w:numPr>
        <w:rPr>
          <w:rFonts w:ascii="Arial" w:cs="Arial" w:eastAsia="Arial" w:hAnsi="Arial"/>
          <w:sz w:val="14"/>
          <w:szCs w:val="14"/>
          <w:color w:val="auto"/>
        </w:rPr>
      </w:pPr>
      <w:r>
        <w:rPr>
          <w:rFonts w:ascii="Arial" w:cs="Arial" w:eastAsia="Arial" w:hAnsi="Arial"/>
          <w:sz w:val="14"/>
          <w:szCs w:val="14"/>
          <w:color w:val="auto"/>
        </w:rPr>
        <w:t>Peer group: BP, ExxonMobil, Shell, and TotalEnergies; dividends include both cash and scrip share distributions for European peers.</w:t>
      </w:r>
    </w:p>
    <w:p>
      <w:pPr>
        <w:spacing w:after="0" w:line="23" w:lineRule="exact"/>
        <w:rPr>
          <w:sz w:val="20"/>
          <w:szCs w:val="20"/>
          <w:color w:val="auto"/>
        </w:rPr>
      </w:pPr>
    </w:p>
    <w:p>
      <w:pPr>
        <w:ind w:left="326" w:right="40" w:hanging="326"/>
        <w:spacing w:after="0" w:line="263" w:lineRule="auto"/>
        <w:tabs>
          <w:tab w:leader="none" w:pos="326" w:val="left"/>
        </w:tabs>
        <w:numPr>
          <w:ilvl w:val="0"/>
          <w:numId w:val="60"/>
        </w:numPr>
        <w:rPr>
          <w:rFonts w:ascii="Arial" w:cs="Arial" w:eastAsia="Arial" w:hAnsi="Arial"/>
          <w:sz w:val="14"/>
          <w:szCs w:val="14"/>
          <w:color w:val="auto"/>
        </w:rPr>
      </w:pPr>
      <w:r>
        <w:rPr>
          <w:rFonts w:ascii="Arial" w:cs="Arial" w:eastAsia="Arial" w:hAnsi="Arial"/>
          <w:sz w:val="14"/>
          <w:szCs w:val="14"/>
          <w:color w:val="auto"/>
        </w:rPr>
        <w:t>Dividend yield at year-end reflects Chevron’s fourth quarter 2021 dividend per share annualized, divided by Chevron’s closing stock price on December 31, 2021.</w:t>
      </w:r>
    </w:p>
    <w:p>
      <w:pPr>
        <w:spacing w:after="0" w:line="200" w:lineRule="exact"/>
        <w:rPr>
          <w:sz w:val="20"/>
          <w:szCs w:val="20"/>
          <w:color w:val="auto"/>
        </w:rPr>
      </w:pPr>
    </w:p>
    <w:p>
      <w:pPr>
        <w:sectPr>
          <w:pgSz w:w="11900" w:h="16838" w:orient="portrait"/>
          <w:cols w:equalWidth="0" w:num="2">
            <w:col w:w="5380" w:space="354"/>
            <w:col w:w="5306"/>
          </w:cols>
          <w:pgMar w:left="320" w:top="455" w:right="539" w:bottom="1440" w:gutter="0" w:footer="0" w:header="0"/>
          <w:type w:val="continuous"/>
        </w:sectPr>
      </w:pPr>
    </w:p>
    <w:p>
      <w:pPr>
        <w:spacing w:after="0" w:line="45"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Chevron Corporation – 2022 Proxy Statement</w:t>
      </w:r>
    </w:p>
    <w:p>
      <w:pPr>
        <w:spacing w:after="0" w:line="65"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1040"/>
          </w:cols>
          <w:pgMar w:left="320" w:top="455" w:right="539" w:bottom="1440" w:gutter="0" w:footer="0" w:header="0"/>
          <w:type w:val="continuous"/>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40589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405890" cy="146050"/>
                    </a:xfrm>
                    <a:prstGeom prst="rect">
                      <a:avLst/>
                    </a:prstGeom>
                    <a:noFill/>
                  </pic:spPr>
                </pic:pic>
              </a:graphicData>
            </a:graphic>
          </wp:anchor>
        </w:drawing>
      </w:r>
    </w:p>
    <w:p>
      <w:pPr>
        <w:spacing w:after="0" w:line="33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118110</wp:posOffset>
            </wp:positionV>
            <wp:extent cx="5212080" cy="17227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1208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Note:</w:t>
      </w:r>
    </w:p>
    <w:p>
      <w:pPr>
        <w:spacing w:after="0" w:line="18" w:lineRule="exact"/>
        <w:rPr>
          <w:sz w:val="20"/>
          <w:szCs w:val="20"/>
          <w:color w:val="auto"/>
        </w:rPr>
      </w:pPr>
    </w:p>
    <w:p>
      <w:pPr>
        <w:ind w:left="540" w:hanging="424"/>
        <w:spacing w:after="0"/>
        <w:tabs>
          <w:tab w:leader="none" w:pos="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Figures rounded.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2021 compensation outcomes and program design changes</w:t>
      </w:r>
    </w:p>
    <w:p>
      <w:pPr>
        <w:spacing w:after="0" w:line="112" w:lineRule="exact"/>
        <w:rPr>
          <w:sz w:val="20"/>
          <w:szCs w:val="20"/>
          <w:color w:val="auto"/>
        </w:rPr>
      </w:pPr>
    </w:p>
    <w:p>
      <w:pPr>
        <w:ind w:left="120" w:right="460"/>
        <w:spacing w:after="0" w:line="286" w:lineRule="auto"/>
        <w:rPr>
          <w:sz w:val="20"/>
          <w:szCs w:val="20"/>
          <w:color w:val="auto"/>
        </w:rPr>
      </w:pPr>
      <w:r>
        <w:rPr>
          <w:rFonts w:ascii="Arial" w:cs="Arial" w:eastAsia="Arial" w:hAnsi="Arial"/>
          <w:sz w:val="16"/>
          <w:szCs w:val="16"/>
          <w:color w:val="auto"/>
        </w:rPr>
        <w:t>The Chevron Board Management Compensation Committee (“MCC”) maintained a disciplined and consistent approach through a year of ongoing pandemic challenges and economic recovery. The 2021 key compensation outcomes and program design changes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47625</wp:posOffset>
            </wp:positionV>
            <wp:extent cx="6995160" cy="16033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603375"/>
                    </a:xfrm>
                    <a:prstGeom prst="rect">
                      <a:avLst/>
                    </a:prstGeom>
                    <a:noFill/>
                  </pic:spPr>
                </pic:pic>
              </a:graphicData>
            </a:graphic>
          </wp:anchor>
        </w:drawing>
      </w:r>
    </w:p>
    <w:p>
      <w:pPr>
        <w:spacing w:after="0" w:line="82" w:lineRule="exact"/>
        <w:rPr>
          <w:sz w:val="20"/>
          <w:szCs w:val="20"/>
          <w:color w:val="auto"/>
        </w:rPr>
      </w:pPr>
    </w:p>
    <w:p>
      <w:pPr>
        <w:ind w:left="340" w:hanging="116"/>
        <w:spacing w:after="0"/>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No change in any NEO’s 2021 salary and target compensation level.</w:t>
      </w:r>
    </w:p>
    <w:p>
      <w:pPr>
        <w:spacing w:after="0" w:line="126" w:lineRule="exact"/>
        <w:rPr>
          <w:rFonts w:ascii="Arial" w:cs="Arial" w:eastAsia="Arial" w:hAnsi="Arial"/>
          <w:sz w:val="16"/>
          <w:szCs w:val="16"/>
          <w:color w:val="auto"/>
        </w:rPr>
      </w:pPr>
    </w:p>
    <w:p>
      <w:pPr>
        <w:ind w:left="360" w:right="580" w:hanging="136"/>
        <w:spacing w:after="0" w:line="286" w:lineRule="auto"/>
        <w:tabs>
          <w:tab w:leader="none" w:pos="329" w:val="left"/>
        </w:tabs>
        <w:numPr>
          <w:ilvl w:val="0"/>
          <w:numId w:val="62"/>
        </w:numPr>
        <w:rPr>
          <w:rFonts w:ascii="Arial" w:cs="Arial" w:eastAsia="Arial" w:hAnsi="Arial"/>
          <w:sz w:val="16"/>
          <w:szCs w:val="16"/>
          <w:color w:val="auto"/>
        </w:rPr>
      </w:pPr>
      <w:r>
        <w:rPr>
          <w:rFonts w:ascii="Arial" w:cs="Arial" w:eastAsia="Arial" w:hAnsi="Arial"/>
          <w:sz w:val="16"/>
          <w:szCs w:val="16"/>
          <w:color w:val="auto"/>
        </w:rPr>
        <w:t>Added Energy Transition as one of the four annual bonus performance categories – further linking a portion of employees’ annual bonuses to advancing a lower carbon future.</w:t>
      </w:r>
    </w:p>
    <w:p>
      <w:pPr>
        <w:spacing w:after="0" w:line="61" w:lineRule="exact"/>
        <w:rPr>
          <w:rFonts w:ascii="Arial" w:cs="Arial" w:eastAsia="Arial" w:hAnsi="Arial"/>
          <w:sz w:val="16"/>
          <w:szCs w:val="16"/>
          <w:color w:val="auto"/>
        </w:rPr>
      </w:pPr>
    </w:p>
    <w:p>
      <w:pPr>
        <w:ind w:left="360" w:right="160" w:hanging="136"/>
        <w:spacing w:after="0" w:line="286" w:lineRule="auto"/>
        <w:tabs>
          <w:tab w:leader="none" w:pos="329" w:val="left"/>
        </w:tabs>
        <w:numPr>
          <w:ilvl w:val="0"/>
          <w:numId w:val="62"/>
        </w:numPr>
        <w:rPr>
          <w:rFonts w:ascii="Arial" w:cs="Arial" w:eastAsia="Arial" w:hAnsi="Arial"/>
          <w:sz w:val="16"/>
          <w:szCs w:val="16"/>
          <w:color w:val="auto"/>
        </w:rPr>
      </w:pPr>
      <w:r>
        <w:rPr>
          <w:rFonts w:ascii="Arial" w:cs="Arial" w:eastAsia="Arial" w:hAnsi="Arial"/>
          <w:sz w:val="16"/>
          <w:szCs w:val="16"/>
          <w:color w:val="auto"/>
        </w:rPr>
        <w:t>Added a second LTIP performance share metric, Relative ROCE Improvement – linking LTIP performance share payouts to our focus on delivering higher returns.</w:t>
      </w:r>
    </w:p>
    <w:p>
      <w:pPr>
        <w:spacing w:after="0" w:line="61" w:lineRule="exact"/>
        <w:rPr>
          <w:rFonts w:ascii="Arial" w:cs="Arial" w:eastAsia="Arial" w:hAnsi="Arial"/>
          <w:sz w:val="16"/>
          <w:szCs w:val="16"/>
          <w:color w:val="auto"/>
        </w:rPr>
      </w:pPr>
    </w:p>
    <w:p>
      <w:pPr>
        <w:ind w:left="360" w:right="480" w:hanging="136"/>
        <w:spacing w:after="0" w:line="286" w:lineRule="auto"/>
        <w:tabs>
          <w:tab w:leader="none" w:pos="329" w:val="left"/>
        </w:tabs>
        <w:numPr>
          <w:ilvl w:val="0"/>
          <w:numId w:val="62"/>
        </w:numPr>
        <w:rPr>
          <w:rFonts w:ascii="Arial" w:cs="Arial" w:eastAsia="Arial" w:hAnsi="Arial"/>
          <w:sz w:val="16"/>
          <w:szCs w:val="16"/>
          <w:color w:val="auto"/>
        </w:rPr>
      </w:pPr>
      <w:r>
        <w:rPr>
          <w:rFonts w:ascii="Arial" w:cs="Arial" w:eastAsia="Arial" w:hAnsi="Arial"/>
          <w:sz w:val="16"/>
          <w:szCs w:val="16"/>
          <w:color w:val="auto"/>
        </w:rPr>
        <w:t>Achieved a 1.50 corporate performance rating for the annual bonus plan as a result of strong financial and operating performance; CEO bonus payout at $4,500,000.</w:t>
      </w:r>
    </w:p>
    <w:p>
      <w:pPr>
        <w:spacing w:after="0" w:line="61" w:lineRule="exact"/>
        <w:rPr>
          <w:rFonts w:ascii="Arial" w:cs="Arial" w:eastAsia="Arial" w:hAnsi="Arial"/>
          <w:sz w:val="16"/>
          <w:szCs w:val="16"/>
          <w:color w:val="auto"/>
        </w:rPr>
      </w:pPr>
    </w:p>
    <w:p>
      <w:pPr>
        <w:ind w:left="360" w:right="180" w:hanging="136"/>
        <w:spacing w:after="0" w:line="286" w:lineRule="auto"/>
        <w:tabs>
          <w:tab w:leader="none" w:pos="338" w:val="left"/>
        </w:tabs>
        <w:numPr>
          <w:ilvl w:val="0"/>
          <w:numId w:val="62"/>
        </w:numPr>
        <w:rPr>
          <w:rFonts w:ascii="Arial" w:cs="Arial" w:eastAsia="Arial" w:hAnsi="Arial"/>
          <w:sz w:val="16"/>
          <w:szCs w:val="16"/>
          <w:color w:val="auto"/>
        </w:rPr>
      </w:pPr>
      <w:r>
        <w:rPr>
          <w:rFonts w:ascii="Arial" w:cs="Arial" w:eastAsia="Arial" w:hAnsi="Arial"/>
          <w:sz w:val="16"/>
          <w:szCs w:val="16"/>
          <w:color w:val="auto"/>
        </w:rPr>
        <w:t>Certified the 2019-2021 performance share modifier at 160%, reflective of No. 2 ranking in relative TSR comparison, which includes industry peers and the S&amp;P 500 Total Return Index.</w:t>
      </w:r>
    </w:p>
    <w:p>
      <w:pPr>
        <w:sectPr>
          <w:pgSz w:w="11900" w:h="16838" w:orient="portrait"/>
          <w:cols w:equalWidth="0" w:num="1">
            <w:col w:w="11000"/>
          </w:cols>
          <w:pgMar w:left="320" w:top="455" w:right="57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Pay philosophy</w:t>
      </w:r>
    </w:p>
    <w:p>
      <w:pPr>
        <w:spacing w:after="0" w:line="180"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The overall objective of our executive compensation program is to attract and retain management who will deliver long-term stockholder value in any business environment. Our compensation programs are designed with several important values and objectives in mind:</w:t>
      </w:r>
    </w:p>
    <w:p>
      <w:pPr>
        <w:spacing w:after="0" w:line="83" w:lineRule="exact"/>
        <w:rPr>
          <w:sz w:val="20"/>
          <w:szCs w:val="20"/>
          <w:color w:val="auto"/>
        </w:rPr>
      </w:pPr>
    </w:p>
    <w:p>
      <w:pPr>
        <w:ind w:left="300" w:right="240" w:hanging="184"/>
        <w:spacing w:after="0" w:line="256" w:lineRule="auto"/>
        <w:tabs>
          <w:tab w:leader="none" w:pos="3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Pay competitively across all salary grades and all geographies; our target compensation is determined by benchmarking comparable positions at other companies of equivalent size, scale, complexity, capital intensity, and geographic footprint. We reference both oil industry peers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6" w:right="20"/>
        <w:spacing w:after="0" w:line="286" w:lineRule="auto"/>
        <w:rPr>
          <w:sz w:val="20"/>
          <w:szCs w:val="20"/>
          <w:color w:val="auto"/>
        </w:rPr>
      </w:pPr>
      <w:r>
        <w:rPr>
          <w:rFonts w:ascii="Arial" w:cs="Arial" w:eastAsia="Arial" w:hAnsi="Arial"/>
          <w:sz w:val="16"/>
          <w:szCs w:val="16"/>
          <w:color w:val="auto"/>
        </w:rPr>
        <w:t>and non-oil industry peers in this analysis. Refer to pages 47 and 48 for additional details;</w:t>
      </w:r>
    </w:p>
    <w:p>
      <w:pPr>
        <w:spacing w:after="0" w:line="61" w:lineRule="exact"/>
        <w:rPr>
          <w:sz w:val="20"/>
          <w:szCs w:val="20"/>
          <w:color w:val="auto"/>
        </w:rPr>
      </w:pPr>
    </w:p>
    <w:p>
      <w:pPr>
        <w:ind w:left="166" w:hanging="166"/>
        <w:spacing w:after="0" w:line="286" w:lineRule="auto"/>
        <w:tabs>
          <w:tab w:leader="none" w:pos="166"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Balance short-term and long-term decision making in support of a long-cycle-time business with a long-term employment model;</w:t>
      </w:r>
    </w:p>
    <w:p>
      <w:pPr>
        <w:spacing w:after="0" w:line="61" w:lineRule="exact"/>
        <w:rPr>
          <w:rFonts w:ascii="Arial" w:cs="Arial" w:eastAsia="Arial" w:hAnsi="Arial"/>
          <w:sz w:val="16"/>
          <w:szCs w:val="16"/>
          <w:color w:val="auto"/>
        </w:rPr>
      </w:pPr>
    </w:p>
    <w:p>
      <w:pPr>
        <w:ind w:left="166" w:right="480" w:hanging="166"/>
        <w:spacing w:after="0" w:line="286" w:lineRule="auto"/>
        <w:tabs>
          <w:tab w:leader="none" w:pos="166" w:val="left"/>
        </w:tabs>
        <w:numPr>
          <w:ilvl w:val="0"/>
          <w:numId w:val="64"/>
        </w:numPr>
        <w:rPr>
          <w:rFonts w:ascii="Arial" w:cs="Arial" w:eastAsia="Arial" w:hAnsi="Arial"/>
          <w:sz w:val="16"/>
          <w:szCs w:val="16"/>
          <w:color w:val="auto"/>
        </w:rPr>
      </w:pPr>
      <w:r>
        <w:rPr>
          <w:rFonts w:ascii="Arial" w:cs="Arial" w:eastAsia="Arial" w:hAnsi="Arial"/>
          <w:sz w:val="16"/>
          <w:szCs w:val="16"/>
          <w:color w:val="auto"/>
        </w:rPr>
        <w:t>Pay for absolute and competitive performance, in alignment with stockholder returns; and</w:t>
      </w:r>
    </w:p>
    <w:p>
      <w:pPr>
        <w:spacing w:after="0" w:line="61" w:lineRule="exact"/>
        <w:rPr>
          <w:rFonts w:ascii="Arial" w:cs="Arial" w:eastAsia="Arial" w:hAnsi="Arial"/>
          <w:sz w:val="16"/>
          <w:szCs w:val="16"/>
          <w:color w:val="auto"/>
        </w:rPr>
      </w:pPr>
    </w:p>
    <w:p>
      <w:pPr>
        <w:ind w:left="166" w:right="520" w:hanging="166"/>
        <w:spacing w:after="0" w:line="286" w:lineRule="auto"/>
        <w:tabs>
          <w:tab w:leader="none" w:pos="166" w:val="left"/>
        </w:tabs>
        <w:numPr>
          <w:ilvl w:val="0"/>
          <w:numId w:val="64"/>
        </w:numPr>
        <w:rPr>
          <w:rFonts w:ascii="Arial" w:cs="Arial" w:eastAsia="Arial" w:hAnsi="Arial"/>
          <w:sz w:val="16"/>
          <w:szCs w:val="16"/>
          <w:color w:val="auto"/>
        </w:rPr>
      </w:pPr>
      <w:r>
        <w:rPr>
          <w:rFonts w:ascii="Arial" w:cs="Arial" w:eastAsia="Arial" w:hAnsi="Arial"/>
          <w:sz w:val="16"/>
          <w:szCs w:val="16"/>
          <w:color w:val="auto"/>
        </w:rPr>
        <w:t>Apply compensation program rules in a manner that is internally consistent.</w:t>
      </w:r>
    </w:p>
    <w:p>
      <w:pPr>
        <w:spacing w:after="0" w:line="200" w:lineRule="exact"/>
        <w:rPr>
          <w:sz w:val="20"/>
          <w:szCs w:val="20"/>
          <w:color w:val="auto"/>
        </w:rPr>
      </w:pPr>
    </w:p>
    <w:p>
      <w:pPr>
        <w:sectPr>
          <w:pgSz w:w="11900" w:h="16838" w:orient="portrait"/>
          <w:cols w:equalWidth="0" w:num="2">
            <w:col w:w="5320" w:space="414"/>
            <w:col w:w="5266"/>
          </w:cols>
          <w:pgMar w:left="320" w:top="455" w:right="579" w:bottom="1440" w:gutter="0" w:footer="0" w:header="0"/>
          <w:type w:val="continuous"/>
        </w:sectPr>
      </w:pPr>
    </w:p>
    <w:p>
      <w:pPr>
        <w:spacing w:after="0" w:line="33"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Chevron Corporation – 2022 Proxy Statement</w:t>
      </w:r>
    </w:p>
    <w:p>
      <w:pPr>
        <w:spacing w:after="0" w:line="78"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000"/>
          </w:cols>
          <w:pgMar w:left="320" w:top="455" w:right="579" w:bottom="1440" w:gutter="0" w:footer="0" w:header="0"/>
          <w:type w:val="continuous"/>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208280</wp:posOffset>
            </wp:positionV>
            <wp:extent cx="1474470" cy="145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74470" cy="145415"/>
                    </a:xfrm>
                    <a:prstGeom prst="rect">
                      <a:avLst/>
                    </a:prstGeom>
                    <a:noFill/>
                  </pic:spPr>
                </pic:pic>
              </a:graphicData>
            </a:graphic>
          </wp:anchor>
        </w:drawing>
      </w:r>
    </w:p>
    <w:p>
      <w:pPr>
        <w:spacing w:after="0" w:line="339"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FFFFFF"/>
        </w:rPr>
        <w:t>Executive compensation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Pay element</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material components of our executive compensation program are summarized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166370</wp:posOffset>
            </wp:positionV>
            <wp:extent cx="5837555" cy="26231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3755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Pay mix</w:t>
      </w:r>
    </w:p>
    <w:p>
      <w:pPr>
        <w:spacing w:after="0" w:line="112" w:lineRule="exact"/>
        <w:rPr>
          <w:sz w:val="20"/>
          <w:szCs w:val="20"/>
          <w:color w:val="auto"/>
        </w:rPr>
      </w:pPr>
    </w:p>
    <w:p>
      <w:pPr>
        <w:jc w:val="both"/>
        <w:ind w:left="120"/>
        <w:spacing w:after="0" w:line="266" w:lineRule="auto"/>
        <w:rPr>
          <w:sz w:val="20"/>
          <w:szCs w:val="20"/>
          <w:color w:val="auto"/>
        </w:rPr>
      </w:pPr>
      <w:r>
        <w:rPr>
          <w:rFonts w:ascii="Arial" w:cs="Arial" w:eastAsia="Arial" w:hAnsi="Arial"/>
          <w:sz w:val="16"/>
          <w:szCs w:val="16"/>
          <w:color w:val="auto"/>
        </w:rPr>
        <w:t>The MCC believes a large majority of each NEO’s target compensation should be at risk based on Company performance (approximately 92% for the CEO and 84% for the other NEOs), and the majority of this at-risk compensation should be tied to Chevron’s stock price. The amount NEOs eventually earn from their at-risk compensation will align strongly with what stockholders earn over that same period from their investment in Chevron.</w:t>
      </w:r>
    </w:p>
    <w:p>
      <w:pPr>
        <w:sectPr>
          <w:pgSz w:w="11900" w:h="16838" w:orient="portrait"/>
          <w:cols w:equalWidth="0" w:num="1">
            <w:col w:w="10900"/>
          </w:cols>
          <w:pgMar w:left="320" w:top="455" w:right="679" w:bottom="1440" w:gutter="0" w:footer="0" w:header="0"/>
        </w:sectPr>
      </w:pPr>
    </w:p>
    <w:p>
      <w:pPr>
        <w:spacing w:after="0" w:line="193" w:lineRule="exact"/>
        <w:rPr>
          <w:sz w:val="20"/>
          <w:szCs w:val="20"/>
          <w:color w:val="auto"/>
        </w:rPr>
      </w:pPr>
    </w:p>
    <w:p>
      <w:pPr>
        <w:jc w:val="center"/>
        <w:ind w:right="1440"/>
        <w:spacing w:after="0"/>
        <w:rPr>
          <w:sz w:val="20"/>
          <w:szCs w:val="20"/>
          <w:color w:val="auto"/>
        </w:rPr>
      </w:pPr>
      <w:r>
        <w:rPr>
          <w:rFonts w:ascii="Arial" w:cs="Arial" w:eastAsia="Arial" w:hAnsi="Arial"/>
          <w:sz w:val="18"/>
          <w:szCs w:val="18"/>
          <w:b w:val="1"/>
          <w:bCs w:val="1"/>
          <w:color w:val="0B2D71"/>
        </w:rPr>
        <w:t>2021 CEO</w:t>
      </w:r>
    </w:p>
    <w:p>
      <w:pPr>
        <w:spacing w:after="0" w:line="14" w:lineRule="exact"/>
        <w:rPr>
          <w:sz w:val="20"/>
          <w:szCs w:val="20"/>
          <w:color w:val="auto"/>
        </w:rPr>
      </w:pPr>
    </w:p>
    <w:p>
      <w:pPr>
        <w:jc w:val="center"/>
        <w:ind w:right="1440"/>
        <w:spacing w:after="0"/>
        <w:rPr>
          <w:sz w:val="20"/>
          <w:szCs w:val="20"/>
          <w:color w:val="auto"/>
        </w:rPr>
      </w:pPr>
      <w:r>
        <w:rPr>
          <w:rFonts w:ascii="Arial" w:cs="Arial" w:eastAsia="Arial" w:hAnsi="Arial"/>
          <w:sz w:val="17"/>
          <w:szCs w:val="17"/>
          <w:b w:val="1"/>
          <w:bCs w:val="1"/>
          <w:color w:val="0B2D71"/>
        </w:rPr>
        <w:t>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90805</wp:posOffset>
            </wp:positionV>
            <wp:extent cx="2211705" cy="16116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211705" cy="1611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2060"/>
        <w:spacing w:after="0"/>
        <w:rPr>
          <w:sz w:val="20"/>
          <w:szCs w:val="20"/>
          <w:color w:val="auto"/>
        </w:rPr>
      </w:pPr>
      <w:r>
        <w:rPr>
          <w:rFonts w:ascii="Arial" w:cs="Arial" w:eastAsia="Arial" w:hAnsi="Arial"/>
          <w:sz w:val="18"/>
          <w:szCs w:val="18"/>
          <w:b w:val="1"/>
          <w:bCs w:val="1"/>
          <w:color w:val="0B2D71"/>
        </w:rPr>
        <w:t>2021 other NEOs</w:t>
      </w:r>
    </w:p>
    <w:p>
      <w:pPr>
        <w:spacing w:after="0" w:line="14" w:lineRule="exact"/>
        <w:rPr>
          <w:sz w:val="20"/>
          <w:szCs w:val="20"/>
          <w:color w:val="auto"/>
        </w:rPr>
      </w:pPr>
    </w:p>
    <w:p>
      <w:pPr>
        <w:jc w:val="center"/>
        <w:ind w:right="2060"/>
        <w:spacing w:after="0"/>
        <w:rPr>
          <w:sz w:val="20"/>
          <w:szCs w:val="20"/>
          <w:color w:val="auto"/>
        </w:rPr>
      </w:pPr>
      <w:r>
        <w:rPr>
          <w:rFonts w:ascii="Arial" w:cs="Arial" w:eastAsia="Arial" w:hAnsi="Arial"/>
          <w:sz w:val="17"/>
          <w:szCs w:val="17"/>
          <w:b w:val="1"/>
          <w:bCs w:val="1"/>
          <w:color w:val="0B2D71"/>
        </w:rPr>
        <w:t>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90805</wp:posOffset>
            </wp:positionV>
            <wp:extent cx="2194560" cy="16116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94560" cy="1611630"/>
                    </a:xfrm>
                    <a:prstGeom prst="rect">
                      <a:avLst/>
                    </a:prstGeom>
                    <a:noFill/>
                  </pic:spPr>
                </pic:pic>
              </a:graphicData>
            </a:graphic>
          </wp:anchor>
        </w:drawing>
        <w:drawing>
          <wp:anchor simplePos="0" relativeHeight="251657728" behindDoc="1" locked="0" layoutInCell="0" allowOverlap="1">
            <wp:simplePos x="0" y="0"/>
            <wp:positionH relativeFrom="column">
              <wp:posOffset>-2152650</wp:posOffset>
            </wp:positionH>
            <wp:positionV relativeFrom="paragraph">
              <wp:posOffset>1925320</wp:posOffset>
            </wp:positionV>
            <wp:extent cx="2228850" cy="1200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22885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40" w:space="720"/>
            <w:col w:w="3640"/>
          </w:cols>
          <w:pgMar w:left="320" w:top="455"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580"/>
        <w:spacing w:after="0"/>
        <w:rPr>
          <w:sz w:val="20"/>
          <w:szCs w:val="20"/>
          <w:color w:val="auto"/>
        </w:rPr>
      </w:pPr>
      <w:r>
        <w:rPr>
          <w:rFonts w:ascii="Arial" w:cs="Arial" w:eastAsia="Arial" w:hAnsi="Arial"/>
          <w:sz w:val="12"/>
          <w:szCs w:val="12"/>
          <w:b w:val="1"/>
          <w:bCs w:val="1"/>
          <w:color w:val="auto"/>
        </w:rPr>
        <w:t>*Comprised of the following equity vehicles: 50% Performance Shares, 25% RSUs, 25% Stock Options</w:t>
      </w:r>
    </w:p>
    <w:p>
      <w:pPr>
        <w:spacing w:after="0" w:line="146"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359"/>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0900"/>
          </w:cols>
          <w:pgMar w:left="320" w:top="455" w:right="67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405890" cy="145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05890" cy="145415"/>
                    </a:xfrm>
                    <a:prstGeom prst="rect">
                      <a:avLst/>
                    </a:prstGeom>
                    <a:noFill/>
                  </pic:spPr>
                </pic:pic>
              </a:graphicData>
            </a:graphic>
          </wp:anchor>
        </w:drawing>
      </w:r>
    </w:p>
    <w:p>
      <w:pPr>
        <w:spacing w:after="0" w:line="33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Executive compensation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2021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166370</wp:posOffset>
            </wp:positionV>
            <wp:extent cx="6960870" cy="9340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60870" cy="934085"/>
                    </a:xfrm>
                    <a:prstGeom prst="rect">
                      <a:avLst/>
                    </a:prstGeom>
                    <a:noFill/>
                  </pic:spPr>
                </pic:pic>
              </a:graphicData>
            </a:graphic>
          </wp:anchor>
        </w:drawing>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FFFFFF"/>
        </w:rPr>
        <w:t>Chevron’s Named Executive Officers, or NEOs</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Michael K. Wirth, Chairman and Chief Executive Officer</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Pierre R. Breber, Vice President and Chief Financial Officer</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James W. Johnson, Executive Vice President, Upstream</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Joseph C. Geagea, Executive Vice President and Senior Advisor to Chevron’s Chairman and CEO</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Mark A. Nelson, Executive Vice President, Downstream &amp; Chemicals</w:t>
      </w:r>
    </w:p>
    <w:p>
      <w:pPr>
        <w:spacing w:after="0" w:line="154" w:lineRule="exact"/>
        <w:rPr>
          <w:sz w:val="20"/>
          <w:szCs w:val="20"/>
          <w:color w:val="auto"/>
        </w:rPr>
      </w:pPr>
    </w:p>
    <w:p>
      <w:pPr>
        <w:ind w:left="120" w:right="640"/>
        <w:spacing w:after="0" w:line="286" w:lineRule="auto"/>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Mr. Geagea served as Executive Vice President of Technology, Projects, and Services from June 2015 to August 2021. In August 2021, he</w:t>
      </w:r>
      <w:r>
        <w:rPr>
          <w:rFonts w:ascii="Arial" w:cs="Arial" w:eastAsia="Arial" w:hAnsi="Arial"/>
          <w:sz w:val="16"/>
          <w:szCs w:val="16"/>
          <w:b w:val="1"/>
          <w:bCs w:val="1"/>
          <w:color w:val="auto"/>
        </w:rPr>
        <w:t xml:space="preserve"> </w:t>
      </w:r>
      <w:r>
        <w:rPr>
          <w:rFonts w:ascii="Arial" w:cs="Arial" w:eastAsia="Arial" w:hAnsi="Arial"/>
          <w:sz w:val="16"/>
          <w:szCs w:val="16"/>
          <w:color w:val="auto"/>
        </w:rPr>
        <w:t>transitioned to Executive Vice President and Senior Advisor to Chevron’s Chairman and CEO, a position he will hold until his retirement in 2022.</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2021 NEO target compensation</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table below summarizes the 2021 target compensation opportunities the Board and the MCC approved for the NEOs, which were the same as 2020.</w:t>
      </w:r>
    </w:p>
    <w:p>
      <w:pPr>
        <w:spacing w:after="0" w:line="262" w:lineRule="exact"/>
        <w:rPr>
          <w:sz w:val="20"/>
          <w:szCs w:val="20"/>
          <w:color w:val="auto"/>
        </w:rPr>
      </w:pPr>
    </w:p>
    <w:tbl>
      <w:tblPr>
        <w:tblLayout w:type="fixed"/>
        <w:tblInd w:w="130" w:type="dxa"/>
        <w:tblCellMar>
          <w:top w:w="0" w:type="dxa"/>
          <w:left w:w="0" w:type="dxa"/>
          <w:bottom w:w="0" w:type="dxa"/>
          <w:right w:w="0" w:type="dxa"/>
        </w:tblCellMar>
      </w:tblPr>
      <w:tr>
        <w:trPr>
          <w:trHeight w:val="202"/>
        </w:trPr>
        <w:tc>
          <w:tcPr>
            <w:tcW w:w="3240" w:type="dxa"/>
            <w:vAlign w:val="bottom"/>
            <w:tcBorders>
              <w:left w:val="single" w:sz="8" w:color="7F7F7F"/>
            </w:tcBorders>
            <w:vMerge w:val="restart"/>
            <w:shd w:val="clear" w:color="auto" w:fill="0066B2"/>
          </w:tcPr>
          <w:p>
            <w:pPr>
              <w:ind w:left="160"/>
              <w:spacing w:after="0"/>
              <w:rPr>
                <w:sz w:val="20"/>
                <w:szCs w:val="20"/>
                <w:color w:val="auto"/>
              </w:rPr>
            </w:pPr>
            <w:r>
              <w:rPr>
                <w:rFonts w:ascii="Arial" w:cs="Arial" w:eastAsia="Arial" w:hAnsi="Arial"/>
                <w:sz w:val="16"/>
                <w:szCs w:val="16"/>
                <w:b w:val="1"/>
                <w:bCs w:val="1"/>
                <w:color w:val="FFFFFF"/>
              </w:rPr>
              <w:t>Name</w:t>
            </w:r>
          </w:p>
        </w:tc>
        <w:tc>
          <w:tcPr>
            <w:tcW w:w="2820" w:type="dxa"/>
            <w:vAlign w:val="bottom"/>
            <w:gridSpan w:val="2"/>
            <w:vMerge w:val="restart"/>
            <w:shd w:val="clear" w:color="auto" w:fill="0066B2"/>
          </w:tcPr>
          <w:p>
            <w:pPr>
              <w:jc w:val="right"/>
              <w:ind w:right="119"/>
              <w:spacing w:after="0"/>
              <w:rPr>
                <w:sz w:val="20"/>
                <w:szCs w:val="20"/>
                <w:color w:val="auto"/>
              </w:rPr>
            </w:pPr>
            <w:r>
              <w:rPr>
                <w:rFonts w:ascii="Arial" w:cs="Arial" w:eastAsia="Arial" w:hAnsi="Arial"/>
                <w:sz w:val="16"/>
                <w:szCs w:val="16"/>
                <w:b w:val="1"/>
                <w:bCs w:val="1"/>
                <w:color w:val="FFFFFF"/>
              </w:rPr>
              <w:t>Base salary</w:t>
            </w:r>
          </w:p>
        </w:tc>
        <w:tc>
          <w:tcPr>
            <w:tcW w:w="1780" w:type="dxa"/>
            <w:vAlign w:val="bottom"/>
            <w:vMerge w:val="restart"/>
            <w:shd w:val="clear" w:color="auto" w:fill="0066B2"/>
          </w:tcPr>
          <w:p>
            <w:pPr>
              <w:jc w:val="center"/>
              <w:spacing w:after="0"/>
              <w:rPr>
                <w:sz w:val="20"/>
                <w:szCs w:val="20"/>
                <w:color w:val="auto"/>
              </w:rPr>
            </w:pPr>
            <w:r>
              <w:rPr>
                <w:rFonts w:ascii="Arial" w:cs="Arial" w:eastAsia="Arial" w:hAnsi="Arial"/>
                <w:sz w:val="16"/>
                <w:szCs w:val="16"/>
                <w:b w:val="1"/>
                <w:bCs w:val="1"/>
                <w:color w:val="FFFFFF"/>
                <w:w w:val="99"/>
              </w:rPr>
              <w:t>Target CIP</w:t>
            </w:r>
          </w:p>
        </w:tc>
        <w:tc>
          <w:tcPr>
            <w:tcW w:w="1680" w:type="dxa"/>
            <w:vAlign w:val="bottom"/>
            <w:gridSpan w:val="2"/>
            <w:vMerge w:val="restart"/>
            <w:shd w:val="clear" w:color="auto" w:fill="0066B2"/>
          </w:tcPr>
          <w:p>
            <w:pPr>
              <w:jc w:val="right"/>
              <w:ind w:right="119"/>
              <w:spacing w:after="0"/>
              <w:rPr>
                <w:sz w:val="20"/>
                <w:szCs w:val="20"/>
                <w:color w:val="auto"/>
              </w:rPr>
            </w:pPr>
            <w:r>
              <w:rPr>
                <w:rFonts w:ascii="Arial" w:cs="Arial" w:eastAsia="Arial" w:hAnsi="Arial"/>
                <w:sz w:val="16"/>
                <w:szCs w:val="16"/>
                <w:b w:val="1"/>
                <w:bCs w:val="1"/>
                <w:color w:val="FFFFFF"/>
              </w:rPr>
              <w:t>LTIP target value</w:t>
            </w:r>
          </w:p>
        </w:tc>
        <w:tc>
          <w:tcPr>
            <w:tcW w:w="1440" w:type="dxa"/>
            <w:vAlign w:val="bottom"/>
            <w:tcBorders>
              <w:right w:val="single" w:sz="8" w:color="7F7F7F"/>
            </w:tcBorders>
            <w:gridSpan w:val="2"/>
            <w:shd w:val="clear" w:color="auto" w:fill="0066B2"/>
          </w:tcPr>
          <w:p>
            <w:pPr>
              <w:jc w:val="right"/>
              <w:ind w:right="179"/>
              <w:spacing w:after="0"/>
              <w:rPr>
                <w:sz w:val="20"/>
                <w:szCs w:val="20"/>
                <w:color w:val="auto"/>
              </w:rPr>
            </w:pPr>
            <w:r>
              <w:rPr>
                <w:rFonts w:ascii="Arial" w:cs="Arial" w:eastAsia="Arial" w:hAnsi="Arial"/>
                <w:sz w:val="16"/>
                <w:szCs w:val="16"/>
                <w:b w:val="1"/>
                <w:bCs w:val="1"/>
                <w:color w:val="FFFFFF"/>
              </w:rPr>
              <w:t>Target total</w:t>
            </w:r>
          </w:p>
        </w:tc>
        <w:tc>
          <w:tcPr>
            <w:tcW w:w="0" w:type="dxa"/>
            <w:vAlign w:val="bottom"/>
          </w:tcPr>
          <w:p>
            <w:pPr>
              <w:spacing w:after="0"/>
              <w:rPr>
                <w:sz w:val="1"/>
                <w:szCs w:val="1"/>
                <w:color w:val="auto"/>
              </w:rPr>
            </w:pPr>
          </w:p>
        </w:tc>
      </w:tr>
      <w:tr>
        <w:trPr>
          <w:trHeight w:val="217"/>
        </w:trPr>
        <w:tc>
          <w:tcPr>
            <w:tcW w:w="3240" w:type="dxa"/>
            <w:vAlign w:val="bottom"/>
            <w:tcBorders>
              <w:left w:val="single" w:sz="8" w:color="7F7F7F"/>
            </w:tcBorders>
            <w:vMerge w:val="continue"/>
            <w:shd w:val="clear" w:color="auto" w:fill="0066B2"/>
          </w:tcPr>
          <w:p>
            <w:pPr>
              <w:spacing w:after="0"/>
              <w:rPr>
                <w:sz w:val="18"/>
                <w:szCs w:val="18"/>
                <w:color w:val="auto"/>
              </w:rPr>
            </w:pPr>
          </w:p>
        </w:tc>
        <w:tc>
          <w:tcPr>
            <w:tcW w:w="2820" w:type="dxa"/>
            <w:vAlign w:val="bottom"/>
            <w:gridSpan w:val="2"/>
            <w:vMerge w:val="continue"/>
            <w:shd w:val="clear" w:color="auto" w:fill="0066B2"/>
          </w:tcPr>
          <w:p>
            <w:pPr>
              <w:spacing w:after="0"/>
              <w:rPr>
                <w:sz w:val="18"/>
                <w:szCs w:val="18"/>
                <w:color w:val="auto"/>
              </w:rPr>
            </w:pPr>
          </w:p>
        </w:tc>
        <w:tc>
          <w:tcPr>
            <w:tcW w:w="1780" w:type="dxa"/>
            <w:vAlign w:val="bottom"/>
            <w:vMerge w:val="continue"/>
            <w:shd w:val="clear" w:color="auto" w:fill="0066B2"/>
          </w:tcPr>
          <w:p>
            <w:pPr>
              <w:spacing w:after="0"/>
              <w:rPr>
                <w:sz w:val="18"/>
                <w:szCs w:val="18"/>
                <w:color w:val="auto"/>
              </w:rPr>
            </w:pPr>
          </w:p>
        </w:tc>
        <w:tc>
          <w:tcPr>
            <w:tcW w:w="1680" w:type="dxa"/>
            <w:vAlign w:val="bottom"/>
            <w:gridSpan w:val="2"/>
            <w:vMerge w:val="continue"/>
            <w:shd w:val="clear" w:color="auto" w:fill="0066B2"/>
          </w:tcPr>
          <w:p>
            <w:pPr>
              <w:spacing w:after="0"/>
              <w:rPr>
                <w:sz w:val="18"/>
                <w:szCs w:val="18"/>
                <w:color w:val="auto"/>
              </w:rPr>
            </w:pPr>
          </w:p>
        </w:tc>
        <w:tc>
          <w:tcPr>
            <w:tcW w:w="1440" w:type="dxa"/>
            <w:vAlign w:val="bottom"/>
            <w:tcBorders>
              <w:right w:val="single" w:sz="8" w:color="7F7F7F"/>
            </w:tcBorders>
            <w:gridSpan w:val="2"/>
            <w:shd w:val="clear" w:color="auto" w:fill="0066B2"/>
          </w:tcPr>
          <w:p>
            <w:pPr>
              <w:jc w:val="right"/>
              <w:ind w:right="59"/>
              <w:spacing w:after="0"/>
              <w:rPr>
                <w:sz w:val="20"/>
                <w:szCs w:val="20"/>
                <w:color w:val="auto"/>
              </w:rPr>
            </w:pPr>
            <w:r>
              <w:rPr>
                <w:rFonts w:ascii="Arial" w:cs="Arial" w:eastAsia="Arial" w:hAnsi="Arial"/>
                <w:sz w:val="16"/>
                <w:szCs w:val="16"/>
                <w:b w:val="1"/>
                <w:bCs w:val="1"/>
                <w:color w:val="FFFFFF"/>
              </w:rPr>
              <w:t>compensation</w:t>
            </w:r>
          </w:p>
        </w:tc>
        <w:tc>
          <w:tcPr>
            <w:tcW w:w="0" w:type="dxa"/>
            <w:vAlign w:val="bottom"/>
          </w:tcPr>
          <w:p>
            <w:pPr>
              <w:spacing w:after="0"/>
              <w:rPr>
                <w:sz w:val="1"/>
                <w:szCs w:val="1"/>
                <w:color w:val="auto"/>
              </w:rPr>
            </w:pPr>
          </w:p>
        </w:tc>
      </w:tr>
      <w:tr>
        <w:trPr>
          <w:trHeight w:val="229"/>
        </w:trPr>
        <w:tc>
          <w:tcPr>
            <w:tcW w:w="324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Michael K. Wirth</w:t>
            </w:r>
          </w:p>
        </w:tc>
        <w:tc>
          <w:tcPr>
            <w:tcW w:w="18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D8D8D8"/>
          </w:tcPr>
          <w:p>
            <w:pPr>
              <w:jc w:val="right"/>
              <w:ind w:right="179"/>
              <w:spacing w:after="0"/>
              <w:rPr>
                <w:sz w:val="20"/>
                <w:szCs w:val="20"/>
                <w:color w:val="auto"/>
              </w:rPr>
            </w:pPr>
            <w:r>
              <w:rPr>
                <w:rFonts w:ascii="Arial" w:cs="Arial" w:eastAsia="Arial" w:hAnsi="Arial"/>
                <w:sz w:val="16"/>
                <w:szCs w:val="16"/>
                <w:color w:val="auto"/>
                <w:w w:val="98"/>
              </w:rPr>
              <w:t>1,650,000</w:t>
            </w:r>
          </w:p>
        </w:tc>
        <w:tc>
          <w:tcPr>
            <w:tcW w:w="178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$2,640,000 (160%)</w:t>
            </w:r>
          </w:p>
        </w:tc>
        <w:tc>
          <w:tcPr>
            <w:tcW w:w="4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D8D8D8"/>
          </w:tcPr>
          <w:p>
            <w:pPr>
              <w:jc w:val="right"/>
              <w:ind w:right="319"/>
              <w:spacing w:after="0"/>
              <w:rPr>
                <w:sz w:val="20"/>
                <w:szCs w:val="20"/>
                <w:color w:val="auto"/>
              </w:rPr>
            </w:pPr>
            <w:r>
              <w:rPr>
                <w:rFonts w:ascii="Arial" w:cs="Arial" w:eastAsia="Arial" w:hAnsi="Arial"/>
                <w:sz w:val="16"/>
                <w:szCs w:val="16"/>
                <w:color w:val="auto"/>
                <w:w w:val="97"/>
              </w:rPr>
              <w:t>15,500,000</w:t>
            </w:r>
          </w:p>
        </w:tc>
        <w:tc>
          <w:tcPr>
            <w:tcW w:w="4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7F7F7F"/>
            </w:tcBorders>
            <w:shd w:val="clear" w:color="auto" w:fill="D8D8D8"/>
          </w:tcPr>
          <w:p>
            <w:pPr>
              <w:jc w:val="right"/>
              <w:ind w:right="99"/>
              <w:spacing w:after="0"/>
              <w:rPr>
                <w:sz w:val="20"/>
                <w:szCs w:val="20"/>
                <w:color w:val="auto"/>
              </w:rPr>
            </w:pPr>
            <w:r>
              <w:rPr>
                <w:rFonts w:ascii="Arial" w:cs="Arial" w:eastAsia="Arial" w:hAnsi="Arial"/>
                <w:sz w:val="16"/>
                <w:szCs w:val="16"/>
                <w:color w:val="auto"/>
                <w:w w:val="99"/>
              </w:rPr>
              <w:t>19,790,000</w:t>
            </w:r>
          </w:p>
        </w:tc>
        <w:tc>
          <w:tcPr>
            <w:tcW w:w="0" w:type="dxa"/>
            <w:vAlign w:val="bottom"/>
          </w:tcPr>
          <w:p>
            <w:pPr>
              <w:spacing w:after="0"/>
              <w:rPr>
                <w:sz w:val="1"/>
                <w:szCs w:val="1"/>
                <w:color w:val="auto"/>
              </w:rPr>
            </w:pPr>
          </w:p>
        </w:tc>
      </w:tr>
      <w:tr>
        <w:trPr>
          <w:trHeight w:val="222"/>
        </w:trPr>
        <w:tc>
          <w:tcPr>
            <w:tcW w:w="324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Pierre R. Breber</w:t>
            </w: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w w:val="98"/>
              </w:rPr>
              <w:t>1,020,000</w:t>
            </w:r>
          </w:p>
        </w:tc>
        <w:tc>
          <w:tcPr>
            <w:tcW w:w="1780" w:type="dxa"/>
            <w:vAlign w:val="bottom"/>
          </w:tcPr>
          <w:p>
            <w:pPr>
              <w:jc w:val="center"/>
              <w:spacing w:after="0"/>
              <w:rPr>
                <w:sz w:val="20"/>
                <w:szCs w:val="20"/>
                <w:color w:val="auto"/>
              </w:rPr>
            </w:pPr>
            <w:r>
              <w:rPr>
                <w:rFonts w:ascii="Arial" w:cs="Arial" w:eastAsia="Arial" w:hAnsi="Arial"/>
                <w:sz w:val="16"/>
                <w:szCs w:val="16"/>
                <w:color w:val="auto"/>
                <w:w w:val="99"/>
              </w:rPr>
              <w:t>$1,122,000 (110%)</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4,002,320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7F7F7F"/>
            </w:tcBorders>
          </w:tcPr>
          <w:p>
            <w:pPr>
              <w:jc w:val="right"/>
              <w:ind w:right="99"/>
              <w:spacing w:after="0"/>
              <w:rPr>
                <w:sz w:val="20"/>
                <w:szCs w:val="20"/>
                <w:color w:val="auto"/>
              </w:rPr>
            </w:pPr>
            <w:r>
              <w:rPr>
                <w:rFonts w:ascii="Arial" w:cs="Arial" w:eastAsia="Arial" w:hAnsi="Arial"/>
                <w:sz w:val="16"/>
                <w:szCs w:val="16"/>
                <w:color w:val="auto"/>
              </w:rPr>
              <w:t>6,144,320</w:t>
            </w:r>
          </w:p>
        </w:tc>
        <w:tc>
          <w:tcPr>
            <w:tcW w:w="0" w:type="dxa"/>
            <w:vAlign w:val="bottom"/>
          </w:tcPr>
          <w:p>
            <w:pPr>
              <w:spacing w:after="0"/>
              <w:rPr>
                <w:sz w:val="1"/>
                <w:szCs w:val="1"/>
                <w:color w:val="auto"/>
              </w:rPr>
            </w:pPr>
          </w:p>
        </w:tc>
      </w:tr>
      <w:tr>
        <w:trPr>
          <w:trHeight w:val="237"/>
        </w:trPr>
        <w:tc>
          <w:tcPr>
            <w:tcW w:w="324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James W. Johnson</w:t>
            </w:r>
          </w:p>
        </w:tc>
        <w:tc>
          <w:tcPr>
            <w:tcW w:w="18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D8D8D8"/>
          </w:tcPr>
          <w:p>
            <w:pPr>
              <w:jc w:val="right"/>
              <w:ind w:right="179"/>
              <w:spacing w:after="0"/>
              <w:rPr>
                <w:sz w:val="20"/>
                <w:szCs w:val="20"/>
                <w:color w:val="auto"/>
              </w:rPr>
            </w:pPr>
            <w:r>
              <w:rPr>
                <w:rFonts w:ascii="Arial" w:cs="Arial" w:eastAsia="Arial" w:hAnsi="Arial"/>
                <w:sz w:val="16"/>
                <w:szCs w:val="16"/>
                <w:color w:val="auto"/>
                <w:w w:val="98"/>
              </w:rPr>
              <w:t>1,210,000</w:t>
            </w:r>
          </w:p>
        </w:tc>
        <w:tc>
          <w:tcPr>
            <w:tcW w:w="178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$1,452,000 (120%)</w:t>
            </w:r>
          </w:p>
        </w:tc>
        <w:tc>
          <w:tcPr>
            <w:tcW w:w="4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D8D8D8"/>
          </w:tcPr>
          <w:p>
            <w:pPr>
              <w:jc w:val="right"/>
              <w:ind w:right="319"/>
              <w:spacing w:after="0"/>
              <w:rPr>
                <w:sz w:val="20"/>
                <w:szCs w:val="20"/>
                <w:color w:val="auto"/>
              </w:rPr>
            </w:pPr>
            <w:r>
              <w:rPr>
                <w:rFonts w:ascii="Arial" w:cs="Arial" w:eastAsia="Arial" w:hAnsi="Arial"/>
                <w:sz w:val="16"/>
                <w:szCs w:val="16"/>
                <w:color w:val="auto"/>
              </w:rPr>
              <w:t>5,197,500</w:t>
            </w:r>
          </w:p>
        </w:tc>
        <w:tc>
          <w:tcPr>
            <w:tcW w:w="4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7F7F7F"/>
            </w:tcBorders>
            <w:shd w:val="clear" w:color="auto" w:fill="D8D8D8"/>
          </w:tcPr>
          <w:p>
            <w:pPr>
              <w:jc w:val="right"/>
              <w:ind w:right="99"/>
              <w:spacing w:after="0"/>
              <w:rPr>
                <w:sz w:val="20"/>
                <w:szCs w:val="20"/>
                <w:color w:val="auto"/>
              </w:rPr>
            </w:pPr>
            <w:r>
              <w:rPr>
                <w:rFonts w:ascii="Arial" w:cs="Arial" w:eastAsia="Arial" w:hAnsi="Arial"/>
                <w:sz w:val="16"/>
                <w:szCs w:val="16"/>
                <w:color w:val="auto"/>
              </w:rPr>
              <w:t>7,859,500</w:t>
            </w:r>
          </w:p>
        </w:tc>
        <w:tc>
          <w:tcPr>
            <w:tcW w:w="0" w:type="dxa"/>
            <w:vAlign w:val="bottom"/>
          </w:tcPr>
          <w:p>
            <w:pPr>
              <w:spacing w:after="0"/>
              <w:rPr>
                <w:sz w:val="1"/>
                <w:szCs w:val="1"/>
                <w:color w:val="auto"/>
              </w:rPr>
            </w:pPr>
          </w:p>
        </w:tc>
      </w:tr>
      <w:tr>
        <w:trPr>
          <w:trHeight w:val="222"/>
        </w:trPr>
        <w:tc>
          <w:tcPr>
            <w:tcW w:w="324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Joseph C. Geagea</w:t>
            </w: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w w:val="98"/>
              </w:rPr>
              <w:t>1,020,000</w:t>
            </w:r>
          </w:p>
        </w:tc>
        <w:tc>
          <w:tcPr>
            <w:tcW w:w="1780" w:type="dxa"/>
            <w:vAlign w:val="bottom"/>
          </w:tcPr>
          <w:p>
            <w:pPr>
              <w:jc w:val="center"/>
              <w:spacing w:after="0"/>
              <w:rPr>
                <w:sz w:val="20"/>
                <w:szCs w:val="20"/>
                <w:color w:val="auto"/>
              </w:rPr>
            </w:pPr>
            <w:r>
              <w:rPr>
                <w:rFonts w:ascii="Arial" w:cs="Arial" w:eastAsia="Arial" w:hAnsi="Arial"/>
                <w:sz w:val="16"/>
                <w:szCs w:val="16"/>
                <w:color w:val="auto"/>
                <w:w w:val="99"/>
              </w:rPr>
              <w:t>$1,122,000 (110%)</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4,002,320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7F7F7F"/>
            </w:tcBorders>
          </w:tcPr>
          <w:p>
            <w:pPr>
              <w:jc w:val="right"/>
              <w:ind w:right="99"/>
              <w:spacing w:after="0"/>
              <w:rPr>
                <w:sz w:val="20"/>
                <w:szCs w:val="20"/>
                <w:color w:val="auto"/>
              </w:rPr>
            </w:pPr>
            <w:r>
              <w:rPr>
                <w:rFonts w:ascii="Arial" w:cs="Arial" w:eastAsia="Arial" w:hAnsi="Arial"/>
                <w:sz w:val="16"/>
                <w:szCs w:val="16"/>
                <w:color w:val="auto"/>
              </w:rPr>
              <w:t>6,144,320</w:t>
            </w:r>
          </w:p>
        </w:tc>
        <w:tc>
          <w:tcPr>
            <w:tcW w:w="0" w:type="dxa"/>
            <w:vAlign w:val="bottom"/>
          </w:tcPr>
          <w:p>
            <w:pPr>
              <w:spacing w:after="0"/>
              <w:rPr>
                <w:sz w:val="1"/>
                <w:szCs w:val="1"/>
                <w:color w:val="auto"/>
              </w:rPr>
            </w:pPr>
          </w:p>
        </w:tc>
      </w:tr>
      <w:tr>
        <w:trPr>
          <w:trHeight w:val="230"/>
        </w:trPr>
        <w:tc>
          <w:tcPr>
            <w:tcW w:w="3240" w:type="dxa"/>
            <w:vAlign w:val="bottom"/>
            <w:tcBorders>
              <w:left w:val="single" w:sz="8" w:color="7F7F7F"/>
              <w:bottom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Mark A. Nelson</w:t>
            </w:r>
          </w:p>
        </w:tc>
        <w:tc>
          <w:tcPr>
            <w:tcW w:w="184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7F7F7F"/>
            </w:tcBorders>
            <w:shd w:val="clear" w:color="auto" w:fill="D8D8D8"/>
          </w:tcPr>
          <w:p>
            <w:pPr>
              <w:jc w:val="right"/>
              <w:ind w:right="179"/>
              <w:spacing w:after="0"/>
              <w:rPr>
                <w:sz w:val="20"/>
                <w:szCs w:val="20"/>
                <w:color w:val="auto"/>
              </w:rPr>
            </w:pPr>
            <w:r>
              <w:rPr>
                <w:rFonts w:ascii="Arial" w:cs="Arial" w:eastAsia="Arial" w:hAnsi="Arial"/>
                <w:sz w:val="16"/>
                <w:szCs w:val="16"/>
                <w:color w:val="auto"/>
              </w:rPr>
              <w:t>950,000</w:t>
            </w:r>
          </w:p>
        </w:tc>
        <w:tc>
          <w:tcPr>
            <w:tcW w:w="1780" w:type="dxa"/>
            <w:vAlign w:val="bottom"/>
            <w:tcBorders>
              <w:bottom w:val="single" w:sz="8" w:color="7F7F7F"/>
            </w:tcBorders>
            <w:shd w:val="clear" w:color="auto" w:fill="D8D8D8"/>
          </w:tcPr>
          <w:p>
            <w:pPr>
              <w:jc w:val="center"/>
              <w:spacing w:after="0"/>
              <w:rPr>
                <w:sz w:val="20"/>
                <w:szCs w:val="20"/>
                <w:color w:val="auto"/>
              </w:rPr>
            </w:pPr>
            <w:r>
              <w:rPr>
                <w:rFonts w:ascii="Arial" w:cs="Arial" w:eastAsia="Arial" w:hAnsi="Arial"/>
                <w:sz w:val="16"/>
                <w:szCs w:val="16"/>
                <w:color w:val="auto"/>
                <w:w w:val="99"/>
              </w:rPr>
              <w:t>$1,045,000 (110%)</w:t>
            </w:r>
          </w:p>
        </w:tc>
        <w:tc>
          <w:tcPr>
            <w:tcW w:w="48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7F7F7F"/>
            </w:tcBorders>
            <w:shd w:val="clear" w:color="auto" w:fill="D8D8D8"/>
          </w:tcPr>
          <w:p>
            <w:pPr>
              <w:jc w:val="right"/>
              <w:ind w:right="319"/>
              <w:spacing w:after="0"/>
              <w:rPr>
                <w:sz w:val="20"/>
                <w:szCs w:val="20"/>
                <w:color w:val="auto"/>
              </w:rPr>
            </w:pPr>
            <w:r>
              <w:rPr>
                <w:rFonts w:ascii="Arial" w:cs="Arial" w:eastAsia="Arial" w:hAnsi="Arial"/>
                <w:sz w:val="16"/>
                <w:szCs w:val="16"/>
                <w:color w:val="auto"/>
              </w:rPr>
              <w:t>4,002,320</w:t>
            </w:r>
          </w:p>
        </w:tc>
        <w:tc>
          <w:tcPr>
            <w:tcW w:w="44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7F7F7F"/>
              <w:right w:val="single" w:sz="8" w:color="7F7F7F"/>
            </w:tcBorders>
            <w:shd w:val="clear" w:color="auto" w:fill="D8D8D8"/>
          </w:tcPr>
          <w:p>
            <w:pPr>
              <w:jc w:val="right"/>
              <w:ind w:right="99"/>
              <w:spacing w:after="0"/>
              <w:rPr>
                <w:sz w:val="20"/>
                <w:szCs w:val="20"/>
                <w:color w:val="auto"/>
              </w:rPr>
            </w:pPr>
            <w:r>
              <w:rPr>
                <w:rFonts w:ascii="Arial" w:cs="Arial" w:eastAsia="Arial" w:hAnsi="Arial"/>
                <w:sz w:val="16"/>
                <w:szCs w:val="16"/>
                <w:color w:val="auto"/>
              </w:rPr>
              <w:t>5,997,320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These amounts may differ from those shown in the Summary Compensation Table, based on actual salary received during the calendar year, the actual CIP award resulting from 2021 performance, and differences between the MCC’s target LTIP valuation approach and the grant date fair value calculations as presented in the Summary Compensation Table.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Response to say-on-pay advisory vote and stockholder engagement</w:t>
      </w:r>
    </w:p>
    <w:p>
      <w:pPr>
        <w:sectPr>
          <w:pgSz w:w="11900" w:h="16838" w:orient="portrait"/>
          <w:cols w:equalWidth="0" w:num="1">
            <w:col w:w="11120"/>
          </w:cols>
          <w:pgMar w:left="320" w:top="455" w:right="459" w:bottom="1440" w:gutter="0" w:footer="0" w:header="0"/>
        </w:sectPr>
      </w:pPr>
    </w:p>
    <w:p>
      <w:pPr>
        <w:spacing w:after="0" w:line="180" w:lineRule="exact"/>
        <w:rPr>
          <w:sz w:val="20"/>
          <w:szCs w:val="20"/>
          <w:color w:val="auto"/>
        </w:rPr>
      </w:pPr>
    </w:p>
    <w:p>
      <w:pPr>
        <w:ind w:left="120" w:right="200"/>
        <w:spacing w:after="0" w:line="259" w:lineRule="auto"/>
        <w:rPr>
          <w:sz w:val="20"/>
          <w:szCs w:val="20"/>
          <w:color w:val="auto"/>
        </w:rPr>
      </w:pPr>
      <w:r>
        <w:rPr>
          <w:rFonts w:ascii="Arial" w:cs="Arial" w:eastAsia="Arial" w:hAnsi="Arial"/>
          <w:sz w:val="16"/>
          <w:szCs w:val="16"/>
          <w:color w:val="auto"/>
        </w:rPr>
        <w:t>Chevron follows a robust process to systematically engage with its key stockholders and proactively address issues of importance. Among the issues routinely discussed in these engagements are Chevron’s executive compensation practices.</w:t>
      </w:r>
    </w:p>
    <w:p>
      <w:pPr>
        <w:spacing w:after="0" w:line="70"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In 2021, the Company continued its dialogue with stockholders. We had substantive engagements with stockholders, representing more than 39% of Chevron’s outstanding common stock, regarding environmental, social, and governance issues. These discussions covered a range of topics, including executive compensation. Mr. Michael Wirth (CEO), Dr. Ronald Sugar (independent Lead Director), Dr. Wanda Austin (Chair of the Board Nominating and Governance Committee), Mr. Enrique Hernandez, Jr. (Chair of the Public Policy and Sustainability Committee) and Ms. Debra Reed-Klages (Chair of the Audit Committee) participated in these meetings. Through these engagements, we received positive feedback for the following 2021 program design changes:</w:t>
      </w:r>
    </w:p>
    <w:p>
      <w:pPr>
        <w:spacing w:after="0" w:line="92" w:lineRule="exact"/>
        <w:rPr>
          <w:sz w:val="20"/>
          <w:szCs w:val="20"/>
          <w:color w:val="auto"/>
        </w:rPr>
      </w:pPr>
    </w:p>
    <w:p>
      <w:pPr>
        <w:ind w:left="300" w:hanging="184"/>
        <w:spacing w:after="0" w:line="254" w:lineRule="auto"/>
        <w:tabs>
          <w:tab w:leader="none" w:pos="30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Energy transition performance measures in the 2021 CIP scorecard. </w:t>
      </w:r>
      <w:r>
        <w:rPr>
          <w:rFonts w:ascii="Arial" w:cs="Arial" w:eastAsia="Arial" w:hAnsi="Arial"/>
          <w:sz w:val="16"/>
          <w:szCs w:val="16"/>
          <w:color w:val="auto"/>
        </w:rPr>
        <w:t>We modified the 2021 CIP scorecard to include an “Energy</w:t>
      </w:r>
      <w:r>
        <w:rPr>
          <w:rFonts w:ascii="Arial" w:cs="Arial" w:eastAsia="Arial" w:hAnsi="Arial"/>
          <w:sz w:val="16"/>
          <w:szCs w:val="16"/>
          <w:b w:val="1"/>
          <w:bCs w:val="1"/>
          <w:color w:val="auto"/>
        </w:rPr>
        <w:t xml:space="preserve"> </w:t>
      </w:r>
      <w:r>
        <w:rPr>
          <w:rFonts w:ascii="Arial" w:cs="Arial" w:eastAsia="Arial" w:hAnsi="Arial"/>
          <w:sz w:val="16"/>
          <w:szCs w:val="16"/>
          <w:color w:val="auto"/>
        </w:rPr>
        <w:t>Transition” performance category, which incorporates the prior greenhouse gas management performance measure and adds performance measures for renewable energy, carbon offsets, and low-carbon technologies. Performance will be measured by the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both"/>
        <w:ind w:left="166"/>
        <w:spacing w:after="0" w:line="266" w:lineRule="auto"/>
        <w:rPr>
          <w:sz w:val="20"/>
          <w:szCs w:val="20"/>
          <w:color w:val="auto"/>
        </w:rPr>
      </w:pPr>
      <w:r>
        <w:rPr>
          <w:rFonts w:ascii="Arial" w:cs="Arial" w:eastAsia="Arial" w:hAnsi="Arial"/>
          <w:sz w:val="16"/>
          <w:szCs w:val="16"/>
          <w:color w:val="auto"/>
        </w:rPr>
        <w:t>Company’s progress in each of these areas. The scorecard performance outcomes impact CIP payout for our eligible employees – approximately 37,400 at year-end 2021.</w:t>
      </w:r>
    </w:p>
    <w:p>
      <w:pPr>
        <w:spacing w:after="0" w:line="77" w:lineRule="exact"/>
        <w:rPr>
          <w:sz w:val="20"/>
          <w:szCs w:val="20"/>
          <w:color w:val="auto"/>
        </w:rPr>
      </w:pPr>
    </w:p>
    <w:p>
      <w:pPr>
        <w:ind w:left="166" w:right="40" w:hanging="166"/>
        <w:spacing w:after="0" w:line="252" w:lineRule="auto"/>
        <w:tabs>
          <w:tab w:leader="none" w:pos="166"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Relative ROCE Improvement in the 2021 performance share grant. </w:t>
      </w:r>
      <w:r>
        <w:rPr>
          <w:rFonts w:ascii="Arial" w:cs="Arial" w:eastAsia="Arial" w:hAnsi="Arial"/>
          <w:sz w:val="16"/>
          <w:szCs w:val="16"/>
          <w:color w:val="auto"/>
        </w:rPr>
        <w:t>We added “Relative ROCE Improvement” as a second performance metric to the 2021 performance share grant. Performance shares will continue to represent 50% of the LTIP grant value, with payout weighted 70% based on relative TSR measured against the LTIP Performance Share Peer Group and 30% based on Relative ROCE Improvement measured against large-cap integrated energy companies (BP, ExxonMobil, Shell, and TotalEnergies).</w:t>
      </w:r>
    </w:p>
    <w:p>
      <w:pPr>
        <w:spacing w:after="0" w:line="75" w:lineRule="exact"/>
        <w:rPr>
          <w:sz w:val="20"/>
          <w:szCs w:val="20"/>
          <w:color w:val="auto"/>
        </w:rPr>
      </w:pPr>
    </w:p>
    <w:p>
      <w:pPr>
        <w:ind w:left="6" w:right="100"/>
        <w:spacing w:after="0" w:line="266" w:lineRule="auto"/>
        <w:rPr>
          <w:sz w:val="20"/>
          <w:szCs w:val="20"/>
          <w:color w:val="auto"/>
        </w:rPr>
      </w:pPr>
      <w:r>
        <w:rPr>
          <w:rFonts w:ascii="Arial" w:cs="Arial" w:eastAsia="Arial" w:hAnsi="Arial"/>
          <w:sz w:val="16"/>
          <w:szCs w:val="16"/>
          <w:color w:val="auto"/>
        </w:rPr>
        <w:t>Chevron’s 2021 Say-on-Pay vote received 94% support, which demonstrates stockholders’ strong support of our executive compensation practices and pay for performance alignment.</w:t>
      </w:r>
    </w:p>
    <w:p>
      <w:pPr>
        <w:spacing w:after="0" w:line="63" w:lineRule="exact"/>
        <w:rPr>
          <w:sz w:val="20"/>
          <w:szCs w:val="20"/>
          <w:color w:val="auto"/>
        </w:rPr>
      </w:pPr>
    </w:p>
    <w:p>
      <w:pPr>
        <w:ind w:left="6" w:right="220"/>
        <w:spacing w:after="0" w:line="256" w:lineRule="auto"/>
        <w:rPr>
          <w:sz w:val="20"/>
          <w:szCs w:val="20"/>
          <w:color w:val="auto"/>
        </w:rPr>
      </w:pPr>
      <w:r>
        <w:rPr>
          <w:rFonts w:ascii="Arial" w:cs="Arial" w:eastAsia="Arial" w:hAnsi="Arial"/>
          <w:sz w:val="16"/>
          <w:szCs w:val="16"/>
          <w:color w:val="auto"/>
        </w:rPr>
        <w:t>Our stockholders’ views on executive compensation are important to us, and the MCC regularly considers the Say-on-Pay vote outcome and stockholder insights in assessing our executive compensation program. We remain committed to continuing the dialogue with stockholders on compensation issues as part of our ongoing engagement.</w:t>
      </w:r>
    </w:p>
    <w:p>
      <w:pPr>
        <w:spacing w:after="0" w:line="468" w:lineRule="exact"/>
        <w:rPr>
          <w:sz w:val="20"/>
          <w:szCs w:val="20"/>
          <w:color w:val="auto"/>
        </w:rPr>
      </w:pPr>
    </w:p>
    <w:p>
      <w:pPr>
        <w:sectPr>
          <w:pgSz w:w="11900" w:h="16838" w:orient="portrait"/>
          <w:cols w:equalWidth="0" w:num="2">
            <w:col w:w="5380" w:space="354"/>
            <w:col w:w="5386"/>
          </w:cols>
          <w:pgMar w:left="320" w:top="455" w:right="459" w:bottom="1440" w:gutter="0" w:footer="0" w:header="0"/>
          <w:type w:val="continuous"/>
        </w:sectPr>
      </w:pPr>
    </w:p>
    <w:p>
      <w:pPr>
        <w:spacing w:after="0" w:line="59"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Chevron Corporation – 2022 Proxy Statement</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1120"/>
          </w:cols>
          <w:pgMar w:left="320" w:top="455" w:right="459"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208280</wp:posOffset>
            </wp:positionV>
            <wp:extent cx="1474470" cy="145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474470" cy="145415"/>
                    </a:xfrm>
                    <a:prstGeom prst="rect">
                      <a:avLst/>
                    </a:prstGeom>
                    <a:noFill/>
                  </pic:spPr>
                </pic:pic>
              </a:graphicData>
            </a:graphic>
          </wp:anchor>
        </w:drawing>
      </w:r>
    </w:p>
    <w:p>
      <w:pPr>
        <w:spacing w:after="0" w:line="339" w:lineRule="exact"/>
        <w:rPr>
          <w:sz w:val="20"/>
          <w:szCs w:val="20"/>
          <w:color w:val="auto"/>
        </w:rPr>
      </w:pPr>
    </w:p>
    <w:p>
      <w:pPr>
        <w:jc w:val="right"/>
        <w:ind w:right="300"/>
        <w:spacing w:after="0"/>
        <w:rPr>
          <w:sz w:val="20"/>
          <w:szCs w:val="20"/>
          <w:color w:val="auto"/>
        </w:rPr>
      </w:pPr>
      <w:r>
        <w:rPr>
          <w:rFonts w:ascii="Arial" w:cs="Arial" w:eastAsia="Arial" w:hAnsi="Arial"/>
          <w:sz w:val="14"/>
          <w:szCs w:val="14"/>
          <w:b w:val="1"/>
          <w:bCs w:val="1"/>
          <w:color w:val="FFFFFF"/>
        </w:rPr>
        <w:t>Executive compensation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2021 performance</w:t>
      </w:r>
    </w:p>
    <w:p>
      <w:pPr>
        <w:sectPr>
          <w:pgSz w:w="11900" w:h="16838" w:orient="portrait"/>
          <w:cols w:equalWidth="0" w:num="1">
            <w:col w:w="11120"/>
          </w:cols>
          <w:pgMar w:left="320" w:top="455" w:right="459" w:bottom="1440" w:gutter="0" w:footer="0" w:header="0"/>
        </w:sectPr>
      </w:pPr>
    </w:p>
    <w:p>
      <w:pPr>
        <w:spacing w:after="0" w:line="180" w:lineRule="exact"/>
        <w:rPr>
          <w:sz w:val="20"/>
          <w:szCs w:val="20"/>
          <w:color w:val="auto"/>
        </w:rPr>
      </w:pPr>
    </w:p>
    <w:p>
      <w:pPr>
        <w:ind w:left="120" w:right="140"/>
        <w:spacing w:after="0" w:line="253" w:lineRule="auto"/>
        <w:rPr>
          <w:sz w:val="20"/>
          <w:szCs w:val="20"/>
          <w:color w:val="auto"/>
        </w:rPr>
      </w:pPr>
      <w:r>
        <w:rPr>
          <w:rFonts w:ascii="Arial" w:cs="Arial" w:eastAsia="Arial" w:hAnsi="Arial"/>
          <w:sz w:val="16"/>
          <w:szCs w:val="16"/>
          <w:color w:val="auto"/>
        </w:rPr>
        <w:t>Chevron’s 2021 financial results, including Earnings, ROCE and Cash Flow from Operating Activities were strong, driven by recovering global economic conditions, which positively impacted commodity prices, and improved capital and cost efficiency. We continued to make progress toward our objective of higher returns and lower carbon, generating record free cash flow and taking actions focused on lowering the carbon intensity of our operations and growing lower carbon businesses.</w:t>
      </w:r>
    </w:p>
    <w:p>
      <w:pPr>
        <w:spacing w:after="0" w:line="73" w:lineRule="exact"/>
        <w:rPr>
          <w:sz w:val="20"/>
          <w:szCs w:val="20"/>
          <w:color w:val="auto"/>
        </w:rPr>
      </w:pPr>
    </w:p>
    <w:p>
      <w:pPr>
        <w:ind w:left="120" w:right="80"/>
        <w:spacing w:after="0" w:line="266" w:lineRule="auto"/>
        <w:rPr>
          <w:sz w:val="20"/>
          <w:szCs w:val="20"/>
          <w:color w:val="auto"/>
        </w:rPr>
      </w:pPr>
      <w:r>
        <w:rPr>
          <w:rFonts w:ascii="Arial" w:cs="Arial" w:eastAsia="Arial" w:hAnsi="Arial"/>
          <w:sz w:val="16"/>
          <w:szCs w:val="16"/>
          <w:color w:val="auto"/>
        </w:rPr>
        <w:t>We remained committed to consistent financial priorities, including maintaining the dividend, pursuing a disciplined capital program, protecting the balance sheet, and returning excess cash to stockholders.</w:t>
      </w:r>
    </w:p>
    <w:p>
      <w:pPr>
        <w:spacing w:after="0" w:line="77" w:lineRule="exact"/>
        <w:rPr>
          <w:sz w:val="20"/>
          <w:szCs w:val="20"/>
          <w:color w:val="auto"/>
        </w:rPr>
      </w:pPr>
    </w:p>
    <w:p>
      <w:pPr>
        <w:ind w:left="300" w:right="20" w:hanging="184"/>
        <w:spacing w:after="0" w:line="266" w:lineRule="auto"/>
        <w:tabs>
          <w:tab w:leader="none" w:pos="3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We delivered a record 3.099 million barrels of oil-equivalent per day in net production, excluding divestments, with growth within our 0% to 3% guidance range versus 2020.</w:t>
      </w:r>
    </w:p>
    <w:p>
      <w:pPr>
        <w:spacing w:after="0" w:line="76" w:lineRule="exact"/>
        <w:rPr>
          <w:rFonts w:ascii="Arial" w:cs="Arial" w:eastAsia="Arial" w:hAnsi="Arial"/>
          <w:sz w:val="16"/>
          <w:szCs w:val="16"/>
          <w:color w:val="auto"/>
        </w:rPr>
      </w:pPr>
    </w:p>
    <w:p>
      <w:pPr>
        <w:ind w:left="300" w:hanging="184"/>
        <w:spacing w:after="0" w:line="254" w:lineRule="auto"/>
        <w:tabs>
          <w:tab w:leader="none" w:pos="3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We made substantial progress on major capital projects. Tengizchevroil FGP/WPMP achieved its major milestones with all modules set on foundations and substation energization complete. Permian unit development costs were below our objective. GS Caltex reached 100% of design capacity of its mixed-feed cracker, ahead of schedule and under budget.</w:t>
      </w:r>
    </w:p>
    <w:p>
      <w:pPr>
        <w:spacing w:after="0" w:line="87" w:lineRule="exact"/>
        <w:rPr>
          <w:rFonts w:ascii="Arial" w:cs="Arial" w:eastAsia="Arial" w:hAnsi="Arial"/>
          <w:sz w:val="16"/>
          <w:szCs w:val="16"/>
          <w:color w:val="auto"/>
        </w:rPr>
      </w:pPr>
    </w:p>
    <w:p>
      <w:pPr>
        <w:ind w:left="300" w:right="40" w:hanging="184"/>
        <w:spacing w:after="0" w:line="249" w:lineRule="auto"/>
        <w:tabs>
          <w:tab w:leader="none" w:pos="3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Compared to 2020, Earnings increased by $21.2 billion and Cash Flow from Operating Activities increased by $ 18.6 billion in 2021. ROCE of 9.4% in 2021 improved significantly from (2.8)% in 2020.</w:t>
      </w:r>
      <w:r>
        <w:rPr>
          <w:rFonts w:ascii="Arial" w:cs="Arial" w:eastAsia="Arial" w:hAnsi="Arial"/>
          <w:sz w:val="27"/>
          <w:szCs w:val="27"/>
          <w:color w:val="auto"/>
          <w:vertAlign w:val="superscript"/>
        </w:rPr>
        <w:t>1</w:t>
      </w:r>
    </w:p>
    <w:p>
      <w:pPr>
        <w:ind w:left="300" w:right="300" w:hanging="184"/>
        <w:spacing w:after="0" w:line="188" w:lineRule="auto"/>
        <w:tabs>
          <w:tab w:leader="none" w:pos="3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Total capital and exploratory</w:t>
      </w:r>
      <w:r>
        <w:rPr>
          <w:rFonts w:ascii="Arial" w:cs="Arial" w:eastAsia="Arial" w:hAnsi="Arial"/>
          <w:sz w:val="27"/>
          <w:szCs w:val="27"/>
          <w:color w:val="auto"/>
          <w:vertAlign w:val="superscript"/>
        </w:rPr>
        <w:t>2</w:t>
      </w:r>
      <w:r>
        <w:rPr>
          <w:rFonts w:ascii="Arial" w:cs="Arial" w:eastAsia="Arial" w:hAnsi="Arial"/>
          <w:sz w:val="16"/>
          <w:szCs w:val="16"/>
          <w:color w:val="auto"/>
        </w:rPr>
        <w:t xml:space="preserve"> (“C&amp;E”) spending of $11.7 billion was 16% below the Company’s original 2021 budget of $13.9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815975</wp:posOffset>
            </wp:positionV>
            <wp:extent cx="2168525" cy="20916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68525" cy="2091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166" w:hanging="166"/>
        <w:spacing w:after="0" w:line="266" w:lineRule="auto"/>
        <w:tabs>
          <w:tab w:leader="none" w:pos="166" w:val="left"/>
        </w:tabs>
        <w:numPr>
          <w:ilvl w:val="0"/>
          <w:numId w:val="68"/>
        </w:numPr>
        <w:rPr>
          <w:rFonts w:ascii="Arial" w:cs="Arial" w:eastAsia="Arial" w:hAnsi="Arial"/>
          <w:sz w:val="16"/>
          <w:szCs w:val="16"/>
          <w:color w:val="auto"/>
        </w:rPr>
      </w:pPr>
      <w:r>
        <w:rPr>
          <w:rFonts w:ascii="Arial" w:cs="Arial" w:eastAsia="Arial" w:hAnsi="Arial"/>
          <w:sz w:val="16"/>
          <w:szCs w:val="16"/>
          <w:color w:val="auto"/>
        </w:rPr>
        <w:t>We resumed our stock repurchase program, buying back $1.4 billion and making this the 14th out of the past 18 years that we have repurchased shares.</w:t>
      </w:r>
    </w:p>
    <w:p>
      <w:pPr>
        <w:spacing w:after="0" w:line="75" w:lineRule="exact"/>
        <w:rPr>
          <w:rFonts w:ascii="Arial" w:cs="Arial" w:eastAsia="Arial" w:hAnsi="Arial"/>
          <w:sz w:val="16"/>
          <w:szCs w:val="16"/>
          <w:color w:val="auto"/>
        </w:rPr>
      </w:pPr>
    </w:p>
    <w:p>
      <w:pPr>
        <w:ind w:left="166" w:right="420" w:hanging="166"/>
        <w:spacing w:after="0" w:line="209" w:lineRule="auto"/>
        <w:tabs>
          <w:tab w:leader="none" w:pos="166" w:val="left"/>
        </w:tabs>
        <w:numPr>
          <w:ilvl w:val="0"/>
          <w:numId w:val="68"/>
        </w:numPr>
        <w:rPr>
          <w:rFonts w:ascii="Arial" w:cs="Arial" w:eastAsia="Arial" w:hAnsi="Arial"/>
          <w:sz w:val="16"/>
          <w:szCs w:val="16"/>
          <w:color w:val="auto"/>
        </w:rPr>
      </w:pPr>
      <w:r>
        <w:rPr>
          <w:rFonts w:ascii="Arial" w:cs="Arial" w:eastAsia="Arial" w:hAnsi="Arial"/>
          <w:sz w:val="16"/>
          <w:szCs w:val="16"/>
          <w:color w:val="auto"/>
        </w:rPr>
        <w:t>Operating expense</w:t>
      </w:r>
      <w:r>
        <w:rPr>
          <w:rFonts w:ascii="Arial" w:cs="Arial" w:eastAsia="Arial" w:hAnsi="Arial"/>
          <w:sz w:val="27"/>
          <w:szCs w:val="27"/>
          <w:color w:val="auto"/>
          <w:vertAlign w:val="superscript"/>
        </w:rPr>
        <w:t>3</w:t>
      </w:r>
      <w:r>
        <w:rPr>
          <w:rFonts w:ascii="Arial" w:cs="Arial" w:eastAsia="Arial" w:hAnsi="Arial"/>
          <w:sz w:val="16"/>
          <w:szCs w:val="16"/>
          <w:color w:val="auto"/>
        </w:rPr>
        <w:t xml:space="preserve"> was $25.4 billion, slightly higher than Plan. Reductions in Downstream were offset by higher Employee Benefit costs. Since 2014, operating expenses have declined 15%.</w:t>
      </w:r>
    </w:p>
    <w:p>
      <w:pPr>
        <w:spacing w:after="0" w:line="98" w:lineRule="exact"/>
        <w:rPr>
          <w:rFonts w:ascii="Arial" w:cs="Arial" w:eastAsia="Arial" w:hAnsi="Arial"/>
          <w:sz w:val="16"/>
          <w:szCs w:val="16"/>
          <w:color w:val="auto"/>
        </w:rPr>
      </w:pPr>
    </w:p>
    <w:p>
      <w:pPr>
        <w:ind w:left="166" w:right="100" w:hanging="166"/>
        <w:spacing w:after="0" w:line="250" w:lineRule="auto"/>
        <w:tabs>
          <w:tab w:leader="none" w:pos="166" w:val="left"/>
        </w:tabs>
        <w:numPr>
          <w:ilvl w:val="0"/>
          <w:numId w:val="68"/>
        </w:numPr>
        <w:rPr>
          <w:rFonts w:ascii="Arial" w:cs="Arial" w:eastAsia="Arial" w:hAnsi="Arial"/>
          <w:sz w:val="16"/>
          <w:szCs w:val="16"/>
          <w:color w:val="auto"/>
        </w:rPr>
      </w:pPr>
      <w:r>
        <w:rPr>
          <w:rFonts w:ascii="Arial" w:cs="Arial" w:eastAsia="Arial" w:hAnsi="Arial"/>
          <w:sz w:val="16"/>
          <w:szCs w:val="16"/>
          <w:color w:val="auto"/>
        </w:rPr>
        <w:t>We paid down debt, ending the year with a 18.4% debt ratio and 15.6% net debt ratio.</w:t>
      </w:r>
      <w:r>
        <w:rPr>
          <w:rFonts w:ascii="Arial" w:cs="Arial" w:eastAsia="Arial" w:hAnsi="Arial"/>
          <w:sz w:val="27"/>
          <w:szCs w:val="27"/>
          <w:color w:val="auto"/>
          <w:vertAlign w:val="superscript"/>
        </w:rPr>
        <w:t>4</w:t>
      </w:r>
    </w:p>
    <w:p>
      <w:pPr>
        <w:ind w:left="166" w:hanging="166"/>
        <w:spacing w:after="0" w:line="250" w:lineRule="auto"/>
        <w:tabs>
          <w:tab w:leader="none" w:pos="166" w:val="left"/>
        </w:tabs>
        <w:numPr>
          <w:ilvl w:val="0"/>
          <w:numId w:val="68"/>
        </w:numPr>
        <w:rPr>
          <w:rFonts w:ascii="Arial" w:cs="Arial" w:eastAsia="Arial" w:hAnsi="Arial"/>
          <w:sz w:val="16"/>
          <w:szCs w:val="16"/>
          <w:color w:val="auto"/>
        </w:rPr>
      </w:pPr>
      <w:r>
        <w:rPr>
          <w:rFonts w:ascii="Arial" w:cs="Arial" w:eastAsia="Arial" w:hAnsi="Arial"/>
          <w:sz w:val="16"/>
          <w:szCs w:val="16"/>
          <w:color w:val="auto"/>
        </w:rPr>
        <w:t>We made progress on all of our energy transition milestones. With greenhouse gas management, we identified, funded, and executed GHG reduction projects. In Renewable Energy and Carbon Offsets, we achieved milestones for renewable feedstocks, renewable natural gas, and renewable power projects. For Low-Carbon Technologies, we advanced memorandums of understanding and venture investments.</w:t>
      </w:r>
    </w:p>
    <w:p>
      <w:pPr>
        <w:spacing w:after="0" w:line="89" w:lineRule="exact"/>
        <w:rPr>
          <w:rFonts w:ascii="Arial" w:cs="Arial" w:eastAsia="Arial" w:hAnsi="Arial"/>
          <w:sz w:val="16"/>
          <w:szCs w:val="16"/>
          <w:color w:val="auto"/>
        </w:rPr>
      </w:pPr>
    </w:p>
    <w:p>
      <w:pPr>
        <w:ind w:left="166" w:hanging="166"/>
        <w:spacing w:after="0" w:line="256" w:lineRule="auto"/>
        <w:tabs>
          <w:tab w:leader="none" w:pos="166" w:val="left"/>
        </w:tabs>
        <w:numPr>
          <w:ilvl w:val="0"/>
          <w:numId w:val="68"/>
        </w:numPr>
        <w:rPr>
          <w:rFonts w:ascii="Arial" w:cs="Arial" w:eastAsia="Arial" w:hAnsi="Arial"/>
          <w:sz w:val="16"/>
          <w:szCs w:val="16"/>
          <w:color w:val="auto"/>
        </w:rPr>
      </w:pPr>
      <w:r>
        <w:rPr>
          <w:rFonts w:ascii="Arial" w:cs="Arial" w:eastAsia="Arial" w:hAnsi="Arial"/>
          <w:sz w:val="16"/>
          <w:szCs w:val="16"/>
          <w:color w:val="auto"/>
        </w:rPr>
        <w:t>We grew our quarterly dividend by 4% to $1.34 per share, resulting in the 34th consecutive year of higher annual dividend payout per share. At year-end, Chevron’s dividend yield was more than three times higher than the dividend yield of the S&amp;P 500 Total Return Index. In 2021, we returned $10.2 billion in dividends to our stockholders.</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auto"/>
        </w:rPr>
        <w:t>Note:</w:t>
      </w:r>
    </w:p>
    <w:p>
      <w:pPr>
        <w:spacing w:after="0" w:line="15" w:lineRule="exact"/>
        <w:rPr>
          <w:sz w:val="20"/>
          <w:szCs w:val="20"/>
          <w:color w:val="auto"/>
        </w:rPr>
      </w:pPr>
    </w:p>
    <w:p>
      <w:pPr>
        <w:ind w:left="326" w:right="120" w:hanging="326"/>
        <w:spacing w:after="0" w:line="241" w:lineRule="auto"/>
        <w:tabs>
          <w:tab w:leader="none" w:pos="326" w:val="left"/>
        </w:tabs>
        <w:numPr>
          <w:ilvl w:val="0"/>
          <w:numId w:val="69"/>
        </w:numPr>
        <w:rPr>
          <w:rFonts w:ascii="Arial" w:cs="Arial" w:eastAsia="Arial" w:hAnsi="Arial"/>
          <w:sz w:val="14"/>
          <w:szCs w:val="14"/>
          <w:color w:val="auto"/>
        </w:rPr>
      </w:pPr>
      <w:r>
        <w:rPr>
          <w:rFonts w:ascii="Arial" w:cs="Arial" w:eastAsia="Arial" w:hAnsi="Arial"/>
          <w:sz w:val="14"/>
          <w:szCs w:val="14"/>
          <w:color w:val="auto"/>
        </w:rPr>
        <w:t>A definition and calculation of ROCE is included on page 47 of our Annual Report on Form 10-K for the year ended December 31, 2021 (the “2021 Form 10-K”).</w:t>
      </w:r>
    </w:p>
    <w:p>
      <w:pPr>
        <w:spacing w:after="0" w:line="1" w:lineRule="exact"/>
        <w:rPr>
          <w:sz w:val="20"/>
          <w:szCs w:val="20"/>
          <w:color w:val="auto"/>
        </w:rPr>
      </w:pPr>
    </w:p>
    <w:p>
      <w:pPr>
        <w:ind w:left="326" w:right="220" w:hanging="326"/>
        <w:spacing w:after="0" w:line="241" w:lineRule="auto"/>
        <w:tabs>
          <w:tab w:leader="none" w:pos="326" w:val="left"/>
        </w:tabs>
        <w:numPr>
          <w:ilvl w:val="0"/>
          <w:numId w:val="70"/>
        </w:numPr>
        <w:rPr>
          <w:rFonts w:ascii="Arial" w:cs="Arial" w:eastAsia="Arial" w:hAnsi="Arial"/>
          <w:sz w:val="14"/>
          <w:szCs w:val="14"/>
          <w:color w:val="auto"/>
        </w:rPr>
      </w:pPr>
      <w:r>
        <w:rPr>
          <w:rFonts w:ascii="Arial" w:cs="Arial" w:eastAsia="Arial" w:hAnsi="Arial"/>
          <w:sz w:val="14"/>
          <w:szCs w:val="14"/>
          <w:color w:val="auto"/>
        </w:rPr>
        <w:t>Total capital and exploratory expenditures include equity in affiliates. Figures rounded.</w:t>
      </w:r>
    </w:p>
    <w:p>
      <w:pPr>
        <w:spacing w:after="0" w:line="1" w:lineRule="exact"/>
        <w:rPr>
          <w:sz w:val="20"/>
          <w:szCs w:val="20"/>
          <w:color w:val="auto"/>
        </w:rPr>
      </w:pPr>
    </w:p>
    <w:p>
      <w:pPr>
        <w:ind w:left="326" w:hanging="326"/>
        <w:spacing w:after="0"/>
        <w:tabs>
          <w:tab w:leader="none" w:pos="326" w:val="left"/>
        </w:tabs>
        <w:numPr>
          <w:ilvl w:val="0"/>
          <w:numId w:val="71"/>
        </w:numPr>
        <w:rPr>
          <w:rFonts w:ascii="Arial" w:cs="Arial" w:eastAsia="Arial" w:hAnsi="Arial"/>
          <w:sz w:val="14"/>
          <w:szCs w:val="14"/>
          <w:color w:val="auto"/>
        </w:rPr>
      </w:pPr>
      <w:r>
        <w:rPr>
          <w:rFonts w:ascii="Arial" w:cs="Arial" w:eastAsia="Arial" w:hAnsi="Arial"/>
          <w:sz w:val="14"/>
          <w:szCs w:val="14"/>
          <w:color w:val="auto"/>
        </w:rPr>
        <w:t>Operating expenses, selling, general and administrative expenses and other</w:t>
      </w:r>
    </w:p>
    <w:p>
      <w:pPr>
        <w:spacing w:after="0" w:line="1" w:lineRule="exact"/>
        <w:rPr>
          <w:sz w:val="20"/>
          <w:szCs w:val="20"/>
          <w:color w:val="auto"/>
        </w:rPr>
      </w:pPr>
    </w:p>
    <w:p>
      <w:pPr>
        <w:ind w:left="326" w:right="480"/>
        <w:spacing w:after="0" w:line="241" w:lineRule="auto"/>
        <w:rPr>
          <w:sz w:val="20"/>
          <w:szCs w:val="20"/>
          <w:color w:val="auto"/>
        </w:rPr>
      </w:pPr>
      <w:r>
        <w:rPr>
          <w:rFonts w:ascii="Arial" w:cs="Arial" w:eastAsia="Arial" w:hAnsi="Arial"/>
          <w:sz w:val="14"/>
          <w:szCs w:val="14"/>
          <w:color w:val="auto"/>
        </w:rPr>
        <w:t>components of net periodic benefit costs as reported in the consolidated statement of income (excludes affiliate spend). Figures rounded.</w:t>
      </w:r>
    </w:p>
    <w:p>
      <w:pPr>
        <w:spacing w:after="0" w:line="1" w:lineRule="exact"/>
        <w:rPr>
          <w:sz w:val="20"/>
          <w:szCs w:val="20"/>
          <w:color w:val="auto"/>
        </w:rPr>
      </w:pPr>
    </w:p>
    <w:p>
      <w:pPr>
        <w:ind w:left="326" w:right="340" w:hanging="326"/>
        <w:spacing w:after="0" w:line="264" w:lineRule="auto"/>
        <w:tabs>
          <w:tab w:leader="none" w:pos="326" w:val="left"/>
        </w:tabs>
        <w:numPr>
          <w:ilvl w:val="0"/>
          <w:numId w:val="72"/>
        </w:numPr>
        <w:rPr>
          <w:rFonts w:ascii="Arial" w:cs="Arial" w:eastAsia="Arial" w:hAnsi="Arial"/>
          <w:sz w:val="14"/>
          <w:szCs w:val="14"/>
          <w:color w:val="auto"/>
        </w:rPr>
      </w:pPr>
      <w:r>
        <w:rPr>
          <w:rFonts w:ascii="Arial" w:cs="Arial" w:eastAsia="Arial" w:hAnsi="Arial"/>
          <w:sz w:val="14"/>
          <w:szCs w:val="14"/>
          <w:color w:val="auto"/>
        </w:rPr>
        <w:t>Definitions and calculations of debt ratio and net debt ratio are included on pages 46 and 47 of the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735965</wp:posOffset>
            </wp:positionH>
            <wp:positionV relativeFrom="paragraph">
              <wp:posOffset>217805</wp:posOffset>
            </wp:positionV>
            <wp:extent cx="1971675" cy="20916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971675" cy="20916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34"/>
            <w:col w:w="5386"/>
          </w:cols>
          <w:pgMar w:left="320" w:top="455"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Chevron Corporation – 2022 Proxy Statement</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11120"/>
          </w:cols>
          <w:pgMar w:left="320" w:top="455" w:right="459" w:bottom="1440" w:gutter="0" w:footer="0" w:header="0"/>
          <w:type w:val="continuous"/>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405890" cy="145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05890" cy="145415"/>
                    </a:xfrm>
                    <a:prstGeom prst="rect">
                      <a:avLst/>
                    </a:prstGeom>
                    <a:noFill/>
                  </pic:spPr>
                </pic:pic>
              </a:graphicData>
            </a:graphic>
          </wp:anchor>
        </w:drawing>
      </w:r>
    </w:p>
    <w:p>
      <w:pPr>
        <w:spacing w:after="0" w:line="33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Executive compensation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CEO realizable pay</w:t>
      </w:r>
    </w:p>
    <w:p>
      <w:pPr>
        <w:spacing w:after="0" w:line="112" w:lineRule="exact"/>
        <w:rPr>
          <w:sz w:val="20"/>
          <w:szCs w:val="20"/>
          <w:color w:val="auto"/>
        </w:rPr>
      </w:pPr>
    </w:p>
    <w:p>
      <w:pPr>
        <w:ind w:left="120" w:right="300"/>
        <w:spacing w:after="0" w:line="266" w:lineRule="auto"/>
        <w:rPr>
          <w:sz w:val="20"/>
          <w:szCs w:val="20"/>
          <w:color w:val="auto"/>
        </w:rPr>
      </w:pPr>
      <w:r>
        <w:rPr>
          <w:rFonts w:ascii="Arial" w:cs="Arial" w:eastAsia="Arial" w:hAnsi="Arial"/>
          <w:sz w:val="16"/>
          <w:szCs w:val="16"/>
          <w:color w:val="auto"/>
        </w:rPr>
        <w:t>The MCC establishes Mr. Wirth’s target compensation based on several factors, including an external comparison of compensation opportunities for CEOs at companies of comparable size, scope, complexity, and utilization of a consistent application of Chevron’s internal compensation policies and structure.</w:t>
      </w:r>
    </w:p>
    <w:p>
      <w:pPr>
        <w:spacing w:after="0" w:line="63"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color w:val="auto"/>
        </w:rPr>
        <w:t>The MCC believes that the CEO’s realizable compensation should align with stockholder value creation and relative TSR performance. The following charts compare Mr. Wirth’s target and realizable compensation as of December 31, 2021, for compensation opportunities awarded to him in 2019, 2020, and 2021. The 2020 and 2021 realizable pay is higher, primarily due to higher valuation of unvested performance shares at year-end 2021. The ultimate realized values will match or exceed targets only if Chevron delivers sustained competitive stock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139065</wp:posOffset>
            </wp:positionV>
            <wp:extent cx="5949315" cy="27686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49315"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Notes</w:t>
      </w:r>
      <w:r>
        <w:rPr>
          <w:rFonts w:ascii="Arial" w:cs="Arial" w:eastAsia="Arial" w:hAnsi="Arial"/>
          <w:sz w:val="14"/>
          <w:szCs w:val="14"/>
          <w:color w:val="auto"/>
        </w:rPr>
        <w:t>:</w:t>
      </w:r>
    </w:p>
    <w:p>
      <w:pPr>
        <w:spacing w:after="0" w:line="15" w:lineRule="exact"/>
        <w:rPr>
          <w:sz w:val="20"/>
          <w:szCs w:val="20"/>
          <w:color w:val="auto"/>
        </w:rPr>
      </w:pPr>
    </w:p>
    <w:p>
      <w:pPr>
        <w:ind w:left="540" w:right="60" w:hanging="424"/>
        <w:spacing w:after="0" w:line="264" w:lineRule="auto"/>
        <w:tabs>
          <w:tab w:leader="none" w:pos="5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Target Value reflects: (i) base salary rate each year, (ii) target CIP award, and (iii) intended grant date value of LTIP awards (50% performance shares, 25% restricted stock units, and 25% stock options).</w:t>
      </w:r>
    </w:p>
    <w:p>
      <w:pPr>
        <w:spacing w:after="0" w:line="36" w:lineRule="exact"/>
        <w:rPr>
          <w:rFonts w:ascii="Arial" w:cs="Arial" w:eastAsia="Arial" w:hAnsi="Arial"/>
          <w:sz w:val="14"/>
          <w:szCs w:val="14"/>
          <w:color w:val="auto"/>
        </w:rPr>
      </w:pPr>
    </w:p>
    <w:p>
      <w:pPr>
        <w:ind w:left="540" w:hanging="424"/>
        <w:spacing w:after="0"/>
        <w:tabs>
          <w:tab w:leader="none" w:pos="5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Realizable Value at 12/31/2021 reflects: (i) the actual paid base salary during the calendar year; (ii) the actual CIP award earned for that year, and (iii) the actual</w:t>
      </w:r>
    </w:p>
    <w:p>
      <w:pPr>
        <w:spacing w:after="0" w:line="15" w:lineRule="exact"/>
        <w:rPr>
          <w:rFonts w:ascii="Arial" w:cs="Arial" w:eastAsia="Arial" w:hAnsi="Arial"/>
          <w:sz w:val="14"/>
          <w:szCs w:val="14"/>
          <w:color w:val="auto"/>
        </w:rPr>
      </w:pPr>
    </w:p>
    <w:p>
      <w:pPr>
        <w:ind w:left="540"/>
        <w:spacing w:after="0" w:line="244" w:lineRule="auto"/>
        <w:rPr>
          <w:rFonts w:ascii="Arial" w:cs="Arial" w:eastAsia="Arial" w:hAnsi="Arial"/>
          <w:sz w:val="14"/>
          <w:szCs w:val="14"/>
          <w:color w:val="auto"/>
        </w:rPr>
      </w:pPr>
      <w:r>
        <w:rPr>
          <w:rFonts w:ascii="Arial" w:cs="Arial" w:eastAsia="Arial" w:hAnsi="Arial"/>
          <w:sz w:val="14"/>
          <w:szCs w:val="14"/>
          <w:color w:val="auto"/>
        </w:rPr>
        <w:t>prevailing LTIP value at 12/31/2021. For (i) 2021 performance shares: reflects 12/31/2021 performance modifier based on 70% weighted 12/31/2021 TSR rank versus the LTIP Performance Share Peer Group (at 160%) and 30% weighted 12/31/2021 Relative ROCE Improvement rank versus the integrated energy companies (at 150%), multiplied by Chevron’s stock price at 12/31/2021 ($117.35), including dividend accruals; (ii) 2020 performance shares: reflects 12/31/2021 TSR rank versus the LTIP Performance Share Peer Group and associated performance modifier (at 140%) multiplied by Chevron’s stock price at 12/31/2021 ($117.35), including dividend accruals; and (iii) 2019 performance shares: reflects the actual amount earned and paid for the 3-year performance period at 160% multiplied by the 20-day average trailing price of Chevron common stock at 12/31/2021 ($116.66), including dividend accruals. For restricted stock units, reflects Chevron’s stock price at 12/31/2021 ($117.35), including dividend accruals. For stock options: reflects in-the-money value for 2019, 2020 and 2021 grants, with exercise prices of $113.01 (2019), $110.37 (2020) and $88.20 (2021) relative to Chevron’s common stock price at 12/31/2021 of $117.35.</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1100"/>
          </w:cols>
          <w:pgMar w:left="320" w:top="455" w:right="47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208280</wp:posOffset>
            </wp:positionV>
            <wp:extent cx="1474470" cy="146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74470" cy="146050"/>
                    </a:xfrm>
                    <a:prstGeom prst="rect">
                      <a:avLst/>
                    </a:prstGeom>
                    <a:noFill/>
                  </pic:spPr>
                </pic:pic>
              </a:graphicData>
            </a:graphic>
          </wp:anchor>
        </w:drawing>
      </w:r>
    </w:p>
    <w:p>
      <w:pPr>
        <w:spacing w:after="0" w:line="339"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FFFFFF"/>
        </w:rPr>
        <w:t>Executive compensation</w:t>
      </w:r>
    </w:p>
    <w:p>
      <w:pPr>
        <w:spacing w:after="0" w:line="156" w:lineRule="exact"/>
        <w:rPr>
          <w:sz w:val="20"/>
          <w:szCs w:val="20"/>
          <w:color w:val="auto"/>
        </w:rPr>
      </w:pPr>
    </w:p>
    <w:p>
      <w:pPr>
        <w:ind w:left="1940"/>
        <w:spacing w:after="0"/>
        <w:rPr>
          <w:sz w:val="20"/>
          <w:szCs w:val="20"/>
          <w:color w:val="auto"/>
        </w:rPr>
      </w:pPr>
      <w:r>
        <w:rPr>
          <w:rFonts w:ascii="Arial" w:cs="Arial" w:eastAsia="Arial" w:hAnsi="Arial"/>
          <w:sz w:val="32"/>
          <w:szCs w:val="32"/>
          <w:b w:val="1"/>
          <w:bCs w:val="1"/>
          <w:color w:val="0B2D71"/>
        </w:rPr>
        <w:t>Compensation discussion and analysis in detail</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Compensation planning and governance</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graphic below illustrates the timing and key governance elements of the executive compensation planning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166370</wp:posOffset>
            </wp:positionV>
            <wp:extent cx="5701030" cy="23831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0103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Use of peer groups</w:t>
      </w:r>
    </w:p>
    <w:p>
      <w:pPr>
        <w:spacing w:after="0" w:line="112"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We are always competing for the best talent with our direct industry peers and with the broader market. Accordingly, the MCC regularly reviews the market data, pay practices, and compensation ranges among both oil industry peers and non-oil industry peers to ensure that we continue to offer a reasonable and competitive executive pay program. Our core peer group is reviewed regularly by the MCC, with input from the MCC’s independent compensation consultant, and updated as appropriate. Throughout this Compensation Discussion and Analysis, we refer to three distinct peer groups, as described below. We source peer company data from compensation consultant surveys and public disclosures.</w:t>
      </w:r>
    </w:p>
    <w:p>
      <w:pPr>
        <w:spacing w:after="0" w:line="221" w:lineRule="exact"/>
        <w:rPr>
          <w:sz w:val="20"/>
          <w:szCs w:val="20"/>
          <w:color w:val="auto"/>
        </w:rPr>
      </w:pPr>
    </w:p>
    <w:tbl>
      <w:tblPr>
        <w:tblLayout w:type="fixed"/>
        <w:tblInd w:w="130" w:type="dxa"/>
        <w:tblCellMar>
          <w:top w:w="0" w:type="dxa"/>
          <w:left w:w="0" w:type="dxa"/>
          <w:bottom w:w="0" w:type="dxa"/>
          <w:right w:w="0" w:type="dxa"/>
        </w:tblCellMar>
      </w:tblPr>
      <w:tr>
        <w:trPr>
          <w:trHeight w:val="351"/>
        </w:trPr>
        <w:tc>
          <w:tcPr>
            <w:tcW w:w="1960" w:type="dxa"/>
            <w:vAlign w:val="bottom"/>
            <w:tcBorders>
              <w:left w:val="single" w:sz="8" w:color="7F7F7F"/>
              <w:right w:val="single" w:sz="8" w:color="0066B2"/>
            </w:tcBorders>
            <w:shd w:val="clear" w:color="auto" w:fill="0066B2"/>
          </w:tcPr>
          <w:p>
            <w:pPr>
              <w:ind w:left="160"/>
              <w:spacing w:after="0"/>
              <w:rPr>
                <w:sz w:val="20"/>
                <w:szCs w:val="20"/>
                <w:color w:val="auto"/>
              </w:rPr>
            </w:pPr>
            <w:r>
              <w:rPr>
                <w:rFonts w:ascii="Arial" w:cs="Arial" w:eastAsia="Arial" w:hAnsi="Arial"/>
                <w:sz w:val="16"/>
                <w:szCs w:val="16"/>
                <w:b w:val="1"/>
                <w:bCs w:val="1"/>
                <w:color w:val="FFFFFF"/>
              </w:rPr>
              <w:t>Peer group</w:t>
            </w:r>
          </w:p>
        </w:tc>
        <w:tc>
          <w:tcPr>
            <w:tcW w:w="9000" w:type="dxa"/>
            <w:vAlign w:val="bottom"/>
            <w:tcBorders>
              <w:right w:val="single" w:sz="8" w:color="7F7F7F"/>
            </w:tcBorders>
            <w:shd w:val="clear" w:color="auto" w:fill="0066B2"/>
          </w:tcPr>
          <w:p>
            <w:pPr>
              <w:ind w:left="80"/>
              <w:spacing w:after="0"/>
              <w:rPr>
                <w:sz w:val="20"/>
                <w:szCs w:val="20"/>
                <w:color w:val="auto"/>
              </w:rPr>
            </w:pPr>
            <w:r>
              <w:rPr>
                <w:rFonts w:ascii="Arial" w:cs="Arial" w:eastAsia="Arial" w:hAnsi="Arial"/>
                <w:sz w:val="16"/>
                <w:szCs w:val="16"/>
                <w:b w:val="1"/>
                <w:bCs w:val="1"/>
                <w:color w:val="FFFFFF"/>
              </w:rPr>
              <w:t>Description</w:t>
            </w:r>
          </w:p>
        </w:tc>
        <w:tc>
          <w:tcPr>
            <w:tcW w:w="0" w:type="dxa"/>
            <w:vAlign w:val="bottom"/>
          </w:tcPr>
          <w:p>
            <w:pPr>
              <w:spacing w:after="0"/>
              <w:rPr>
                <w:sz w:val="1"/>
                <w:szCs w:val="1"/>
                <w:color w:val="auto"/>
              </w:rPr>
            </w:pPr>
          </w:p>
        </w:tc>
      </w:tr>
      <w:tr>
        <w:trPr>
          <w:trHeight w:val="242"/>
        </w:trPr>
        <w:tc>
          <w:tcPr>
            <w:tcW w:w="1960" w:type="dxa"/>
            <w:vAlign w:val="bottom"/>
            <w:tcBorders>
              <w:left w:val="single" w:sz="8" w:color="7F7F7F"/>
              <w:right w:val="single" w:sz="8" w:color="7F7F7F"/>
            </w:tcBorders>
            <w:shd w:val="clear" w:color="auto" w:fill="D8D8D8"/>
          </w:tcPr>
          <w:p>
            <w:pPr>
              <w:ind w:left="160"/>
              <w:spacing w:after="0"/>
              <w:rPr>
                <w:sz w:val="20"/>
                <w:szCs w:val="20"/>
                <w:color w:val="auto"/>
              </w:rPr>
            </w:pPr>
            <w:r>
              <w:rPr>
                <w:rFonts w:ascii="Arial" w:cs="Arial" w:eastAsia="Arial" w:hAnsi="Arial"/>
                <w:sz w:val="16"/>
                <w:szCs w:val="16"/>
                <w:b w:val="1"/>
                <w:bCs w:val="1"/>
                <w:color w:val="auto"/>
              </w:rPr>
              <w:t>Oil industry peer</w:t>
            </w:r>
          </w:p>
        </w:tc>
        <w:tc>
          <w:tcPr>
            <w:tcW w:w="9000" w:type="dxa"/>
            <w:vAlign w:val="bottom"/>
            <w:tcBorders>
              <w:right w:val="single" w:sz="8" w:color="7F7F7F"/>
            </w:tcBorders>
            <w:shd w:val="clear" w:color="auto" w:fill="D8D8D8"/>
          </w:tcPr>
          <w:p>
            <w:pPr>
              <w:ind w:left="80"/>
              <w:spacing w:after="0"/>
              <w:rPr>
                <w:sz w:val="20"/>
                <w:szCs w:val="20"/>
                <w:color w:val="auto"/>
              </w:rPr>
            </w:pPr>
            <w:r>
              <w:rPr>
                <w:rFonts w:ascii="Arial" w:cs="Arial" w:eastAsia="Arial" w:hAnsi="Arial"/>
                <w:sz w:val="16"/>
                <w:szCs w:val="16"/>
                <w:color w:val="auto"/>
              </w:rPr>
              <w:t>Companies with substantial U.S. or global operations that closely approximate the size, scope, and complexity of our</w:t>
            </w:r>
          </w:p>
        </w:tc>
        <w:tc>
          <w:tcPr>
            <w:tcW w:w="0" w:type="dxa"/>
            <w:vAlign w:val="bottom"/>
          </w:tcPr>
          <w:p>
            <w:pPr>
              <w:spacing w:after="0"/>
              <w:rPr>
                <w:sz w:val="1"/>
                <w:szCs w:val="1"/>
                <w:color w:val="auto"/>
              </w:rPr>
            </w:pPr>
          </w:p>
        </w:tc>
      </w:tr>
      <w:tr>
        <w:trPr>
          <w:trHeight w:val="189"/>
        </w:trPr>
        <w:tc>
          <w:tcPr>
            <w:tcW w:w="1960" w:type="dxa"/>
            <w:vAlign w:val="bottom"/>
            <w:tcBorders>
              <w:left w:val="single" w:sz="8" w:color="7F7F7F"/>
              <w:right w:val="single" w:sz="8" w:color="7F7F7F"/>
            </w:tcBorders>
            <w:shd w:val="clear" w:color="auto" w:fill="D8D8D8"/>
          </w:tcPr>
          <w:p>
            <w:pPr>
              <w:ind w:left="160"/>
              <w:spacing w:after="0"/>
              <w:rPr>
                <w:sz w:val="20"/>
                <w:szCs w:val="20"/>
                <w:color w:val="auto"/>
              </w:rPr>
            </w:pPr>
            <w:r>
              <w:rPr>
                <w:rFonts w:ascii="Arial" w:cs="Arial" w:eastAsia="Arial" w:hAnsi="Arial"/>
                <w:sz w:val="16"/>
                <w:szCs w:val="16"/>
                <w:b w:val="1"/>
                <w:bCs w:val="1"/>
                <w:color w:val="auto"/>
              </w:rPr>
              <w:t xml:space="preserve">group </w:t>
            </w:r>
            <w:r>
              <w:rPr>
                <w:rFonts w:ascii="Arial" w:cs="Arial" w:eastAsia="Arial" w:hAnsi="Arial"/>
                <w:sz w:val="16"/>
                <w:szCs w:val="16"/>
                <w:color w:val="auto"/>
              </w:rPr>
              <w:t>(10 companies)</w:t>
            </w:r>
          </w:p>
        </w:tc>
        <w:tc>
          <w:tcPr>
            <w:tcW w:w="9000" w:type="dxa"/>
            <w:vAlign w:val="bottom"/>
            <w:tcBorders>
              <w:right w:val="single" w:sz="8" w:color="7F7F7F"/>
            </w:tcBorders>
            <w:shd w:val="clear" w:color="auto" w:fill="D8D8D8"/>
          </w:tcPr>
          <w:p>
            <w:pPr>
              <w:ind w:left="80"/>
              <w:spacing w:after="0"/>
              <w:rPr>
                <w:sz w:val="20"/>
                <w:szCs w:val="20"/>
                <w:color w:val="auto"/>
              </w:rPr>
            </w:pPr>
            <w:r>
              <w:rPr>
                <w:rFonts w:ascii="Arial" w:cs="Arial" w:eastAsia="Arial" w:hAnsi="Arial"/>
                <w:sz w:val="16"/>
                <w:szCs w:val="16"/>
                <w:color w:val="auto"/>
              </w:rPr>
              <w:t>business or segments of our business. This is the primary peer group used to understand how each NEO’s total</w:t>
            </w:r>
          </w:p>
        </w:tc>
        <w:tc>
          <w:tcPr>
            <w:tcW w:w="0" w:type="dxa"/>
            <w:vAlign w:val="bottom"/>
          </w:tcPr>
          <w:p>
            <w:pPr>
              <w:spacing w:after="0"/>
              <w:rPr>
                <w:sz w:val="1"/>
                <w:szCs w:val="1"/>
                <w:color w:val="auto"/>
              </w:rPr>
            </w:pPr>
          </w:p>
        </w:tc>
      </w:tr>
      <w:tr>
        <w:trPr>
          <w:trHeight w:val="215"/>
        </w:trPr>
        <w:tc>
          <w:tcPr>
            <w:tcW w:w="1960" w:type="dxa"/>
            <w:vAlign w:val="bottom"/>
            <w:tcBorders>
              <w:left w:val="single" w:sz="8" w:color="7F7F7F"/>
              <w:right w:val="single" w:sz="8" w:color="7F7F7F"/>
            </w:tcBorders>
            <w:shd w:val="clear" w:color="auto" w:fill="D8D8D8"/>
          </w:tcPr>
          <w:p>
            <w:pPr>
              <w:spacing w:after="0"/>
              <w:rPr>
                <w:sz w:val="18"/>
                <w:szCs w:val="18"/>
                <w:color w:val="auto"/>
              </w:rPr>
            </w:pPr>
          </w:p>
        </w:tc>
        <w:tc>
          <w:tcPr>
            <w:tcW w:w="9000" w:type="dxa"/>
            <w:vAlign w:val="bottom"/>
            <w:tcBorders>
              <w:right w:val="single" w:sz="8" w:color="7F7F7F"/>
            </w:tcBorders>
            <w:shd w:val="clear" w:color="auto" w:fill="D8D8D8"/>
          </w:tcPr>
          <w:p>
            <w:pPr>
              <w:ind w:left="80"/>
              <w:spacing w:after="0"/>
              <w:rPr>
                <w:sz w:val="20"/>
                <w:szCs w:val="20"/>
                <w:color w:val="auto"/>
              </w:rPr>
            </w:pPr>
            <w:r>
              <w:rPr>
                <w:rFonts w:ascii="Arial" w:cs="Arial" w:eastAsia="Arial" w:hAnsi="Arial"/>
                <w:sz w:val="16"/>
                <w:szCs w:val="16"/>
                <w:color w:val="auto"/>
              </w:rPr>
              <w:t>compensation compares with the total compensation for reasonably similar industry-specific positions.</w:t>
            </w:r>
          </w:p>
        </w:tc>
        <w:tc>
          <w:tcPr>
            <w:tcW w:w="0" w:type="dxa"/>
            <w:vAlign w:val="bottom"/>
          </w:tcPr>
          <w:p>
            <w:pPr>
              <w:spacing w:after="0"/>
              <w:rPr>
                <w:sz w:val="1"/>
                <w:szCs w:val="1"/>
                <w:color w:val="auto"/>
              </w:rPr>
            </w:pPr>
          </w:p>
        </w:tc>
      </w:tr>
      <w:tr>
        <w:trPr>
          <w:trHeight w:val="310"/>
        </w:trPr>
        <w:tc>
          <w:tcPr>
            <w:tcW w:w="1960" w:type="dxa"/>
            <w:vAlign w:val="bottom"/>
            <w:tcBorders>
              <w:left w:val="single" w:sz="8" w:color="7F7F7F"/>
              <w:right w:val="single" w:sz="8" w:color="7F7F7F"/>
            </w:tcBorders>
            <w:shd w:val="clear" w:color="auto" w:fill="D8D8D8"/>
          </w:tcPr>
          <w:p>
            <w:pPr>
              <w:spacing w:after="0"/>
              <w:rPr>
                <w:sz w:val="24"/>
                <w:szCs w:val="24"/>
                <w:color w:val="auto"/>
              </w:rPr>
            </w:pPr>
          </w:p>
        </w:tc>
        <w:tc>
          <w:tcPr>
            <w:tcW w:w="9000" w:type="dxa"/>
            <w:vAlign w:val="bottom"/>
            <w:tcBorders>
              <w:right w:val="single" w:sz="8" w:color="7F7F7F"/>
            </w:tcBorders>
            <w:shd w:val="clear" w:color="auto" w:fill="D8D8D8"/>
          </w:tcPr>
          <w:p>
            <w:pPr>
              <w:ind w:left="80"/>
              <w:spacing w:after="0"/>
              <w:rPr>
                <w:sz w:val="20"/>
                <w:szCs w:val="20"/>
                <w:color w:val="auto"/>
              </w:rPr>
            </w:pPr>
            <w:r>
              <w:rPr>
                <w:rFonts w:ascii="Arial" w:cs="Arial" w:eastAsia="Arial" w:hAnsi="Arial"/>
                <w:sz w:val="16"/>
                <w:szCs w:val="16"/>
                <w:color w:val="auto"/>
              </w:rPr>
              <w:t>Devon was removed from the oil industry peer group for 2021 due to its withdrawal from survey participation.</w:t>
            </w:r>
          </w:p>
        </w:tc>
        <w:tc>
          <w:tcPr>
            <w:tcW w:w="0" w:type="dxa"/>
            <w:vAlign w:val="bottom"/>
          </w:tcPr>
          <w:p>
            <w:pPr>
              <w:spacing w:after="0"/>
              <w:rPr>
                <w:sz w:val="1"/>
                <w:szCs w:val="1"/>
                <w:color w:val="auto"/>
              </w:rPr>
            </w:pPr>
          </w:p>
        </w:tc>
      </w:tr>
      <w:tr>
        <w:trPr>
          <w:trHeight w:val="123"/>
        </w:trPr>
        <w:tc>
          <w:tcPr>
            <w:tcW w:w="1960" w:type="dxa"/>
            <w:vAlign w:val="bottom"/>
            <w:tcBorders>
              <w:left w:val="single" w:sz="8" w:color="7F7F7F"/>
              <w:bottom w:val="single" w:sz="8" w:color="7F7F7F"/>
              <w:right w:val="single" w:sz="8" w:color="7F7F7F"/>
            </w:tcBorders>
            <w:shd w:val="clear" w:color="auto" w:fill="D8D8D8"/>
          </w:tcPr>
          <w:p>
            <w:pPr>
              <w:spacing w:after="0"/>
              <w:rPr>
                <w:sz w:val="10"/>
                <w:szCs w:val="10"/>
                <w:color w:val="auto"/>
              </w:rPr>
            </w:pPr>
          </w:p>
        </w:tc>
        <w:tc>
          <w:tcPr>
            <w:tcW w:w="9000" w:type="dxa"/>
            <w:vAlign w:val="bottom"/>
            <w:tcBorders>
              <w:bottom w:val="single" w:sz="8" w:color="7F7F7F"/>
              <w:right w:val="single" w:sz="8" w:color="7F7F7F"/>
            </w:tcBorders>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960" w:type="dxa"/>
            <w:vAlign w:val="bottom"/>
            <w:tcBorders>
              <w:left w:val="single" w:sz="8" w:color="7F7F7F"/>
              <w:right w:val="single" w:sz="8" w:color="7F7F7F"/>
            </w:tcBorders>
          </w:tcPr>
          <w:p>
            <w:pPr>
              <w:ind w:left="160"/>
              <w:spacing w:after="0" w:line="168" w:lineRule="exact"/>
              <w:rPr>
                <w:sz w:val="20"/>
                <w:szCs w:val="20"/>
                <w:color w:val="auto"/>
              </w:rPr>
            </w:pPr>
            <w:r>
              <w:rPr>
                <w:rFonts w:ascii="Arial" w:cs="Arial" w:eastAsia="Arial" w:hAnsi="Arial"/>
                <w:sz w:val="16"/>
                <w:szCs w:val="16"/>
                <w:b w:val="1"/>
                <w:bCs w:val="1"/>
                <w:color w:val="auto"/>
              </w:rPr>
              <w:t>Non–oil industry peer</w:t>
            </w:r>
          </w:p>
        </w:tc>
        <w:tc>
          <w:tcPr>
            <w:tcW w:w="9000" w:type="dxa"/>
            <w:vAlign w:val="bottom"/>
            <w:tcBorders>
              <w:right w:val="single" w:sz="8" w:color="7F7F7F"/>
            </w:tcBorders>
          </w:tcPr>
          <w:p>
            <w:pPr>
              <w:ind w:left="80"/>
              <w:spacing w:after="0" w:line="168" w:lineRule="exact"/>
              <w:rPr>
                <w:sz w:val="20"/>
                <w:szCs w:val="20"/>
                <w:color w:val="auto"/>
              </w:rPr>
            </w:pPr>
            <w:r>
              <w:rPr>
                <w:rFonts w:ascii="Arial" w:cs="Arial" w:eastAsia="Arial" w:hAnsi="Arial"/>
                <w:sz w:val="16"/>
                <w:szCs w:val="16"/>
                <w:color w:val="auto"/>
              </w:rPr>
              <w:t>Companies of significant financial and operational size that have, among other features, global operations, significant</w:t>
            </w:r>
          </w:p>
        </w:tc>
        <w:tc>
          <w:tcPr>
            <w:tcW w:w="0" w:type="dxa"/>
            <w:vAlign w:val="bottom"/>
          </w:tcPr>
          <w:p>
            <w:pPr>
              <w:spacing w:after="0"/>
              <w:rPr>
                <w:sz w:val="1"/>
                <w:szCs w:val="1"/>
                <w:color w:val="auto"/>
              </w:rPr>
            </w:pPr>
          </w:p>
        </w:tc>
      </w:tr>
      <w:tr>
        <w:trPr>
          <w:trHeight w:val="189"/>
        </w:trPr>
        <w:tc>
          <w:tcPr>
            <w:tcW w:w="1960" w:type="dxa"/>
            <w:vAlign w:val="bottom"/>
            <w:tcBorders>
              <w:left w:val="single" w:sz="8" w:color="7F7F7F"/>
              <w:right w:val="single" w:sz="8" w:color="7F7F7F"/>
            </w:tcBorders>
          </w:tcPr>
          <w:p>
            <w:pPr>
              <w:ind w:left="160"/>
              <w:spacing w:after="0"/>
              <w:rPr>
                <w:sz w:val="20"/>
                <w:szCs w:val="20"/>
                <w:color w:val="auto"/>
              </w:rPr>
            </w:pPr>
            <w:r>
              <w:rPr>
                <w:rFonts w:ascii="Arial" w:cs="Arial" w:eastAsia="Arial" w:hAnsi="Arial"/>
                <w:sz w:val="16"/>
                <w:szCs w:val="16"/>
                <w:b w:val="1"/>
                <w:bCs w:val="1"/>
                <w:color w:val="auto"/>
              </w:rPr>
              <w:t xml:space="preserve">group </w:t>
            </w:r>
            <w:r>
              <w:rPr>
                <w:rFonts w:ascii="Arial" w:cs="Arial" w:eastAsia="Arial" w:hAnsi="Arial"/>
                <w:sz w:val="16"/>
                <w:szCs w:val="16"/>
                <w:color w:val="auto"/>
              </w:rPr>
              <w:t>(13 companies)</w:t>
            </w:r>
          </w:p>
        </w:tc>
        <w:tc>
          <w:tcPr>
            <w:tcW w:w="9000" w:type="dxa"/>
            <w:vAlign w:val="bottom"/>
            <w:tcBorders>
              <w:right w:val="single" w:sz="8" w:color="7F7F7F"/>
            </w:tcBorders>
          </w:tcPr>
          <w:p>
            <w:pPr>
              <w:ind w:left="80"/>
              <w:spacing w:after="0"/>
              <w:rPr>
                <w:sz w:val="20"/>
                <w:szCs w:val="20"/>
                <w:color w:val="auto"/>
              </w:rPr>
            </w:pPr>
            <w:r>
              <w:rPr>
                <w:rFonts w:ascii="Arial" w:cs="Arial" w:eastAsia="Arial" w:hAnsi="Arial"/>
                <w:sz w:val="16"/>
                <w:szCs w:val="16"/>
                <w:color w:val="auto"/>
              </w:rPr>
              <w:t>assets and capital requirements, long-term project investment cycles, extensive technology portfolios, an emphasis on</w:t>
            </w:r>
          </w:p>
        </w:tc>
        <w:tc>
          <w:tcPr>
            <w:tcW w:w="0" w:type="dxa"/>
            <w:vAlign w:val="bottom"/>
          </w:tcPr>
          <w:p>
            <w:pPr>
              <w:spacing w:after="0"/>
              <w:rPr>
                <w:sz w:val="1"/>
                <w:szCs w:val="1"/>
                <w:color w:val="auto"/>
              </w:rPr>
            </w:pPr>
          </w:p>
        </w:tc>
      </w:tr>
      <w:tr>
        <w:trPr>
          <w:trHeight w:val="189"/>
        </w:trPr>
        <w:tc>
          <w:tcPr>
            <w:tcW w:w="1960" w:type="dxa"/>
            <w:vAlign w:val="bottom"/>
            <w:tcBorders>
              <w:left w:val="single" w:sz="8" w:color="7F7F7F"/>
              <w:right w:val="single" w:sz="8" w:color="7F7F7F"/>
            </w:tcBorders>
          </w:tcPr>
          <w:p>
            <w:pPr>
              <w:spacing w:after="0"/>
              <w:rPr>
                <w:sz w:val="16"/>
                <w:szCs w:val="16"/>
                <w:color w:val="auto"/>
              </w:rPr>
            </w:pPr>
          </w:p>
        </w:tc>
        <w:tc>
          <w:tcPr>
            <w:tcW w:w="9000" w:type="dxa"/>
            <w:vAlign w:val="bottom"/>
            <w:tcBorders>
              <w:right w:val="single" w:sz="8" w:color="7F7F7F"/>
            </w:tcBorders>
          </w:tcPr>
          <w:p>
            <w:pPr>
              <w:ind w:left="80"/>
              <w:spacing w:after="0"/>
              <w:rPr>
                <w:sz w:val="20"/>
                <w:szCs w:val="20"/>
                <w:color w:val="auto"/>
              </w:rPr>
            </w:pPr>
            <w:r>
              <w:rPr>
                <w:rFonts w:ascii="Arial" w:cs="Arial" w:eastAsia="Arial" w:hAnsi="Arial"/>
                <w:sz w:val="16"/>
                <w:szCs w:val="16"/>
                <w:color w:val="auto"/>
              </w:rPr>
              <w:t>engineering and technical skills, and extensive distribution channels. This is the secondary peer group used to</w:t>
            </w:r>
          </w:p>
        </w:tc>
        <w:tc>
          <w:tcPr>
            <w:tcW w:w="0" w:type="dxa"/>
            <w:vAlign w:val="bottom"/>
          </w:tcPr>
          <w:p>
            <w:pPr>
              <w:spacing w:after="0"/>
              <w:rPr>
                <w:sz w:val="1"/>
                <w:szCs w:val="1"/>
                <w:color w:val="auto"/>
              </w:rPr>
            </w:pPr>
          </w:p>
        </w:tc>
      </w:tr>
      <w:tr>
        <w:trPr>
          <w:trHeight w:val="189"/>
        </w:trPr>
        <w:tc>
          <w:tcPr>
            <w:tcW w:w="1960" w:type="dxa"/>
            <w:vAlign w:val="bottom"/>
            <w:tcBorders>
              <w:left w:val="single" w:sz="8" w:color="7F7F7F"/>
              <w:right w:val="single" w:sz="8" w:color="7F7F7F"/>
            </w:tcBorders>
          </w:tcPr>
          <w:p>
            <w:pPr>
              <w:spacing w:after="0"/>
              <w:rPr>
                <w:sz w:val="16"/>
                <w:szCs w:val="16"/>
                <w:color w:val="auto"/>
              </w:rPr>
            </w:pPr>
          </w:p>
        </w:tc>
        <w:tc>
          <w:tcPr>
            <w:tcW w:w="9000" w:type="dxa"/>
            <w:vAlign w:val="bottom"/>
            <w:tcBorders>
              <w:right w:val="single" w:sz="8" w:color="7F7F7F"/>
            </w:tcBorders>
          </w:tcPr>
          <w:p>
            <w:pPr>
              <w:ind w:left="80"/>
              <w:spacing w:after="0"/>
              <w:rPr>
                <w:sz w:val="20"/>
                <w:szCs w:val="20"/>
                <w:color w:val="auto"/>
              </w:rPr>
            </w:pPr>
            <w:r>
              <w:rPr>
                <w:rFonts w:ascii="Arial" w:cs="Arial" w:eastAsia="Arial" w:hAnsi="Arial"/>
                <w:sz w:val="16"/>
                <w:szCs w:val="16"/>
                <w:color w:val="auto"/>
              </w:rPr>
              <w:t>periodically compare our overall compensation practices against a broader mix of non-oil companies that are similar to</w:t>
            </w:r>
          </w:p>
        </w:tc>
        <w:tc>
          <w:tcPr>
            <w:tcW w:w="0" w:type="dxa"/>
            <w:vAlign w:val="bottom"/>
          </w:tcPr>
          <w:p>
            <w:pPr>
              <w:spacing w:after="0"/>
              <w:rPr>
                <w:sz w:val="1"/>
                <w:szCs w:val="1"/>
                <w:color w:val="auto"/>
              </w:rPr>
            </w:pPr>
          </w:p>
        </w:tc>
      </w:tr>
      <w:tr>
        <w:trPr>
          <w:trHeight w:val="215"/>
        </w:trPr>
        <w:tc>
          <w:tcPr>
            <w:tcW w:w="1960" w:type="dxa"/>
            <w:vAlign w:val="bottom"/>
            <w:tcBorders>
              <w:left w:val="single" w:sz="8" w:color="7F7F7F"/>
              <w:right w:val="single" w:sz="8" w:color="7F7F7F"/>
            </w:tcBorders>
          </w:tcPr>
          <w:p>
            <w:pPr>
              <w:spacing w:after="0"/>
              <w:rPr>
                <w:sz w:val="18"/>
                <w:szCs w:val="18"/>
                <w:color w:val="auto"/>
              </w:rPr>
            </w:pPr>
          </w:p>
        </w:tc>
        <w:tc>
          <w:tcPr>
            <w:tcW w:w="9000" w:type="dxa"/>
            <w:vAlign w:val="bottom"/>
            <w:tcBorders>
              <w:right w:val="single" w:sz="8" w:color="7F7F7F"/>
            </w:tcBorders>
          </w:tcPr>
          <w:p>
            <w:pPr>
              <w:ind w:left="80"/>
              <w:spacing w:after="0"/>
              <w:rPr>
                <w:sz w:val="20"/>
                <w:szCs w:val="20"/>
                <w:color w:val="auto"/>
              </w:rPr>
            </w:pPr>
            <w:r>
              <w:rPr>
                <w:rFonts w:ascii="Arial" w:cs="Arial" w:eastAsia="Arial" w:hAnsi="Arial"/>
                <w:sz w:val="16"/>
                <w:szCs w:val="16"/>
                <w:color w:val="auto"/>
              </w:rPr>
              <w:t>Chevron in size, complexity, and scope of operations.</w:t>
            </w:r>
          </w:p>
        </w:tc>
        <w:tc>
          <w:tcPr>
            <w:tcW w:w="0" w:type="dxa"/>
            <w:vAlign w:val="bottom"/>
          </w:tcPr>
          <w:p>
            <w:pPr>
              <w:spacing w:after="0"/>
              <w:rPr>
                <w:sz w:val="1"/>
                <w:szCs w:val="1"/>
                <w:color w:val="auto"/>
              </w:rPr>
            </w:pPr>
          </w:p>
        </w:tc>
      </w:tr>
      <w:tr>
        <w:trPr>
          <w:trHeight w:val="310"/>
        </w:trPr>
        <w:tc>
          <w:tcPr>
            <w:tcW w:w="1960" w:type="dxa"/>
            <w:vAlign w:val="bottom"/>
            <w:tcBorders>
              <w:left w:val="single" w:sz="8" w:color="7F7F7F"/>
              <w:right w:val="single" w:sz="8" w:color="7F7F7F"/>
            </w:tcBorders>
          </w:tcPr>
          <w:p>
            <w:pPr>
              <w:spacing w:after="0"/>
              <w:rPr>
                <w:sz w:val="24"/>
                <w:szCs w:val="24"/>
                <w:color w:val="auto"/>
              </w:rPr>
            </w:pPr>
          </w:p>
        </w:tc>
        <w:tc>
          <w:tcPr>
            <w:tcW w:w="9000" w:type="dxa"/>
            <w:vAlign w:val="bottom"/>
            <w:tcBorders>
              <w:right w:val="single" w:sz="8" w:color="7F7F7F"/>
            </w:tcBorders>
          </w:tcPr>
          <w:p>
            <w:pPr>
              <w:ind w:left="80"/>
              <w:spacing w:after="0"/>
              <w:rPr>
                <w:sz w:val="20"/>
                <w:szCs w:val="20"/>
                <w:color w:val="auto"/>
              </w:rPr>
            </w:pPr>
            <w:r>
              <w:rPr>
                <w:rFonts w:ascii="Arial" w:cs="Arial" w:eastAsia="Arial" w:hAnsi="Arial"/>
                <w:sz w:val="16"/>
                <w:szCs w:val="16"/>
                <w:color w:val="auto"/>
              </w:rPr>
              <w:t>Dupont de Nemours was removed from the non-oil industry peer group for 2021 due to its size.</w:t>
            </w:r>
          </w:p>
        </w:tc>
        <w:tc>
          <w:tcPr>
            <w:tcW w:w="0" w:type="dxa"/>
            <w:vAlign w:val="bottom"/>
          </w:tcPr>
          <w:p>
            <w:pPr>
              <w:spacing w:after="0"/>
              <w:rPr>
                <w:sz w:val="1"/>
                <w:szCs w:val="1"/>
                <w:color w:val="auto"/>
              </w:rPr>
            </w:pPr>
          </w:p>
        </w:tc>
      </w:tr>
      <w:tr>
        <w:trPr>
          <w:trHeight w:val="123"/>
        </w:trPr>
        <w:tc>
          <w:tcPr>
            <w:tcW w:w="1960" w:type="dxa"/>
            <w:vAlign w:val="bottom"/>
            <w:tcBorders>
              <w:left w:val="single" w:sz="8" w:color="7F7F7F"/>
              <w:bottom w:val="single" w:sz="8" w:color="7F7F7F"/>
              <w:right w:val="single" w:sz="8" w:color="7F7F7F"/>
            </w:tcBorders>
          </w:tcPr>
          <w:p>
            <w:pPr>
              <w:spacing w:after="0"/>
              <w:rPr>
                <w:sz w:val="10"/>
                <w:szCs w:val="10"/>
                <w:color w:val="auto"/>
              </w:rPr>
            </w:pPr>
          </w:p>
        </w:tc>
        <w:tc>
          <w:tcPr>
            <w:tcW w:w="9000" w:type="dxa"/>
            <w:vAlign w:val="bottom"/>
            <w:tcBorders>
              <w:bottom w:val="single" w:sz="8" w:color="7F7F7F"/>
              <w:right w:val="single" w:sz="8" w:color="7F7F7F"/>
            </w:tcBorders>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960" w:type="dxa"/>
            <w:vAlign w:val="bottom"/>
            <w:tcBorders>
              <w:left w:val="single" w:sz="8" w:color="7F7F7F"/>
              <w:right w:val="single" w:sz="8" w:color="7F7F7F"/>
            </w:tcBorders>
            <w:shd w:val="clear" w:color="auto" w:fill="D8D8D8"/>
          </w:tcPr>
          <w:p>
            <w:pPr>
              <w:ind w:left="160"/>
              <w:spacing w:after="0" w:line="168" w:lineRule="exact"/>
              <w:rPr>
                <w:sz w:val="20"/>
                <w:szCs w:val="20"/>
                <w:color w:val="auto"/>
              </w:rPr>
            </w:pPr>
            <w:r>
              <w:rPr>
                <w:rFonts w:ascii="Arial" w:cs="Arial" w:eastAsia="Arial" w:hAnsi="Arial"/>
                <w:sz w:val="16"/>
                <w:szCs w:val="16"/>
                <w:b w:val="1"/>
                <w:bCs w:val="1"/>
                <w:color w:val="auto"/>
              </w:rPr>
              <w:t>LTIP performance</w:t>
            </w:r>
          </w:p>
        </w:tc>
        <w:tc>
          <w:tcPr>
            <w:tcW w:w="9000" w:type="dxa"/>
            <w:vAlign w:val="bottom"/>
            <w:tcBorders>
              <w:right w:val="single" w:sz="8" w:color="7F7F7F"/>
            </w:tcBorders>
            <w:shd w:val="clear" w:color="auto" w:fill="D8D8D8"/>
          </w:tcPr>
          <w:p>
            <w:pPr>
              <w:ind w:left="80"/>
              <w:spacing w:after="0" w:line="168" w:lineRule="exact"/>
              <w:rPr>
                <w:sz w:val="20"/>
                <w:szCs w:val="20"/>
                <w:color w:val="auto"/>
              </w:rPr>
            </w:pPr>
            <w:r>
              <w:rPr>
                <w:rFonts w:ascii="Arial" w:cs="Arial" w:eastAsia="Arial" w:hAnsi="Arial"/>
                <w:sz w:val="16"/>
                <w:szCs w:val="16"/>
                <w:color w:val="auto"/>
              </w:rPr>
              <w:t>Companies used to compare our TSR and ROCE Improvement for the purpose of determining performance share</w:t>
            </w:r>
          </w:p>
        </w:tc>
        <w:tc>
          <w:tcPr>
            <w:tcW w:w="0" w:type="dxa"/>
            <w:vAlign w:val="bottom"/>
          </w:tcPr>
          <w:p>
            <w:pPr>
              <w:spacing w:after="0"/>
              <w:rPr>
                <w:sz w:val="1"/>
                <w:szCs w:val="1"/>
                <w:color w:val="auto"/>
              </w:rPr>
            </w:pPr>
          </w:p>
        </w:tc>
      </w:tr>
      <w:tr>
        <w:trPr>
          <w:trHeight w:val="189"/>
        </w:trPr>
        <w:tc>
          <w:tcPr>
            <w:tcW w:w="1960" w:type="dxa"/>
            <w:vAlign w:val="bottom"/>
            <w:tcBorders>
              <w:left w:val="single" w:sz="8" w:color="7F7F7F"/>
              <w:right w:val="single" w:sz="8" w:color="7F7F7F"/>
            </w:tcBorders>
            <w:shd w:val="clear" w:color="auto" w:fill="D8D8D8"/>
          </w:tcPr>
          <w:p>
            <w:pPr>
              <w:ind w:left="160"/>
              <w:spacing w:after="0"/>
              <w:rPr>
                <w:sz w:val="20"/>
                <w:szCs w:val="20"/>
                <w:color w:val="auto"/>
              </w:rPr>
            </w:pPr>
            <w:r>
              <w:rPr>
                <w:rFonts w:ascii="Arial" w:cs="Arial" w:eastAsia="Arial" w:hAnsi="Arial"/>
                <w:sz w:val="16"/>
                <w:szCs w:val="16"/>
                <w:b w:val="1"/>
                <w:bCs w:val="1"/>
                <w:color w:val="auto"/>
              </w:rPr>
              <w:t>share peer group</w:t>
            </w:r>
          </w:p>
        </w:tc>
        <w:tc>
          <w:tcPr>
            <w:tcW w:w="9000" w:type="dxa"/>
            <w:vAlign w:val="bottom"/>
            <w:tcBorders>
              <w:right w:val="single" w:sz="8" w:color="7F7F7F"/>
            </w:tcBorders>
            <w:shd w:val="clear" w:color="auto" w:fill="D8D8D8"/>
          </w:tcPr>
          <w:p>
            <w:pPr>
              <w:ind w:left="80"/>
              <w:spacing w:after="0"/>
              <w:rPr>
                <w:sz w:val="20"/>
                <w:szCs w:val="20"/>
                <w:color w:val="auto"/>
              </w:rPr>
            </w:pPr>
            <w:r>
              <w:rPr>
                <w:rFonts w:ascii="Arial" w:cs="Arial" w:eastAsia="Arial" w:hAnsi="Arial"/>
                <w:sz w:val="16"/>
                <w:szCs w:val="16"/>
                <w:color w:val="auto"/>
              </w:rPr>
              <w:t>payout: BP, ExxonMobil, Shell, TotalEnergies, and the S&amp;P 500 Total Return Index (for TSR comparison only).</w:t>
            </w:r>
          </w:p>
        </w:tc>
        <w:tc>
          <w:tcPr>
            <w:tcW w:w="0" w:type="dxa"/>
            <w:vAlign w:val="bottom"/>
          </w:tcPr>
          <w:p>
            <w:pPr>
              <w:spacing w:after="0"/>
              <w:rPr>
                <w:sz w:val="1"/>
                <w:szCs w:val="1"/>
                <w:color w:val="auto"/>
              </w:rPr>
            </w:pPr>
          </w:p>
        </w:tc>
      </w:tr>
      <w:tr>
        <w:trPr>
          <w:trHeight w:val="189"/>
        </w:trPr>
        <w:tc>
          <w:tcPr>
            <w:tcW w:w="1960" w:type="dxa"/>
            <w:vAlign w:val="bottom"/>
            <w:tcBorders>
              <w:left w:val="single" w:sz="8" w:color="7F7F7F"/>
              <w:righ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(four companies and</w:t>
            </w:r>
          </w:p>
        </w:tc>
        <w:tc>
          <w:tcPr>
            <w:tcW w:w="9000" w:type="dxa"/>
            <w:vAlign w:val="bottom"/>
            <w:tcBorders>
              <w:right w:val="single" w:sz="8" w:color="7F7F7F"/>
            </w:tcBorders>
            <w:vMerge w:val="restart"/>
            <w:shd w:val="clear" w:color="auto" w:fill="D8D8D8"/>
          </w:tcPr>
          <w:p>
            <w:pPr>
              <w:ind w:left="80"/>
              <w:spacing w:after="0"/>
              <w:rPr>
                <w:sz w:val="20"/>
                <w:szCs w:val="20"/>
                <w:color w:val="auto"/>
              </w:rPr>
            </w:pPr>
            <w:r>
              <w:rPr>
                <w:rFonts w:ascii="Arial" w:cs="Arial" w:eastAsia="Arial" w:hAnsi="Arial"/>
                <w:sz w:val="16"/>
                <w:szCs w:val="16"/>
                <w:color w:val="auto"/>
              </w:rPr>
              <w:t>The inclusion of the S&amp;P 500 Total Return Index broadens the performance benchmark beyond industry peers for TSR</w:t>
            </w:r>
          </w:p>
        </w:tc>
        <w:tc>
          <w:tcPr>
            <w:tcW w:w="0" w:type="dxa"/>
            <w:vAlign w:val="bottom"/>
          </w:tcPr>
          <w:p>
            <w:pPr>
              <w:spacing w:after="0"/>
              <w:rPr>
                <w:sz w:val="1"/>
                <w:szCs w:val="1"/>
                <w:color w:val="auto"/>
              </w:rPr>
            </w:pPr>
          </w:p>
        </w:tc>
      </w:tr>
      <w:tr>
        <w:trPr>
          <w:trHeight w:val="121"/>
        </w:trPr>
        <w:tc>
          <w:tcPr>
            <w:tcW w:w="1960" w:type="dxa"/>
            <w:vAlign w:val="bottom"/>
            <w:tcBorders>
              <w:left w:val="single" w:sz="8" w:color="7F7F7F"/>
              <w:right w:val="single" w:sz="8" w:color="7F7F7F"/>
            </w:tcBorders>
            <w:vMerge w:val="restart"/>
            <w:shd w:val="clear" w:color="auto" w:fill="D8D8D8"/>
          </w:tcPr>
          <w:p>
            <w:pPr>
              <w:ind w:left="160"/>
              <w:spacing w:after="0"/>
              <w:rPr>
                <w:sz w:val="20"/>
                <w:szCs w:val="20"/>
                <w:color w:val="auto"/>
              </w:rPr>
            </w:pPr>
            <w:r>
              <w:rPr>
                <w:rFonts w:ascii="Arial" w:cs="Arial" w:eastAsia="Arial" w:hAnsi="Arial"/>
                <w:sz w:val="16"/>
                <w:szCs w:val="16"/>
                <w:color w:val="auto"/>
              </w:rPr>
              <w:t>one stock index)</w:t>
            </w:r>
          </w:p>
        </w:tc>
        <w:tc>
          <w:tcPr>
            <w:tcW w:w="9000" w:type="dxa"/>
            <w:vAlign w:val="bottom"/>
            <w:tcBorders>
              <w:right w:val="single" w:sz="8" w:color="7F7F7F"/>
            </w:tcBorders>
            <w:vMerge w:val="continue"/>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960" w:type="dxa"/>
            <w:vAlign w:val="bottom"/>
            <w:tcBorders>
              <w:left w:val="single" w:sz="8" w:color="7F7F7F"/>
              <w:right w:val="single" w:sz="8" w:color="7F7F7F"/>
            </w:tcBorders>
            <w:vMerge w:val="continue"/>
            <w:shd w:val="clear" w:color="auto" w:fill="D8D8D8"/>
          </w:tcPr>
          <w:p>
            <w:pPr>
              <w:spacing w:after="0"/>
              <w:rPr>
                <w:sz w:val="8"/>
                <w:szCs w:val="8"/>
                <w:color w:val="auto"/>
              </w:rPr>
            </w:pPr>
          </w:p>
        </w:tc>
        <w:tc>
          <w:tcPr>
            <w:tcW w:w="9000" w:type="dxa"/>
            <w:vAlign w:val="bottom"/>
            <w:tcBorders>
              <w:right w:val="single" w:sz="8" w:color="7F7F7F"/>
            </w:tcBorders>
            <w:vMerge w:val="restart"/>
            <w:shd w:val="clear" w:color="auto" w:fill="D8D8D8"/>
          </w:tcPr>
          <w:p>
            <w:pPr>
              <w:ind w:left="80"/>
              <w:spacing w:after="0"/>
              <w:rPr>
                <w:sz w:val="20"/>
                <w:szCs w:val="20"/>
                <w:color w:val="auto"/>
              </w:rPr>
            </w:pPr>
            <w:r>
              <w:rPr>
                <w:rFonts w:ascii="Arial" w:cs="Arial" w:eastAsia="Arial" w:hAnsi="Arial"/>
                <w:sz w:val="16"/>
                <w:szCs w:val="16"/>
                <w:color w:val="auto"/>
              </w:rPr>
              <w:t>comparison. The MCC believes its inclusion aligns executive pay with long-term stockholder interests.</w:t>
            </w:r>
          </w:p>
        </w:tc>
        <w:tc>
          <w:tcPr>
            <w:tcW w:w="0" w:type="dxa"/>
            <w:vAlign w:val="bottom"/>
          </w:tcPr>
          <w:p>
            <w:pPr>
              <w:spacing w:after="0"/>
              <w:rPr>
                <w:sz w:val="1"/>
                <w:szCs w:val="1"/>
                <w:color w:val="auto"/>
              </w:rPr>
            </w:pPr>
          </w:p>
        </w:tc>
      </w:tr>
      <w:tr>
        <w:trPr>
          <w:trHeight w:val="121"/>
        </w:trPr>
        <w:tc>
          <w:tcPr>
            <w:tcW w:w="1960" w:type="dxa"/>
            <w:vAlign w:val="bottom"/>
            <w:tcBorders>
              <w:left w:val="single" w:sz="8" w:color="7F7F7F"/>
              <w:right w:val="single" w:sz="8" w:color="7F7F7F"/>
            </w:tcBorders>
            <w:shd w:val="clear" w:color="auto" w:fill="D8D8D8"/>
          </w:tcPr>
          <w:p>
            <w:pPr>
              <w:spacing w:after="0"/>
              <w:rPr>
                <w:sz w:val="10"/>
                <w:szCs w:val="10"/>
                <w:color w:val="auto"/>
              </w:rPr>
            </w:pPr>
          </w:p>
        </w:tc>
        <w:tc>
          <w:tcPr>
            <w:tcW w:w="9000" w:type="dxa"/>
            <w:vAlign w:val="bottom"/>
            <w:tcBorders>
              <w:right w:val="single" w:sz="8" w:color="7F7F7F"/>
            </w:tcBorders>
            <w:vMerge w:val="continue"/>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285"/>
        </w:trPr>
        <w:tc>
          <w:tcPr>
            <w:tcW w:w="1960" w:type="dxa"/>
            <w:vAlign w:val="bottom"/>
            <w:tcBorders>
              <w:left w:val="single" w:sz="8" w:color="7F7F7F"/>
              <w:right w:val="single" w:sz="8" w:color="7F7F7F"/>
            </w:tcBorders>
            <w:shd w:val="clear" w:color="auto" w:fill="D8D8D8"/>
          </w:tcPr>
          <w:p>
            <w:pPr>
              <w:spacing w:after="0"/>
              <w:rPr>
                <w:sz w:val="24"/>
                <w:szCs w:val="24"/>
                <w:color w:val="auto"/>
              </w:rPr>
            </w:pPr>
          </w:p>
        </w:tc>
        <w:tc>
          <w:tcPr>
            <w:tcW w:w="9000" w:type="dxa"/>
            <w:vAlign w:val="bottom"/>
            <w:tcBorders>
              <w:right w:val="single" w:sz="8" w:color="7F7F7F"/>
            </w:tcBorders>
            <w:shd w:val="clear" w:color="auto" w:fill="D8D8D8"/>
          </w:tcPr>
          <w:p>
            <w:pPr>
              <w:ind w:left="80"/>
              <w:spacing w:after="0"/>
              <w:rPr>
                <w:sz w:val="20"/>
                <w:szCs w:val="20"/>
                <w:color w:val="auto"/>
              </w:rPr>
            </w:pPr>
            <w:r>
              <w:rPr>
                <w:rFonts w:ascii="Arial" w:cs="Arial" w:eastAsia="Arial" w:hAnsi="Arial"/>
                <w:sz w:val="16"/>
                <w:szCs w:val="16"/>
                <w:color w:val="auto"/>
              </w:rPr>
              <w:t>Effective with the 2021 grant, the addition of Relative ROCE Improvement as a performance measure further</w:t>
            </w:r>
          </w:p>
        </w:tc>
        <w:tc>
          <w:tcPr>
            <w:tcW w:w="0" w:type="dxa"/>
            <w:vAlign w:val="bottom"/>
          </w:tcPr>
          <w:p>
            <w:pPr>
              <w:spacing w:after="0"/>
              <w:rPr>
                <w:sz w:val="1"/>
                <w:szCs w:val="1"/>
                <w:color w:val="auto"/>
              </w:rPr>
            </w:pPr>
          </w:p>
        </w:tc>
      </w:tr>
      <w:tr>
        <w:trPr>
          <w:trHeight w:val="215"/>
        </w:trPr>
        <w:tc>
          <w:tcPr>
            <w:tcW w:w="1960" w:type="dxa"/>
            <w:vAlign w:val="bottom"/>
            <w:tcBorders>
              <w:left w:val="single" w:sz="8" w:color="7F7F7F"/>
              <w:right w:val="single" w:sz="8" w:color="7F7F7F"/>
            </w:tcBorders>
            <w:shd w:val="clear" w:color="auto" w:fill="D8D8D8"/>
          </w:tcPr>
          <w:p>
            <w:pPr>
              <w:spacing w:after="0"/>
              <w:rPr>
                <w:sz w:val="18"/>
                <w:szCs w:val="18"/>
                <w:color w:val="auto"/>
              </w:rPr>
            </w:pPr>
          </w:p>
        </w:tc>
        <w:tc>
          <w:tcPr>
            <w:tcW w:w="9000" w:type="dxa"/>
            <w:vAlign w:val="bottom"/>
            <w:tcBorders>
              <w:right w:val="single" w:sz="8" w:color="7F7F7F"/>
            </w:tcBorders>
            <w:shd w:val="clear" w:color="auto" w:fill="D8D8D8"/>
          </w:tcPr>
          <w:p>
            <w:pPr>
              <w:ind w:left="80"/>
              <w:spacing w:after="0"/>
              <w:rPr>
                <w:sz w:val="20"/>
                <w:szCs w:val="20"/>
                <w:color w:val="auto"/>
              </w:rPr>
            </w:pPr>
            <w:r>
              <w:rPr>
                <w:rFonts w:ascii="Arial" w:cs="Arial" w:eastAsia="Arial" w:hAnsi="Arial"/>
                <w:sz w:val="16"/>
                <w:szCs w:val="16"/>
                <w:color w:val="auto"/>
              </w:rPr>
              <w:t>strengthens the Company’s alignment with stockholder interests and reinforces our focus on delivering higher returns.</w:t>
            </w:r>
          </w:p>
        </w:tc>
        <w:tc>
          <w:tcPr>
            <w:tcW w:w="0" w:type="dxa"/>
            <w:vAlign w:val="bottom"/>
          </w:tcPr>
          <w:p>
            <w:pPr>
              <w:spacing w:after="0"/>
              <w:rPr>
                <w:sz w:val="1"/>
                <w:szCs w:val="1"/>
                <w:color w:val="auto"/>
              </w:rPr>
            </w:pPr>
          </w:p>
        </w:tc>
      </w:tr>
      <w:tr>
        <w:trPr>
          <w:trHeight w:val="83"/>
        </w:trPr>
        <w:tc>
          <w:tcPr>
            <w:tcW w:w="1960" w:type="dxa"/>
            <w:vAlign w:val="bottom"/>
            <w:tcBorders>
              <w:left w:val="single" w:sz="8" w:color="7F7F7F"/>
              <w:bottom w:val="single" w:sz="8" w:color="7F7F7F"/>
              <w:right w:val="single" w:sz="8" w:color="7F7F7F"/>
            </w:tcBorders>
            <w:shd w:val="clear" w:color="auto" w:fill="D8D8D8"/>
          </w:tcPr>
          <w:p>
            <w:pPr>
              <w:spacing w:after="0"/>
              <w:rPr>
                <w:sz w:val="7"/>
                <w:szCs w:val="7"/>
                <w:color w:val="auto"/>
              </w:rPr>
            </w:pPr>
          </w:p>
        </w:tc>
        <w:tc>
          <w:tcPr>
            <w:tcW w:w="9000" w:type="dxa"/>
            <w:vAlign w:val="bottom"/>
            <w:tcBorders>
              <w:bottom w:val="single" w:sz="8" w:color="7F7F7F"/>
              <w:right w:val="single" w:sz="8" w:color="7F7F7F"/>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1960" w:type="dxa"/>
            <w:vAlign w:val="bottom"/>
          </w:tcPr>
          <w:p>
            <w:pPr>
              <w:spacing w:after="0"/>
              <w:rPr>
                <w:sz w:val="24"/>
                <w:szCs w:val="24"/>
                <w:color w:val="auto"/>
              </w:rPr>
            </w:pPr>
          </w:p>
        </w:tc>
        <w:tc>
          <w:tcPr>
            <w:tcW w:w="9000" w:type="dxa"/>
            <w:vAlign w:val="bottom"/>
          </w:tcPr>
          <w:p>
            <w:pPr>
              <w:ind w:left="2260"/>
              <w:spacing w:after="0"/>
              <w:rPr>
                <w:sz w:val="20"/>
                <w:szCs w:val="20"/>
                <w:color w:val="auto"/>
              </w:rPr>
            </w:pPr>
            <w:r>
              <w:rPr>
                <w:rFonts w:ascii="Arial" w:cs="Arial" w:eastAsia="Arial" w:hAnsi="Arial"/>
                <w:sz w:val="13"/>
                <w:szCs w:val="13"/>
                <w:color w:val="auto"/>
              </w:rPr>
              <w:t>Chevron Corporation – 2022 Proxy Statement</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000" w:type="dxa"/>
            <w:vAlign w:val="bottom"/>
          </w:tcPr>
          <w:p>
            <w:pPr>
              <w:ind w:left="348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405890" cy="146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405890" cy="146050"/>
                    </a:xfrm>
                    <a:prstGeom prst="rect">
                      <a:avLst/>
                    </a:prstGeom>
                    <a:noFill/>
                  </pic:spPr>
                </pic:pic>
              </a:graphicData>
            </a:graphic>
          </wp:anchor>
        </w:drawing>
      </w:r>
    </w:p>
    <w:p>
      <w:pPr>
        <w:spacing w:after="0" w:line="33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Executive compensation</w:t>
      </w:r>
    </w:p>
    <w:p>
      <w:pPr>
        <w:spacing w:after="0" w:line="226"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The energy companies most similar to Chevron in size, complexity, geographic reach, business lines, and location of operations are BP, ExxonMobil, Shell, and TotalEnergies. These companies are key competitors for stockholder investments within the larger global energy sector. We also compete for stockholder investment and employee talent with smaller U.S. companies, including the larger 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exploration and production companies and the larger independent refining and marketing companies. The Non-Oil Industry Peer Group includes capital-intensive, global, large-scale and high-complexity companies. The median market cap (as of 12/31/2021) of the Non-Oil Industry Peer Group was $176 billion (vs. $226 billion for Chevron), and the median sales for 2021 were $67 billion (vs. $156 billion for Chevron).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-1546860</wp:posOffset>
            </wp:positionV>
            <wp:extent cx="71748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235585</wp:posOffset>
            </wp:positionV>
            <wp:extent cx="5391785" cy="32486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391785" cy="32486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420"/>
            <w:col w:w="5360"/>
          </w:cols>
          <w:pgMar w:left="320" w:top="4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Note:</w:t>
      </w:r>
    </w:p>
    <w:p>
      <w:pPr>
        <w:spacing w:after="0" w:line="18" w:lineRule="exact"/>
        <w:rPr>
          <w:sz w:val="20"/>
          <w:szCs w:val="20"/>
          <w:color w:val="auto"/>
        </w:rPr>
      </w:pPr>
    </w:p>
    <w:p>
      <w:pPr>
        <w:ind w:left="540" w:hanging="424"/>
        <w:spacing w:after="0"/>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TotalEnergies is part of the LTIP Performance Share Group but not part of the Oil Industry Peer Group due to its limited U.S. operations.</w:t>
      </w:r>
    </w:p>
    <w:p>
      <w:pPr>
        <w:sectPr>
          <w:pgSz w:w="11900" w:h="16838" w:orient="portrait"/>
          <w:cols w:equalWidth="0" w:num="1">
            <w:col w:w="11100"/>
          </w:cols>
          <w:pgMar w:left="320" w:top="455" w:right="479" w:bottom="1440" w:gutter="0" w:footer="0" w:header="0"/>
          <w:type w:val="continuous"/>
        </w:sectPr>
      </w:pPr>
    </w:p>
    <w:p>
      <w:pPr>
        <w:spacing w:after="0" w:line="29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B2D71"/>
        </w:rPr>
        <w:t>Base salary</w:t>
      </w:r>
    </w:p>
    <w:p>
      <w:pPr>
        <w:spacing w:after="0" w:line="222"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Base salaries are determined through market surveys of positions of comparable level, scope, complexity, and responsibility. There is no predetermined target or range within the Oil Industry Peer Group or the Non–Oil Industry Peer Group as an objective for Mr. Wirth’s base salary. Instead, the MCC takes into account the data provided by the MCC’s independent consultant, the relative size, scope, and complexity of our business, Mr. Wirth’s performance and tenure, and the aggregate amount of Mr. Wirth’s compensation package. For the other NEOs, each executive officer is assigned a base salary grade based on competitive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data and relative internal parity of the role. The MCC annually reviews the base salary grade ranges and may approve changes in the ranges based on business conditions and comparative peer group data provided by the MCC’s independent consultant. Within each salary grade range, the MCC makes base salary determinations for each NEO taking into account qualitative considerations, such as individual performance, experience, skills, retention objectives, and leadership impact. The independent Directors of the Board approve the compensation of the CEO and ratify the compensation of the other NEOs.</w:t>
      </w:r>
    </w:p>
    <w:p>
      <w:pPr>
        <w:spacing w:after="0" w:line="200" w:lineRule="exact"/>
        <w:rPr>
          <w:sz w:val="20"/>
          <w:szCs w:val="20"/>
          <w:color w:val="auto"/>
        </w:rPr>
      </w:pPr>
    </w:p>
    <w:p>
      <w:pPr>
        <w:sectPr>
          <w:pgSz w:w="11900" w:h="16838" w:orient="portrait"/>
          <w:cols w:equalWidth="0" w:num="2">
            <w:col w:w="5380" w:space="360"/>
            <w:col w:w="5360"/>
          </w:cols>
          <w:pgMar w:left="320" w:top="455" w:right="479" w:bottom="1440" w:gutter="0" w:footer="0" w:header="0"/>
          <w:type w:val="continuous"/>
        </w:sectPr>
      </w:pPr>
    </w:p>
    <w:p>
      <w:pPr>
        <w:spacing w:after="0" w:line="62"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Chevron Corporation – 2022 Proxy Statement</w:t>
      </w:r>
    </w:p>
    <w:p>
      <w:pPr>
        <w:spacing w:after="0" w:line="65"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1100"/>
          </w:cols>
          <w:pgMar w:left="320" w:top="455" w:right="479" w:bottom="1440" w:gutter="0" w:footer="0" w:header="0"/>
          <w:type w:val="continuous"/>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208280</wp:posOffset>
            </wp:positionV>
            <wp:extent cx="1474470" cy="146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74470" cy="146050"/>
                    </a:xfrm>
                    <a:prstGeom prst="rect">
                      <a:avLst/>
                    </a:prstGeom>
                    <a:noFill/>
                  </pic:spPr>
                </pic:pic>
              </a:graphicData>
            </a:graphic>
          </wp:anchor>
        </w:drawing>
      </w:r>
    </w:p>
    <w:p>
      <w:pPr>
        <w:spacing w:after="0" w:line="339" w:lineRule="exact"/>
        <w:rPr>
          <w:sz w:val="20"/>
          <w:szCs w:val="20"/>
          <w:color w:val="auto"/>
        </w:rPr>
      </w:pPr>
    </w:p>
    <w:p>
      <w:pPr>
        <w:jc w:val="right"/>
        <w:ind w:right="300"/>
        <w:spacing w:after="0"/>
        <w:rPr>
          <w:sz w:val="20"/>
          <w:szCs w:val="20"/>
          <w:color w:val="auto"/>
        </w:rPr>
      </w:pPr>
      <w:r>
        <w:rPr>
          <w:rFonts w:ascii="Arial" w:cs="Arial" w:eastAsia="Arial" w:hAnsi="Arial"/>
          <w:sz w:val="14"/>
          <w:szCs w:val="14"/>
          <w:b w:val="1"/>
          <w:bCs w:val="1"/>
          <w:color w:val="FFFFFF"/>
        </w:rPr>
        <w:t>Executive compensation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Adjustments in 2021 base salaries</w:t>
      </w:r>
    </w:p>
    <w:p>
      <w:pPr>
        <w:sectPr>
          <w:pgSz w:w="11900" w:h="16838" w:orient="portrait"/>
          <w:cols w:equalWidth="0" w:num="1">
            <w:col w:w="11120"/>
          </w:cols>
          <w:pgMar w:left="320" w:top="455" w:right="459" w:bottom="1440" w:gutter="0" w:footer="0" w:header="0"/>
        </w:sectPr>
      </w:pPr>
    </w:p>
    <w:p>
      <w:pPr>
        <w:spacing w:after="0" w:line="180"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In January 2021, the independent Directors of the Board, upon the recommendation of the MCC, made no change to Mr. Wirth’s salary based on survey data and market condition. In addition, the MCC made no changes to any of the other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NEOs’ base salaries for the 2021 compensation cycle. See the Summary Compensation Table on page 62 for more information on base salary changes over time.</w:t>
      </w:r>
    </w:p>
    <w:p>
      <w:pPr>
        <w:spacing w:after="0" w:line="382" w:lineRule="exact"/>
        <w:rPr>
          <w:sz w:val="20"/>
          <w:szCs w:val="20"/>
          <w:color w:val="auto"/>
        </w:rPr>
      </w:pPr>
    </w:p>
    <w:p>
      <w:pPr>
        <w:sectPr>
          <w:pgSz w:w="11900" w:h="16838" w:orient="portrait"/>
          <w:cols w:equalWidth="0" w:num="2">
            <w:col w:w="5240" w:space="500"/>
            <w:col w:w="5380"/>
          </w:cols>
          <w:pgMar w:left="320" w:top="455" w:right="459" w:bottom="1440" w:gutter="0" w:footer="0" w:header="0"/>
          <w:type w:val="continuous"/>
        </w:sectPr>
      </w:pPr>
    </w:p>
    <w:p>
      <w:pPr>
        <w:spacing w:after="0" w:line="167" w:lineRule="exact"/>
        <w:rPr>
          <w:sz w:val="20"/>
          <w:szCs w:val="20"/>
          <w:color w:val="auto"/>
        </w:rPr>
      </w:pPr>
    </w:p>
    <w:tbl>
      <w:tblPr>
        <w:tblLayout w:type="fixed"/>
        <w:tblInd w:w="130" w:type="dxa"/>
        <w:tblCellMar>
          <w:top w:w="0" w:type="dxa"/>
          <w:left w:w="0" w:type="dxa"/>
          <w:bottom w:w="0" w:type="dxa"/>
          <w:right w:w="0" w:type="dxa"/>
        </w:tblCellMar>
      </w:tblPr>
      <w:tr>
        <w:trPr>
          <w:trHeight w:val="256"/>
        </w:trPr>
        <w:tc>
          <w:tcPr>
            <w:tcW w:w="1680" w:type="dxa"/>
            <w:vAlign w:val="bottom"/>
            <w:tcBorders>
              <w:left w:val="single" w:sz="8" w:color="7F7F7F"/>
            </w:tcBorders>
            <w:shd w:val="clear" w:color="auto" w:fill="0066B2"/>
          </w:tcPr>
          <w:p>
            <w:pPr>
              <w:spacing w:after="0"/>
              <w:rPr>
                <w:sz w:val="22"/>
                <w:szCs w:val="22"/>
                <w:color w:val="auto"/>
              </w:rPr>
            </w:pPr>
          </w:p>
        </w:tc>
        <w:tc>
          <w:tcPr>
            <w:tcW w:w="5380" w:type="dxa"/>
            <w:vAlign w:val="bottom"/>
            <w:shd w:val="clear" w:color="auto" w:fill="0066B2"/>
          </w:tcPr>
          <w:p>
            <w:pPr>
              <w:spacing w:after="0"/>
              <w:rPr>
                <w:sz w:val="22"/>
                <w:szCs w:val="22"/>
                <w:color w:val="auto"/>
              </w:rPr>
            </w:pPr>
          </w:p>
        </w:tc>
        <w:tc>
          <w:tcPr>
            <w:tcW w:w="640" w:type="dxa"/>
            <w:vAlign w:val="bottom"/>
            <w:shd w:val="clear" w:color="auto" w:fill="0066B2"/>
          </w:tcPr>
          <w:p>
            <w:pPr>
              <w:spacing w:after="0"/>
              <w:rPr>
                <w:sz w:val="22"/>
                <w:szCs w:val="22"/>
                <w:color w:val="auto"/>
              </w:rPr>
            </w:pPr>
          </w:p>
        </w:tc>
        <w:tc>
          <w:tcPr>
            <w:tcW w:w="920" w:type="dxa"/>
            <w:vAlign w:val="bottom"/>
            <w:shd w:val="clear" w:color="auto" w:fill="0066B2"/>
          </w:tcPr>
          <w:p>
            <w:pPr>
              <w:jc w:val="right"/>
              <w:ind w:right="459"/>
              <w:spacing w:after="0"/>
              <w:rPr>
                <w:sz w:val="20"/>
                <w:szCs w:val="20"/>
                <w:color w:val="auto"/>
              </w:rPr>
            </w:pPr>
            <w:r>
              <w:rPr>
                <w:rFonts w:ascii="Arial" w:cs="Arial" w:eastAsia="Arial" w:hAnsi="Arial"/>
                <w:sz w:val="16"/>
                <w:szCs w:val="16"/>
                <w:b w:val="1"/>
                <w:bCs w:val="1"/>
                <w:color w:val="FFFFFF"/>
              </w:rPr>
              <w:t>2020</w:t>
            </w:r>
          </w:p>
        </w:tc>
        <w:tc>
          <w:tcPr>
            <w:tcW w:w="480" w:type="dxa"/>
            <w:vAlign w:val="bottom"/>
            <w:shd w:val="clear" w:color="auto" w:fill="0066B2"/>
          </w:tcPr>
          <w:p>
            <w:pPr>
              <w:spacing w:after="0"/>
              <w:rPr>
                <w:sz w:val="22"/>
                <w:szCs w:val="22"/>
                <w:color w:val="auto"/>
              </w:rPr>
            </w:pPr>
          </w:p>
        </w:tc>
        <w:tc>
          <w:tcPr>
            <w:tcW w:w="820" w:type="dxa"/>
            <w:vAlign w:val="bottom"/>
            <w:shd w:val="clear" w:color="auto" w:fill="0066B2"/>
          </w:tcPr>
          <w:p>
            <w:pPr>
              <w:jc w:val="right"/>
              <w:ind w:right="359"/>
              <w:spacing w:after="0"/>
              <w:rPr>
                <w:sz w:val="20"/>
                <w:szCs w:val="20"/>
                <w:color w:val="auto"/>
              </w:rPr>
            </w:pPr>
            <w:r>
              <w:rPr>
                <w:rFonts w:ascii="Arial" w:cs="Arial" w:eastAsia="Arial" w:hAnsi="Arial"/>
                <w:sz w:val="16"/>
                <w:szCs w:val="16"/>
                <w:b w:val="1"/>
                <w:bCs w:val="1"/>
                <w:color w:val="FFFFFF"/>
              </w:rPr>
              <w:t>2021</w:t>
            </w:r>
          </w:p>
        </w:tc>
        <w:tc>
          <w:tcPr>
            <w:tcW w:w="1040" w:type="dxa"/>
            <w:vAlign w:val="bottom"/>
            <w:tcBorders>
              <w:right w:val="single" w:sz="8" w:color="7F7F7F"/>
            </w:tcBorders>
            <w:shd w:val="clear" w:color="auto" w:fill="0066B2"/>
          </w:tcPr>
          <w:p>
            <w:pPr>
              <w:jc w:val="right"/>
              <w:spacing w:after="0"/>
              <w:rPr>
                <w:sz w:val="20"/>
                <w:szCs w:val="20"/>
                <w:color w:val="auto"/>
              </w:rPr>
            </w:pPr>
            <w:r>
              <w:rPr>
                <w:rFonts w:ascii="Arial" w:cs="Arial" w:eastAsia="Arial" w:hAnsi="Arial"/>
                <w:sz w:val="16"/>
                <w:szCs w:val="16"/>
                <w:b w:val="1"/>
                <w:bCs w:val="1"/>
                <w:color w:val="FFFFFF"/>
              </w:rPr>
              <w:t>Adjustment</w:t>
            </w:r>
          </w:p>
        </w:tc>
      </w:tr>
      <w:tr>
        <w:trPr>
          <w:trHeight w:val="217"/>
        </w:trPr>
        <w:tc>
          <w:tcPr>
            <w:tcW w:w="1680" w:type="dxa"/>
            <w:vAlign w:val="bottom"/>
            <w:tcBorders>
              <w:left w:val="single" w:sz="8" w:color="7F7F7F"/>
            </w:tcBorders>
            <w:shd w:val="clear" w:color="auto" w:fill="0066B2"/>
          </w:tcPr>
          <w:p>
            <w:pPr>
              <w:ind w:left="160"/>
              <w:spacing w:after="0"/>
              <w:rPr>
                <w:sz w:val="20"/>
                <w:szCs w:val="20"/>
                <w:color w:val="auto"/>
              </w:rPr>
            </w:pPr>
            <w:r>
              <w:rPr>
                <w:rFonts w:ascii="Arial" w:cs="Arial" w:eastAsia="Arial" w:hAnsi="Arial"/>
                <w:sz w:val="16"/>
                <w:szCs w:val="16"/>
                <w:b w:val="1"/>
                <w:bCs w:val="1"/>
                <w:color w:val="FFFFFF"/>
              </w:rPr>
              <w:t>Name</w:t>
            </w:r>
          </w:p>
        </w:tc>
        <w:tc>
          <w:tcPr>
            <w:tcW w:w="5380" w:type="dxa"/>
            <w:vAlign w:val="bottom"/>
            <w:shd w:val="clear" w:color="auto" w:fill="0066B2"/>
          </w:tcPr>
          <w:p>
            <w:pPr>
              <w:ind w:left="160"/>
              <w:spacing w:after="0"/>
              <w:rPr>
                <w:sz w:val="20"/>
                <w:szCs w:val="20"/>
                <w:color w:val="auto"/>
              </w:rPr>
            </w:pPr>
            <w:r>
              <w:rPr>
                <w:rFonts w:ascii="Arial" w:cs="Arial" w:eastAsia="Arial" w:hAnsi="Arial"/>
                <w:sz w:val="16"/>
                <w:szCs w:val="16"/>
                <w:b w:val="1"/>
                <w:bCs w:val="1"/>
                <w:color w:val="FFFFFF"/>
              </w:rPr>
              <w:t>Position</w:t>
            </w:r>
          </w:p>
        </w:tc>
        <w:tc>
          <w:tcPr>
            <w:tcW w:w="1560" w:type="dxa"/>
            <w:vAlign w:val="bottom"/>
            <w:gridSpan w:val="2"/>
            <w:shd w:val="clear" w:color="auto" w:fill="0066B2"/>
          </w:tcPr>
          <w:p>
            <w:pPr>
              <w:jc w:val="right"/>
              <w:ind w:right="159"/>
              <w:spacing w:after="0"/>
              <w:rPr>
                <w:sz w:val="20"/>
                <w:szCs w:val="20"/>
                <w:color w:val="auto"/>
              </w:rPr>
            </w:pPr>
            <w:r>
              <w:rPr>
                <w:rFonts w:ascii="Arial" w:cs="Arial" w:eastAsia="Arial" w:hAnsi="Arial"/>
                <w:sz w:val="16"/>
                <w:szCs w:val="16"/>
                <w:b w:val="1"/>
                <w:bCs w:val="1"/>
                <w:color w:val="FFFFFF"/>
              </w:rPr>
              <w:t>Base salary*</w:t>
            </w:r>
          </w:p>
        </w:tc>
        <w:tc>
          <w:tcPr>
            <w:tcW w:w="1300" w:type="dxa"/>
            <w:vAlign w:val="bottom"/>
            <w:gridSpan w:val="2"/>
            <w:shd w:val="clear" w:color="auto" w:fill="0066B2"/>
          </w:tcPr>
          <w:p>
            <w:pPr>
              <w:jc w:val="right"/>
              <w:ind w:right="59"/>
              <w:spacing w:after="0"/>
              <w:rPr>
                <w:sz w:val="20"/>
                <w:szCs w:val="20"/>
                <w:color w:val="auto"/>
              </w:rPr>
            </w:pPr>
            <w:r>
              <w:rPr>
                <w:rFonts w:ascii="Arial" w:cs="Arial" w:eastAsia="Arial" w:hAnsi="Arial"/>
                <w:sz w:val="16"/>
                <w:szCs w:val="16"/>
                <w:b w:val="1"/>
                <w:bCs w:val="1"/>
                <w:color w:val="FFFFFF"/>
              </w:rPr>
              <w:t>Base salary*</w:t>
            </w:r>
          </w:p>
        </w:tc>
        <w:tc>
          <w:tcPr>
            <w:tcW w:w="1040" w:type="dxa"/>
            <w:vAlign w:val="bottom"/>
            <w:tcBorders>
              <w:right w:val="single" w:sz="8" w:color="7F7F7F"/>
            </w:tcBorders>
            <w:shd w:val="clear" w:color="auto" w:fill="0066B2"/>
          </w:tcPr>
          <w:p>
            <w:pPr>
              <w:jc w:val="right"/>
              <w:ind w:right="99"/>
              <w:spacing w:after="0"/>
              <w:rPr>
                <w:sz w:val="20"/>
                <w:szCs w:val="20"/>
                <w:color w:val="auto"/>
              </w:rPr>
            </w:pPr>
            <w:r>
              <w:rPr>
                <w:rFonts w:ascii="Arial" w:cs="Arial" w:eastAsia="Arial" w:hAnsi="Arial"/>
                <w:sz w:val="16"/>
                <w:szCs w:val="16"/>
                <w:b w:val="1"/>
                <w:bCs w:val="1"/>
                <w:color w:val="FFFFFF"/>
              </w:rPr>
              <w:t>for 2021</w:t>
            </w:r>
          </w:p>
        </w:tc>
      </w:tr>
      <w:tr>
        <w:trPr>
          <w:trHeight w:val="270"/>
        </w:trPr>
        <w:tc>
          <w:tcPr>
            <w:tcW w:w="168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Michael K. Wirth</w:t>
            </w:r>
          </w:p>
        </w:tc>
        <w:tc>
          <w:tcPr>
            <w:tcW w:w="5380" w:type="dxa"/>
            <w:vAlign w:val="bottom"/>
            <w:shd w:val="clear" w:color="auto" w:fill="D8D8D8"/>
          </w:tcPr>
          <w:p>
            <w:pPr>
              <w:ind w:left="160"/>
              <w:spacing w:after="0"/>
              <w:rPr>
                <w:sz w:val="20"/>
                <w:szCs w:val="20"/>
                <w:color w:val="auto"/>
              </w:rPr>
            </w:pPr>
            <w:r>
              <w:rPr>
                <w:rFonts w:ascii="Arial" w:cs="Arial" w:eastAsia="Arial" w:hAnsi="Arial"/>
                <w:sz w:val="16"/>
                <w:szCs w:val="16"/>
                <w:color w:val="auto"/>
              </w:rPr>
              <w:t>Chairman and Chief Executive Officer</w:t>
            </w:r>
          </w:p>
        </w:tc>
        <w:tc>
          <w:tcPr>
            <w:tcW w:w="6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D8D8D8"/>
          </w:tcPr>
          <w:p>
            <w:pPr>
              <w:jc w:val="right"/>
              <w:ind w:right="119"/>
              <w:spacing w:after="0"/>
              <w:rPr>
                <w:sz w:val="20"/>
                <w:szCs w:val="20"/>
                <w:color w:val="auto"/>
              </w:rPr>
            </w:pPr>
            <w:r>
              <w:rPr>
                <w:rFonts w:ascii="Arial" w:cs="Arial" w:eastAsia="Arial" w:hAnsi="Arial"/>
                <w:sz w:val="16"/>
                <w:szCs w:val="16"/>
                <w:color w:val="auto"/>
                <w:w w:val="98"/>
              </w:rPr>
              <w:t>1,650,000</w:t>
            </w:r>
          </w:p>
        </w:tc>
        <w:tc>
          <w:tcPr>
            <w:tcW w:w="4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w w:val="98"/>
              </w:rPr>
              <w:t>1,650,000</w:t>
            </w:r>
          </w:p>
        </w:tc>
        <w:tc>
          <w:tcPr>
            <w:tcW w:w="1040" w:type="dxa"/>
            <w:vAlign w:val="bottom"/>
            <w:tcBorders>
              <w:right w:val="single" w:sz="8" w:color="7F7F7F"/>
            </w:tcBorders>
            <w:shd w:val="clear" w:color="auto" w:fill="D8D8D8"/>
          </w:tcPr>
          <w:p>
            <w:pPr>
              <w:jc w:val="right"/>
              <w:ind w:right="119"/>
              <w:spacing w:after="0"/>
              <w:rPr>
                <w:sz w:val="20"/>
                <w:szCs w:val="20"/>
                <w:color w:val="auto"/>
              </w:rPr>
            </w:pPr>
            <w:r>
              <w:rPr>
                <w:rFonts w:ascii="Arial" w:cs="Arial" w:eastAsia="Arial" w:hAnsi="Arial"/>
                <w:sz w:val="16"/>
                <w:szCs w:val="16"/>
                <w:color w:val="auto"/>
              </w:rPr>
              <w:t>0.0%</w:t>
            </w:r>
          </w:p>
        </w:tc>
      </w:tr>
      <w:tr>
        <w:trPr>
          <w:trHeight w:val="269"/>
        </w:trPr>
        <w:tc>
          <w:tcPr>
            <w:tcW w:w="168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Pierre R. Breber</w:t>
            </w:r>
          </w:p>
        </w:tc>
        <w:tc>
          <w:tcPr>
            <w:tcW w:w="5380" w:type="dxa"/>
            <w:vAlign w:val="bottom"/>
          </w:tcPr>
          <w:p>
            <w:pPr>
              <w:ind w:left="160"/>
              <w:spacing w:after="0"/>
              <w:rPr>
                <w:sz w:val="20"/>
                <w:szCs w:val="20"/>
                <w:color w:val="auto"/>
              </w:rPr>
            </w:pPr>
            <w:r>
              <w:rPr>
                <w:rFonts w:ascii="Arial" w:cs="Arial" w:eastAsia="Arial" w:hAnsi="Arial"/>
                <w:sz w:val="16"/>
                <w:szCs w:val="16"/>
                <w:color w:val="auto"/>
              </w:rPr>
              <w:t>Vice President and Chief Financial Officer</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w w:val="98"/>
              </w:rPr>
              <w:t>1,020,000</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1,020,000</w:t>
            </w:r>
          </w:p>
        </w:tc>
        <w:tc>
          <w:tcPr>
            <w:tcW w:w="1040" w:type="dxa"/>
            <w:vAlign w:val="bottom"/>
            <w:tcBorders>
              <w:right w:val="single" w:sz="8" w:color="7F7F7F"/>
            </w:tcBorders>
          </w:tcPr>
          <w:p>
            <w:pPr>
              <w:jc w:val="right"/>
              <w:ind w:right="119"/>
              <w:spacing w:after="0"/>
              <w:rPr>
                <w:sz w:val="20"/>
                <w:szCs w:val="20"/>
                <w:color w:val="auto"/>
              </w:rPr>
            </w:pPr>
            <w:r>
              <w:rPr>
                <w:rFonts w:ascii="Arial" w:cs="Arial" w:eastAsia="Arial" w:hAnsi="Arial"/>
                <w:sz w:val="16"/>
                <w:szCs w:val="16"/>
                <w:color w:val="auto"/>
              </w:rPr>
              <w:t>0.0%</w:t>
            </w:r>
          </w:p>
        </w:tc>
      </w:tr>
      <w:tr>
        <w:trPr>
          <w:trHeight w:val="271"/>
        </w:trPr>
        <w:tc>
          <w:tcPr>
            <w:tcW w:w="168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James W. Johnson</w:t>
            </w:r>
          </w:p>
        </w:tc>
        <w:tc>
          <w:tcPr>
            <w:tcW w:w="5380" w:type="dxa"/>
            <w:vAlign w:val="bottom"/>
            <w:shd w:val="clear" w:color="auto" w:fill="D8D8D8"/>
          </w:tcPr>
          <w:p>
            <w:pPr>
              <w:ind w:left="160"/>
              <w:spacing w:after="0"/>
              <w:rPr>
                <w:sz w:val="20"/>
                <w:szCs w:val="20"/>
                <w:color w:val="auto"/>
              </w:rPr>
            </w:pPr>
            <w:r>
              <w:rPr>
                <w:rFonts w:ascii="Arial" w:cs="Arial" w:eastAsia="Arial" w:hAnsi="Arial"/>
                <w:sz w:val="16"/>
                <w:szCs w:val="16"/>
                <w:color w:val="auto"/>
              </w:rPr>
              <w:t>Executive Vice President, Upstream</w:t>
            </w:r>
          </w:p>
        </w:tc>
        <w:tc>
          <w:tcPr>
            <w:tcW w:w="6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D8D8D8"/>
          </w:tcPr>
          <w:p>
            <w:pPr>
              <w:jc w:val="right"/>
              <w:ind w:right="119"/>
              <w:spacing w:after="0"/>
              <w:rPr>
                <w:sz w:val="20"/>
                <w:szCs w:val="20"/>
                <w:color w:val="auto"/>
              </w:rPr>
            </w:pPr>
            <w:r>
              <w:rPr>
                <w:rFonts w:ascii="Arial" w:cs="Arial" w:eastAsia="Arial" w:hAnsi="Arial"/>
                <w:sz w:val="16"/>
                <w:szCs w:val="16"/>
                <w:color w:val="auto"/>
                <w:w w:val="98"/>
              </w:rPr>
              <w:t>1,210,000</w:t>
            </w:r>
          </w:p>
        </w:tc>
        <w:tc>
          <w:tcPr>
            <w:tcW w:w="4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w w:val="98"/>
              </w:rPr>
              <w:t>1,210,000</w:t>
            </w:r>
          </w:p>
        </w:tc>
        <w:tc>
          <w:tcPr>
            <w:tcW w:w="1040" w:type="dxa"/>
            <w:vAlign w:val="bottom"/>
            <w:tcBorders>
              <w:right w:val="single" w:sz="8" w:color="7F7F7F"/>
            </w:tcBorders>
            <w:shd w:val="clear" w:color="auto" w:fill="D8D8D8"/>
          </w:tcPr>
          <w:p>
            <w:pPr>
              <w:jc w:val="right"/>
              <w:ind w:right="119"/>
              <w:spacing w:after="0"/>
              <w:rPr>
                <w:sz w:val="20"/>
                <w:szCs w:val="20"/>
                <w:color w:val="auto"/>
              </w:rPr>
            </w:pPr>
            <w:r>
              <w:rPr>
                <w:rFonts w:ascii="Arial" w:cs="Arial" w:eastAsia="Arial" w:hAnsi="Arial"/>
                <w:sz w:val="16"/>
                <w:szCs w:val="16"/>
                <w:color w:val="auto"/>
              </w:rPr>
              <w:t>0.0%</w:t>
            </w:r>
          </w:p>
        </w:tc>
      </w:tr>
      <w:tr>
        <w:trPr>
          <w:trHeight w:val="269"/>
        </w:trPr>
        <w:tc>
          <w:tcPr>
            <w:tcW w:w="168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Joseph C. Geagea</w:t>
            </w:r>
          </w:p>
        </w:tc>
        <w:tc>
          <w:tcPr>
            <w:tcW w:w="5380" w:type="dxa"/>
            <w:vAlign w:val="bottom"/>
          </w:tcPr>
          <w:p>
            <w:pPr>
              <w:ind w:left="160"/>
              <w:spacing w:after="0"/>
              <w:rPr>
                <w:sz w:val="20"/>
                <w:szCs w:val="20"/>
                <w:color w:val="auto"/>
              </w:rPr>
            </w:pPr>
            <w:r>
              <w:rPr>
                <w:rFonts w:ascii="Arial" w:cs="Arial" w:eastAsia="Arial" w:hAnsi="Arial"/>
                <w:sz w:val="16"/>
                <w:szCs w:val="16"/>
                <w:color w:val="auto"/>
              </w:rPr>
              <w:t>Executive Vice President and Senior Advisor to Chairman and CEO</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w w:val="98"/>
              </w:rPr>
              <w:t>1,020,000</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1,020,000</w:t>
            </w:r>
          </w:p>
        </w:tc>
        <w:tc>
          <w:tcPr>
            <w:tcW w:w="1040" w:type="dxa"/>
            <w:vAlign w:val="bottom"/>
            <w:tcBorders>
              <w:right w:val="single" w:sz="8" w:color="7F7F7F"/>
            </w:tcBorders>
          </w:tcPr>
          <w:p>
            <w:pPr>
              <w:jc w:val="right"/>
              <w:ind w:right="119"/>
              <w:spacing w:after="0"/>
              <w:rPr>
                <w:sz w:val="20"/>
                <w:szCs w:val="20"/>
                <w:color w:val="auto"/>
              </w:rPr>
            </w:pPr>
            <w:r>
              <w:rPr>
                <w:rFonts w:ascii="Arial" w:cs="Arial" w:eastAsia="Arial" w:hAnsi="Arial"/>
                <w:sz w:val="16"/>
                <w:szCs w:val="16"/>
                <w:color w:val="auto"/>
              </w:rPr>
              <w:t>0.0%</w:t>
            </w:r>
          </w:p>
        </w:tc>
      </w:tr>
      <w:tr>
        <w:trPr>
          <w:trHeight w:val="278"/>
        </w:trPr>
        <w:tc>
          <w:tcPr>
            <w:tcW w:w="1680" w:type="dxa"/>
            <w:vAlign w:val="bottom"/>
            <w:tcBorders>
              <w:left w:val="single" w:sz="8" w:color="7F7F7F"/>
              <w:bottom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Mark A. Nelson</w:t>
            </w:r>
          </w:p>
        </w:tc>
        <w:tc>
          <w:tcPr>
            <w:tcW w:w="5380" w:type="dxa"/>
            <w:vAlign w:val="bottom"/>
            <w:tcBorders>
              <w:bottom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Executive Vice President, Downstream &amp; Chemicals</w:t>
            </w:r>
          </w:p>
        </w:tc>
        <w:tc>
          <w:tcPr>
            <w:tcW w:w="64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7F7F7F"/>
            </w:tcBorders>
            <w:shd w:val="clear" w:color="auto" w:fill="D8D8D8"/>
          </w:tcPr>
          <w:p>
            <w:pPr>
              <w:jc w:val="right"/>
              <w:ind w:right="119"/>
              <w:spacing w:after="0"/>
              <w:rPr>
                <w:sz w:val="20"/>
                <w:szCs w:val="20"/>
                <w:color w:val="auto"/>
              </w:rPr>
            </w:pPr>
            <w:r>
              <w:rPr>
                <w:rFonts w:ascii="Arial" w:cs="Arial" w:eastAsia="Arial" w:hAnsi="Arial"/>
                <w:sz w:val="16"/>
                <w:szCs w:val="16"/>
                <w:color w:val="auto"/>
              </w:rPr>
              <w:t>950,000</w:t>
            </w:r>
          </w:p>
        </w:tc>
        <w:tc>
          <w:tcPr>
            <w:tcW w:w="48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7F7F7F"/>
            </w:tcBorders>
            <w:shd w:val="clear" w:color="auto" w:fill="D8D8D8"/>
          </w:tcPr>
          <w:p>
            <w:pPr>
              <w:jc w:val="right"/>
              <w:ind w:right="19"/>
              <w:spacing w:after="0"/>
              <w:rPr>
                <w:sz w:val="20"/>
                <w:szCs w:val="20"/>
                <w:color w:val="auto"/>
              </w:rPr>
            </w:pPr>
            <w:r>
              <w:rPr>
                <w:rFonts w:ascii="Arial" w:cs="Arial" w:eastAsia="Arial" w:hAnsi="Arial"/>
                <w:sz w:val="16"/>
                <w:szCs w:val="16"/>
                <w:color w:val="auto"/>
              </w:rPr>
              <w:t>950,000</w:t>
            </w:r>
          </w:p>
        </w:tc>
        <w:tc>
          <w:tcPr>
            <w:tcW w:w="1040" w:type="dxa"/>
            <w:vAlign w:val="bottom"/>
            <w:tcBorders>
              <w:bottom w:val="single" w:sz="8" w:color="7F7F7F"/>
              <w:right w:val="single" w:sz="8" w:color="7F7F7F"/>
            </w:tcBorders>
            <w:shd w:val="clear" w:color="auto" w:fill="D8D8D8"/>
          </w:tcPr>
          <w:p>
            <w:pPr>
              <w:jc w:val="right"/>
              <w:ind w:right="119"/>
              <w:spacing w:after="0"/>
              <w:rPr>
                <w:sz w:val="20"/>
                <w:szCs w:val="20"/>
                <w:color w:val="auto"/>
              </w:rPr>
            </w:pPr>
            <w:r>
              <w:rPr>
                <w:rFonts w:ascii="Arial" w:cs="Arial" w:eastAsia="Arial" w:hAnsi="Arial"/>
                <w:sz w:val="16"/>
                <w:szCs w:val="16"/>
                <w:color w:val="auto"/>
              </w:rPr>
              <w:t>0.0%</w:t>
            </w:r>
          </w:p>
        </w:tc>
      </w:tr>
    </w:tbl>
    <w:p>
      <w:pPr>
        <w:spacing w:after="0" w:line="58" w:lineRule="exact"/>
        <w:rPr>
          <w:sz w:val="20"/>
          <w:szCs w:val="20"/>
          <w:color w:val="auto"/>
        </w:rPr>
      </w:pPr>
    </w:p>
    <w:p>
      <w:pPr>
        <w:ind w:left="540" w:hanging="424"/>
        <w:spacing w:after="0"/>
        <w:tabs>
          <w:tab w:leader="none" w:pos="5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Base salary refers to the approved annual salary rate as of the effective date.</w:t>
      </w: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Adjustments in 2022 base salaries</w:t>
      </w:r>
    </w:p>
    <w:p>
      <w:pPr>
        <w:sectPr>
          <w:pgSz w:w="11900" w:h="16838" w:orient="portrait"/>
          <w:cols w:equalWidth="0" w:num="1">
            <w:col w:w="11120"/>
          </w:cols>
          <w:pgMar w:left="320" w:top="455" w:right="459" w:bottom="1440" w:gutter="0" w:footer="0" w:header="0"/>
          <w:type w:val="continuous"/>
        </w:sectPr>
      </w:pPr>
    </w:p>
    <w:p>
      <w:pPr>
        <w:spacing w:after="0" w:line="18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January 2022, the independent Directors of the Board, upon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recommendation of the MCC, increased Mr. Wirth’s base salary to</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$1,700,000, taking into account his 2021 performance and the desired</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compensation level relative to CEOs of both oil and non-oil industry peer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companies. The MCC increased the NEO salary grade ranges by 2% for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2022 compensation cycle based on improved market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conditions and survey data. As to individual salary changes, the MCC adjusted the other NEOs’ base salaries in 2022 (ranging from 2.9% to 10.5%) reflective of their 2021 performance, experience, and competitive benchmarks. All salary increases are effective March 1, 2022. See the Summary Compensation Table on page 62 for more information on base salary changes over time.</w:t>
      </w:r>
    </w:p>
    <w:p>
      <w:pPr>
        <w:spacing w:after="0" w:line="200" w:lineRule="exact"/>
        <w:rPr>
          <w:sz w:val="20"/>
          <w:szCs w:val="20"/>
          <w:color w:val="auto"/>
        </w:rPr>
      </w:pPr>
    </w:p>
    <w:p>
      <w:pPr>
        <w:sectPr>
          <w:pgSz w:w="11900" w:h="16838" w:orient="portrait"/>
          <w:cols w:equalWidth="0" w:num="2">
            <w:col w:w="5300" w:space="440"/>
            <w:col w:w="5380"/>
          </w:cols>
          <w:pgMar w:left="320" w:top="455" w:right="45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B2D71"/>
        </w:rPr>
        <w:t>Annual incentive plan (chevron incentive plan)</w:t>
      </w:r>
    </w:p>
    <w:p>
      <w:pPr>
        <w:sectPr>
          <w:pgSz w:w="11900" w:h="16838" w:orient="portrait"/>
          <w:cols w:equalWidth="0" w:num="1">
            <w:col w:w="11120"/>
          </w:cols>
          <w:pgMar w:left="320" w:top="455" w:right="459" w:bottom="1440" w:gutter="0" w:footer="0" w:header="0"/>
          <w:type w:val="continuous"/>
        </w:sectPr>
      </w:pPr>
    </w:p>
    <w:p>
      <w:pPr>
        <w:spacing w:after="0" w:line="195"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The Chevron Incentive Plan is designed to recognize annual performance achievements based on the MCC’s assessment of Company performance across four performance categories that are Company priorities and are in large part reflected in the Company’s Business Plan:</w:t>
      </w:r>
    </w:p>
    <w:p>
      <w:pPr>
        <w:spacing w:after="0" w:line="83" w:lineRule="exact"/>
        <w:rPr>
          <w:sz w:val="20"/>
          <w:szCs w:val="20"/>
          <w:color w:val="auto"/>
        </w:rPr>
      </w:pPr>
    </w:p>
    <w:p>
      <w:pPr>
        <w:ind w:left="580" w:hanging="181"/>
        <w:spacing w:after="0"/>
        <w:tabs>
          <w:tab w:leader="none" w:pos="5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financial results (weighted 35%)</w:t>
      </w:r>
    </w:p>
    <w:p>
      <w:pPr>
        <w:spacing w:after="0" w:line="126" w:lineRule="exact"/>
        <w:rPr>
          <w:rFonts w:ascii="Arial" w:cs="Arial" w:eastAsia="Arial" w:hAnsi="Arial"/>
          <w:sz w:val="16"/>
          <w:szCs w:val="16"/>
          <w:color w:val="auto"/>
        </w:rPr>
      </w:pPr>
    </w:p>
    <w:p>
      <w:pPr>
        <w:ind w:left="580" w:hanging="181"/>
        <w:spacing w:after="0"/>
        <w:tabs>
          <w:tab w:leader="none" w:pos="5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capital management (weighted 30%)</w:t>
      </w:r>
    </w:p>
    <w:p>
      <w:pPr>
        <w:spacing w:after="0" w:line="126" w:lineRule="exact"/>
        <w:rPr>
          <w:rFonts w:ascii="Arial" w:cs="Arial" w:eastAsia="Arial" w:hAnsi="Arial"/>
          <w:sz w:val="16"/>
          <w:szCs w:val="16"/>
          <w:color w:val="auto"/>
        </w:rPr>
      </w:pPr>
    </w:p>
    <w:p>
      <w:pPr>
        <w:ind w:left="580" w:hanging="181"/>
        <w:spacing w:after="0"/>
        <w:tabs>
          <w:tab w:leader="none" w:pos="5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operating and safety performance (weighted 25%)</w:t>
      </w:r>
    </w:p>
    <w:p>
      <w:pPr>
        <w:spacing w:after="0" w:line="126" w:lineRule="exact"/>
        <w:rPr>
          <w:rFonts w:ascii="Arial" w:cs="Arial" w:eastAsia="Arial" w:hAnsi="Arial"/>
          <w:sz w:val="16"/>
          <w:szCs w:val="16"/>
          <w:color w:val="auto"/>
        </w:rPr>
      </w:pPr>
    </w:p>
    <w:p>
      <w:pPr>
        <w:ind w:left="580" w:hanging="181"/>
        <w:spacing w:after="0"/>
        <w:tabs>
          <w:tab w:leader="none" w:pos="5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energy transition (weighted 10%)</w:t>
      </w:r>
    </w:p>
    <w:p>
      <w:pPr>
        <w:spacing w:after="0" w:line="113" w:lineRule="exact"/>
        <w:rPr>
          <w:sz w:val="20"/>
          <w:szCs w:val="20"/>
          <w:color w:val="auto"/>
        </w:rPr>
      </w:pPr>
    </w:p>
    <w:p>
      <w:pPr>
        <w:ind w:left="120" w:right="260"/>
        <w:spacing w:after="0" w:line="266" w:lineRule="auto"/>
        <w:rPr>
          <w:sz w:val="20"/>
          <w:szCs w:val="20"/>
          <w:color w:val="auto"/>
        </w:rPr>
      </w:pPr>
      <w:r>
        <w:rPr>
          <w:rFonts w:ascii="Arial" w:cs="Arial" w:eastAsia="Arial" w:hAnsi="Arial"/>
          <w:sz w:val="16"/>
          <w:szCs w:val="16"/>
          <w:color w:val="auto"/>
        </w:rPr>
        <w:t>Each category contains multiple performance measures, reflecting outcomes of both short-term and long-term measures on absolute and relative performance, as well as the performance trend over time.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The award is delivered as an annual cash payment based on an individual bonus component reflecting executive leadership and performance, multiplied by the Corporate Performance Rating. The CIP award determination process is consistent across approximately 37,400 CIP-eligible Chevron employees, with the award target varying by pay grade. See page 44 for the target CIP value for each NEO.</w:t>
      </w:r>
    </w:p>
    <w:p>
      <w:pPr>
        <w:spacing w:after="0" w:line="7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early 2021, the MCC approved the addition of an “Energy Transition” performance category to the 2021 CIP scorecard. This important addition responds to investor input and reinforces Chevron’s focus on advancing a lower carbon future. This new category will have a 10% weighting, and will measure Chevron’s progress in the areas of GHG management, renewable energy and carbon offsets, and low-carbon technologies. The scorecard performance outcomes impact CIP payout for all eligible employees.</w:t>
      </w:r>
    </w:p>
    <w:p>
      <w:pPr>
        <w:spacing w:after="0" w:line="318" w:lineRule="exact"/>
        <w:rPr>
          <w:sz w:val="20"/>
          <w:szCs w:val="20"/>
          <w:color w:val="auto"/>
        </w:rPr>
      </w:pPr>
    </w:p>
    <w:p>
      <w:pPr>
        <w:sectPr>
          <w:pgSz w:w="11900" w:h="16838" w:orient="portrait"/>
          <w:cols w:equalWidth="0" w:num="2">
            <w:col w:w="5400" w:space="340"/>
            <w:col w:w="5380"/>
          </w:cols>
          <w:pgMar w:left="320" w:top="455" w:right="459" w:bottom="1440" w:gutter="0" w:footer="0" w:header="0"/>
          <w:type w:val="continuous"/>
        </w:sectPr>
      </w:pPr>
    </w:p>
    <w:p>
      <w:pPr>
        <w:spacing w:after="0" w:line="35"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Chevron Corporation – 2022 Proxy Statement</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1120"/>
          </w:cols>
          <w:pgMar w:left="320" w:top="455" w:right="459" w:bottom="1440" w:gutter="0" w:footer="0" w:header="0"/>
          <w:type w:val="continuous"/>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405890" cy="146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05890" cy="146050"/>
                    </a:xfrm>
                    <a:prstGeom prst="rect">
                      <a:avLst/>
                    </a:prstGeom>
                    <a:noFill/>
                  </pic:spPr>
                </pic:pic>
              </a:graphicData>
            </a:graphic>
          </wp:anchor>
        </w:drawing>
      </w:r>
    </w:p>
    <w:p>
      <w:pPr>
        <w:spacing w:after="0" w:line="33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Executive compensation</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CIP award for the CEO and the other NEOs is calculated as follows:</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309"/>
        </w:trPr>
        <w:tc>
          <w:tcPr>
            <w:tcW w:w="5250" w:type="dxa"/>
            <w:vAlign w:val="bottom"/>
            <w:vMerge w:val="restart"/>
            <w:shd w:val="clear" w:color="auto" w:fill="0066B2"/>
          </w:tcPr>
          <w:p>
            <w:pPr>
              <w:jc w:val="center"/>
              <w:spacing w:after="0"/>
              <w:rPr>
                <w:sz w:val="20"/>
                <w:szCs w:val="20"/>
                <w:color w:val="auto"/>
              </w:rPr>
            </w:pPr>
            <w:r>
              <w:rPr>
                <w:rFonts w:ascii="Arial" w:cs="Arial" w:eastAsia="Arial" w:hAnsi="Arial"/>
                <w:sz w:val="18"/>
                <w:szCs w:val="18"/>
                <w:b w:val="1"/>
                <w:bCs w:val="1"/>
                <w:color w:val="FFFFFF"/>
                <w:w w:val="99"/>
              </w:rPr>
              <w:t>Corporate Performance Rating</w:t>
            </w:r>
          </w:p>
        </w:tc>
        <w:tc>
          <w:tcPr>
            <w:tcW w:w="110" w:type="dxa"/>
            <w:vAlign w:val="bottom"/>
            <w:shd w:val="clear" w:color="auto" w:fill="0066B2"/>
          </w:tcPr>
          <w:p>
            <w:pPr>
              <w:spacing w:after="0"/>
              <w:rPr>
                <w:sz w:val="24"/>
                <w:szCs w:val="24"/>
                <w:color w:val="auto"/>
              </w:rPr>
            </w:pPr>
          </w:p>
        </w:tc>
        <w:tc>
          <w:tcPr>
            <w:tcW w:w="220" w:type="dxa"/>
            <w:vAlign w:val="bottom"/>
            <w:vMerge w:val="restart"/>
            <w:shd w:val="clear" w:color="auto" w:fill="0066B2"/>
          </w:tcPr>
          <w:p>
            <w:pPr>
              <w:spacing w:after="0"/>
              <w:rPr>
                <w:sz w:val="20"/>
                <w:szCs w:val="20"/>
                <w:color w:val="auto"/>
              </w:rPr>
            </w:pPr>
            <w:r>
              <w:rPr>
                <w:rFonts w:ascii="Arial" w:cs="Arial" w:eastAsia="Arial" w:hAnsi="Arial"/>
                <w:sz w:val="32"/>
                <w:szCs w:val="32"/>
                <w:b w:val="1"/>
                <w:bCs w:val="1"/>
                <w:color w:val="FFFFFF"/>
                <w:w w:val="93"/>
              </w:rPr>
              <w:t>X</w:t>
            </w:r>
          </w:p>
        </w:tc>
        <w:tc>
          <w:tcPr>
            <w:tcW w:w="5380" w:type="dxa"/>
            <w:vAlign w:val="bottom"/>
            <w:shd w:val="clear" w:color="auto" w:fill="0066B2"/>
          </w:tcPr>
          <w:p>
            <w:pPr>
              <w:jc w:val="right"/>
              <w:ind w:right="1252"/>
              <w:spacing w:after="0"/>
              <w:rPr>
                <w:sz w:val="20"/>
                <w:szCs w:val="20"/>
                <w:color w:val="auto"/>
              </w:rPr>
            </w:pPr>
            <w:r>
              <w:rPr>
                <w:rFonts w:ascii="Arial" w:cs="Arial" w:eastAsia="Arial" w:hAnsi="Arial"/>
                <w:sz w:val="18"/>
                <w:szCs w:val="18"/>
                <w:b w:val="1"/>
                <w:bCs w:val="1"/>
                <w:color w:val="FFFFFF"/>
              </w:rPr>
              <w:t>Individual Bonus Component</w:t>
            </w:r>
          </w:p>
        </w:tc>
        <w:tc>
          <w:tcPr>
            <w:tcW w:w="0" w:type="dxa"/>
            <w:vAlign w:val="bottom"/>
          </w:tcPr>
          <w:p>
            <w:pPr>
              <w:spacing w:after="0"/>
              <w:rPr>
                <w:sz w:val="1"/>
                <w:szCs w:val="1"/>
                <w:color w:val="auto"/>
              </w:rPr>
            </w:pPr>
          </w:p>
        </w:tc>
      </w:tr>
      <w:tr>
        <w:trPr>
          <w:trHeight w:val="162"/>
        </w:trPr>
        <w:tc>
          <w:tcPr>
            <w:tcW w:w="5250" w:type="dxa"/>
            <w:vAlign w:val="bottom"/>
            <w:vMerge w:val="continue"/>
            <w:shd w:val="clear" w:color="auto" w:fill="0066B2"/>
          </w:tcPr>
          <w:p>
            <w:pPr>
              <w:spacing w:after="0"/>
              <w:rPr>
                <w:sz w:val="14"/>
                <w:szCs w:val="14"/>
                <w:color w:val="auto"/>
              </w:rPr>
            </w:pPr>
          </w:p>
        </w:tc>
        <w:tc>
          <w:tcPr>
            <w:tcW w:w="110" w:type="dxa"/>
            <w:vAlign w:val="bottom"/>
            <w:shd w:val="clear" w:color="auto" w:fill="0066B2"/>
          </w:tcPr>
          <w:p>
            <w:pPr>
              <w:spacing w:after="0"/>
              <w:rPr>
                <w:sz w:val="14"/>
                <w:szCs w:val="14"/>
                <w:color w:val="auto"/>
              </w:rPr>
            </w:pPr>
          </w:p>
        </w:tc>
        <w:tc>
          <w:tcPr>
            <w:tcW w:w="220" w:type="dxa"/>
            <w:vAlign w:val="bottom"/>
            <w:vMerge w:val="continue"/>
            <w:shd w:val="clear" w:color="auto" w:fill="0066B2"/>
          </w:tcPr>
          <w:p>
            <w:pPr>
              <w:spacing w:after="0"/>
              <w:rPr>
                <w:sz w:val="14"/>
                <w:szCs w:val="14"/>
                <w:color w:val="auto"/>
              </w:rPr>
            </w:pPr>
          </w:p>
        </w:tc>
        <w:tc>
          <w:tcPr>
            <w:tcW w:w="5380" w:type="dxa"/>
            <w:vAlign w:val="bottom"/>
            <w:vMerge w:val="restart"/>
            <w:shd w:val="clear" w:color="auto" w:fill="0066B2"/>
          </w:tcPr>
          <w:p>
            <w:pPr>
              <w:jc w:val="right"/>
              <w:ind w:right="1292"/>
              <w:spacing w:after="0"/>
              <w:rPr>
                <w:sz w:val="20"/>
                <w:szCs w:val="20"/>
                <w:color w:val="auto"/>
              </w:rPr>
            </w:pPr>
            <w:r>
              <w:rPr>
                <w:rFonts w:ascii="Arial" w:cs="Arial" w:eastAsia="Arial" w:hAnsi="Arial"/>
                <w:sz w:val="14"/>
                <w:szCs w:val="14"/>
                <w:b w:val="1"/>
                <w:bCs w:val="1"/>
                <w:color w:val="FFFFFF"/>
              </w:rPr>
              <w:t>(base salary x bonus percentage)</w:t>
            </w:r>
          </w:p>
        </w:tc>
        <w:tc>
          <w:tcPr>
            <w:tcW w:w="0" w:type="dxa"/>
            <w:vAlign w:val="bottom"/>
          </w:tcPr>
          <w:p>
            <w:pPr>
              <w:spacing w:after="0"/>
              <w:rPr>
                <w:sz w:val="1"/>
                <w:szCs w:val="1"/>
                <w:color w:val="auto"/>
              </w:rPr>
            </w:pPr>
          </w:p>
        </w:tc>
      </w:tr>
      <w:tr>
        <w:trPr>
          <w:trHeight w:val="148"/>
        </w:trPr>
        <w:tc>
          <w:tcPr>
            <w:tcW w:w="5250" w:type="dxa"/>
            <w:vAlign w:val="bottom"/>
            <w:shd w:val="clear" w:color="auto" w:fill="0066B2"/>
          </w:tcPr>
          <w:p>
            <w:pPr>
              <w:spacing w:after="0"/>
              <w:rPr>
                <w:sz w:val="12"/>
                <w:szCs w:val="12"/>
                <w:color w:val="auto"/>
              </w:rPr>
            </w:pPr>
          </w:p>
        </w:tc>
        <w:tc>
          <w:tcPr>
            <w:tcW w:w="110" w:type="dxa"/>
            <w:vAlign w:val="bottom"/>
            <w:shd w:val="clear" w:color="auto" w:fill="0066B2"/>
          </w:tcPr>
          <w:p>
            <w:pPr>
              <w:spacing w:after="0"/>
              <w:rPr>
                <w:sz w:val="12"/>
                <w:szCs w:val="12"/>
                <w:color w:val="auto"/>
              </w:rPr>
            </w:pPr>
          </w:p>
        </w:tc>
        <w:tc>
          <w:tcPr>
            <w:tcW w:w="220" w:type="dxa"/>
            <w:vAlign w:val="bottom"/>
            <w:vMerge w:val="continue"/>
            <w:shd w:val="clear" w:color="auto" w:fill="0066B2"/>
          </w:tcPr>
          <w:p>
            <w:pPr>
              <w:spacing w:after="0"/>
              <w:rPr>
                <w:sz w:val="12"/>
                <w:szCs w:val="12"/>
                <w:color w:val="auto"/>
              </w:rPr>
            </w:pPr>
          </w:p>
        </w:tc>
        <w:tc>
          <w:tcPr>
            <w:tcW w:w="5380" w:type="dxa"/>
            <w:vAlign w:val="bottom"/>
            <w:vMerge w:val="continue"/>
            <w:shd w:val="clear" w:color="auto" w:fill="0066B2"/>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5250" w:type="dxa"/>
            <w:vAlign w:val="bottom"/>
            <w:shd w:val="clear" w:color="auto" w:fill="0066B2"/>
          </w:tcPr>
          <w:p>
            <w:pPr>
              <w:spacing w:after="0"/>
              <w:rPr>
                <w:sz w:val="8"/>
                <w:szCs w:val="8"/>
                <w:color w:val="auto"/>
              </w:rPr>
            </w:pPr>
          </w:p>
        </w:tc>
        <w:tc>
          <w:tcPr>
            <w:tcW w:w="110" w:type="dxa"/>
            <w:vAlign w:val="bottom"/>
            <w:shd w:val="clear" w:color="auto" w:fill="0066B2"/>
          </w:tcPr>
          <w:p>
            <w:pPr>
              <w:spacing w:after="0"/>
              <w:rPr>
                <w:sz w:val="8"/>
                <w:szCs w:val="8"/>
                <w:color w:val="auto"/>
              </w:rPr>
            </w:pPr>
          </w:p>
        </w:tc>
        <w:tc>
          <w:tcPr>
            <w:tcW w:w="220" w:type="dxa"/>
            <w:vAlign w:val="bottom"/>
            <w:shd w:val="clear" w:color="auto" w:fill="0066B2"/>
          </w:tcPr>
          <w:p>
            <w:pPr>
              <w:spacing w:after="0"/>
              <w:rPr>
                <w:sz w:val="8"/>
                <w:szCs w:val="8"/>
                <w:color w:val="auto"/>
              </w:rPr>
            </w:pPr>
          </w:p>
        </w:tc>
        <w:tc>
          <w:tcPr>
            <w:tcW w:w="5380" w:type="dxa"/>
            <w:vAlign w:val="bottom"/>
            <w:shd w:val="clear" w:color="auto" w:fill="0066B2"/>
          </w:tcPr>
          <w:p>
            <w:pPr>
              <w:spacing w:after="0"/>
              <w:rPr>
                <w:sz w:val="8"/>
                <w:szCs w:val="8"/>
                <w:color w:val="auto"/>
              </w:rPr>
            </w:pPr>
          </w:p>
        </w:tc>
        <w:tc>
          <w:tcPr>
            <w:tcW w:w="0" w:type="dxa"/>
            <w:vAlign w:val="bottom"/>
          </w:tcPr>
          <w:p>
            <w:pPr>
              <w:spacing w:after="0"/>
              <w:rPr>
                <w:sz w:val="1"/>
                <w:szCs w:val="1"/>
                <w:color w:val="auto"/>
              </w:rPr>
            </w:pPr>
          </w:p>
        </w:tc>
      </w:tr>
      <w:tr>
        <w:trPr>
          <w:trHeight w:val="393"/>
        </w:trPr>
        <w:tc>
          <w:tcPr>
            <w:tcW w:w="5250" w:type="dxa"/>
            <w:vAlign w:val="bottom"/>
          </w:tcPr>
          <w:p>
            <w:pPr>
              <w:jc w:val="right"/>
              <w:ind w:right="2384"/>
              <w:spacing w:after="0"/>
              <w:rPr>
                <w:sz w:val="20"/>
                <w:szCs w:val="20"/>
                <w:color w:val="auto"/>
              </w:rPr>
            </w:pPr>
            <w:r>
              <w:rPr>
                <w:rFonts w:ascii="Times New Roman" w:cs="Times New Roman" w:eastAsia="Times New Roman" w:hAnsi="Times New Roman"/>
                <w:sz w:val="32"/>
                <w:szCs w:val="32"/>
                <w:color w:val="0066B2"/>
              </w:rPr>
              <w:t>À</w:t>
            </w:r>
          </w:p>
        </w:tc>
        <w:tc>
          <w:tcPr>
            <w:tcW w:w="11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80" w:type="dxa"/>
            <w:vAlign w:val="bottom"/>
          </w:tcPr>
          <w:p>
            <w:pPr>
              <w:jc w:val="right"/>
              <w:ind w:right="2412"/>
              <w:spacing w:after="0"/>
              <w:rPr>
                <w:sz w:val="20"/>
                <w:szCs w:val="20"/>
                <w:color w:val="auto"/>
              </w:rPr>
            </w:pPr>
            <w:r>
              <w:rPr>
                <w:rFonts w:ascii="Times New Roman" w:cs="Times New Roman" w:eastAsia="Times New Roman" w:hAnsi="Times New Roman"/>
                <w:sz w:val="32"/>
                <w:szCs w:val="32"/>
                <w:color w:val="0066B2"/>
              </w:rPr>
              <w:t>À</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wp:posOffset>
            </wp:positionV>
            <wp:extent cx="6960870" cy="29832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60870" cy="2983230"/>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ind w:left="320"/>
        <w:spacing w:after="0" w:line="250" w:lineRule="auto"/>
        <w:rPr>
          <w:sz w:val="20"/>
          <w:szCs w:val="20"/>
          <w:color w:val="auto"/>
        </w:rPr>
      </w:pPr>
      <w:r>
        <w:rPr>
          <w:rFonts w:ascii="Arial" w:cs="Arial" w:eastAsia="Arial" w:hAnsi="Arial"/>
          <w:sz w:val="16"/>
          <w:szCs w:val="16"/>
          <w:color w:val="auto"/>
        </w:rPr>
        <w:t>At the beginning of each performance year, the MCC reviews and approves the annual performance measures, weightings, and goals established with the Business Plan. After the end of the performance year, the MCC reviews and assesses Company performance metrics and sets the Corporate Performance Rating based on a range of measures in four categories.</w:t>
      </w:r>
    </w:p>
    <w:p>
      <w:pPr>
        <w:spacing w:after="0" w:line="90" w:lineRule="exact"/>
        <w:rPr>
          <w:sz w:val="20"/>
          <w:szCs w:val="20"/>
          <w:color w:val="auto"/>
        </w:rPr>
      </w:pPr>
    </w:p>
    <w:p>
      <w:pPr>
        <w:ind w:left="320"/>
        <w:spacing w:after="0" w:line="253" w:lineRule="auto"/>
        <w:rPr>
          <w:sz w:val="20"/>
          <w:szCs w:val="20"/>
          <w:color w:val="auto"/>
        </w:rPr>
      </w:pPr>
      <w:r>
        <w:rPr>
          <w:rFonts w:ascii="Arial" w:cs="Arial" w:eastAsia="Arial" w:hAnsi="Arial"/>
          <w:sz w:val="16"/>
          <w:szCs w:val="16"/>
          <w:color w:val="auto"/>
        </w:rPr>
        <w:t>Performance is viewed across multiple parameters (i.e., absolute results; results vs. Business Plan; results vs. Oil Industry Peer Group and/or general industry; performance trends over time). The MCC also evaluates achievement of the performance measures by taking into account elements that may be market-driven or otherwise beyond the control of management. See pages 50 to 53 for a discussion of 2021 performance.</w:t>
      </w:r>
    </w:p>
    <w:p>
      <w:pPr>
        <w:spacing w:after="0" w:line="87" w:lineRule="exact"/>
        <w:rPr>
          <w:sz w:val="20"/>
          <w:szCs w:val="20"/>
          <w:color w:val="auto"/>
        </w:rPr>
      </w:pPr>
    </w:p>
    <w:p>
      <w:pPr>
        <w:ind w:left="320"/>
        <w:spacing w:after="0" w:line="286" w:lineRule="auto"/>
        <w:rPr>
          <w:sz w:val="20"/>
          <w:szCs w:val="20"/>
          <w:color w:val="auto"/>
        </w:rPr>
      </w:pPr>
      <w:r>
        <w:rPr>
          <w:rFonts w:ascii="Arial" w:cs="Arial" w:eastAsia="Arial" w:hAnsi="Arial"/>
          <w:sz w:val="16"/>
          <w:szCs w:val="16"/>
          <w:color w:val="auto"/>
        </w:rPr>
        <w:t>The minimum Corporate Performance Rating is zero (i.e., no award), and the maximum is two (i.e., 200%).</w:t>
      </w:r>
    </w:p>
    <w:p>
      <w:pPr>
        <w:spacing w:after="0" w:line="20" w:lineRule="exact"/>
        <w:rPr>
          <w:sz w:val="20"/>
          <w:szCs w:val="20"/>
          <w:color w:val="auto"/>
        </w:rPr>
      </w:pPr>
      <w:r>
        <w:rPr>
          <w:sz w:val="20"/>
          <w:szCs w:val="20"/>
          <w:color w:val="auto"/>
        </w:rPr>
        <w:br w:type="column"/>
      </w:r>
    </w:p>
    <w:p>
      <w:pPr>
        <w:jc w:val="both"/>
        <w:ind w:right="480"/>
        <w:spacing w:after="0" w:line="256" w:lineRule="auto"/>
        <w:rPr>
          <w:sz w:val="20"/>
          <w:szCs w:val="20"/>
          <w:color w:val="auto"/>
        </w:rPr>
      </w:pPr>
      <w:r>
        <w:rPr>
          <w:rFonts w:ascii="Arial" w:cs="Arial" w:eastAsia="Arial" w:hAnsi="Arial"/>
          <w:sz w:val="16"/>
          <w:szCs w:val="16"/>
          <w:color w:val="auto"/>
        </w:rPr>
        <w:t>The Individual Bonus Component (IBC) is determined by the MCC taking into account competitive bonus targets among oil peers and individual performance.</w:t>
      </w:r>
    </w:p>
    <w:p>
      <w:pPr>
        <w:spacing w:after="0" w:line="84"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Before the beginning of each performance year, the MCC establishes a target as a percentage of the NEO’s base salary, which is set with reference to target opportunities found across Chevron’s Oil Industry Peer Group. The MCC then establishes a bonus range, which is 75% to 125% of the target for the 2021 performance cycle. All CIP participants in the same salary grade have the same target and bonus range, which provides for internal equity and consistency.</w:t>
      </w:r>
    </w:p>
    <w:p>
      <w:pPr>
        <w:spacing w:after="0" w:line="87"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At the end of the performance year, the MCC determines the IBC for each NEO by selecting a percentage point within the bonus range based on an assessment of individual performance, taking into account personal effort and initiative, business unit performance, and the individual’s leadership impact on the enterprise. Under extraordinary circumstances, the IBC may be adjusted upward or downward, including to zero, for any employee at the sole discretion of the MCC.</w:t>
      </w:r>
    </w:p>
    <w:p>
      <w:pPr>
        <w:spacing w:after="0" w:line="87"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The CEO recommends to the MCC an IBC for each NEO other than himself.</w:t>
      </w:r>
    </w:p>
    <w:p>
      <w:pPr>
        <w:spacing w:after="0" w:line="61"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The MCC recommends the IBC for the CEO and approves the IBC for the other NEOs. The independent Directors of the Board approve the IBCs for the CEO and ratify the IBCs for the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151765</wp:posOffset>
            </wp:positionV>
            <wp:extent cx="696087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6087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600"/>
            <w:col w:w="5240"/>
          </w:cols>
          <w:pgMar w:left="320" w:top="455" w:right="479" w:bottom="1440" w:gutter="0" w:footer="0" w:header="0"/>
          <w:type w:val="continuous"/>
        </w:sectPr>
      </w:pP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Overall award capped at 200% of target</w:t>
      </w:r>
    </w:p>
    <w:p>
      <w:pPr>
        <w:sectPr>
          <w:pgSz w:w="11900" w:h="16838" w:orient="portrait"/>
          <w:cols w:equalWidth="0" w:num="1">
            <w:col w:w="11100"/>
          </w:cols>
          <w:pgMar w:left="320" w:top="455" w:right="479" w:bottom="1440" w:gutter="0" w:footer="0" w:header="0"/>
          <w:type w:val="continuous"/>
        </w:sectPr>
      </w:pPr>
    </w:p>
    <w:p>
      <w:pPr>
        <w:spacing w:after="0" w:line="329"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Chevron goes through a rigorous goal-setting and performance review process to determine the CIP Corporate Performance Rating. Annually, Business Plan objectives are determined after thorough reviews and approvals by the Enterprise Leadership Team (“ELT”), a subcommittee of the Executive Committee, and the Board. The ELT is responsible for setting objectives that challenge the Company to optimize strategies and portfolio composition and to improve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operational performance to create stockholder value. Robust annual performance measures, weightings, and goals are established with the Business Plan, subject to review and approval by the MCC. Mid-year and end-of-year reviews by the Board and the MCC systematically assess progress against these measures. The MCC has discretion in determining CIP awards, which includes discretion to set the award to zero if conditions warrant it.</w:t>
      </w:r>
    </w:p>
    <w:p>
      <w:pPr>
        <w:spacing w:after="0" w:line="200" w:lineRule="exact"/>
        <w:rPr>
          <w:sz w:val="20"/>
          <w:szCs w:val="20"/>
          <w:color w:val="auto"/>
        </w:rPr>
      </w:pPr>
    </w:p>
    <w:p>
      <w:pPr>
        <w:sectPr>
          <w:pgSz w:w="11900" w:h="16838" w:orient="portrait"/>
          <w:cols w:equalWidth="0" w:num="2">
            <w:col w:w="5340" w:space="400"/>
            <w:col w:w="5360"/>
          </w:cols>
          <w:pgMar w:left="320" w:top="455" w:right="479" w:bottom="1440" w:gutter="0" w:footer="0" w:header="0"/>
          <w:type w:val="continuous"/>
        </w:sectPr>
      </w:pPr>
    </w:p>
    <w:p>
      <w:pPr>
        <w:spacing w:after="0" w:line="26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2021 CIP corporate performance rating</w:t>
      </w:r>
    </w:p>
    <w:p>
      <w:pPr>
        <w:spacing w:after="0" w:line="180"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auto"/>
        </w:rPr>
        <w:t>In January 2022, the MCC evaluated Chevron’s 2021 performance across the four performance categories: financial results, capital management, operating and safety performance, and energy transition. A raw score range was assigned based on the Company’s actual performance with respect to the particular performance measures comprising each category as measured against the Company’s Plan. This raw score can span from zero (reflecting very poor performance) to two (reflecting outstanding performance) for each category.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Category weights are then applied to the raw score ranges to determine an overall range. When determining the Corporate Performance Rating, the MCC may apply discretion when assessing the Company’s performance.</w:t>
      </w:r>
    </w:p>
    <w:p>
      <w:pPr>
        <w:spacing w:after="0" w:line="63"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For the 2021 performance year, the MCC assigned an overall CIP Corporate Performance Rating of 1.50, based on the Company’s strong financial and operating results and in recognition of the extraordinary workforce achievements during a year of ongoing pandemic challenges.</w:t>
      </w:r>
    </w:p>
    <w:p>
      <w:pPr>
        <w:spacing w:after="0" w:line="276" w:lineRule="exact"/>
        <w:rPr>
          <w:sz w:val="20"/>
          <w:szCs w:val="20"/>
          <w:color w:val="auto"/>
        </w:rPr>
      </w:pPr>
    </w:p>
    <w:p>
      <w:pPr>
        <w:sectPr>
          <w:pgSz w:w="11900" w:h="16838" w:orient="portrait"/>
          <w:cols w:equalWidth="0" w:num="2">
            <w:col w:w="5400" w:space="340"/>
            <w:col w:w="5360"/>
          </w:cols>
          <w:pgMar w:left="320" w:top="455" w:right="479" w:bottom="1440" w:gutter="0" w:footer="0" w:header="0"/>
          <w:type w:val="continuous"/>
        </w:sectPr>
      </w:pPr>
    </w:p>
    <w:p>
      <w:pPr>
        <w:spacing w:after="0" w:line="60"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Chevron Corporation – 2022 Proxy Statement</w:t>
      </w:r>
    </w:p>
    <w:p>
      <w:pPr>
        <w:spacing w:after="0" w:line="65"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1100"/>
          </w:cols>
          <w:pgMar w:left="320" w:top="455" w:right="479" w:bottom="1440" w:gutter="0" w:footer="0" w:header="0"/>
          <w:type w:val="continuous"/>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208280</wp:posOffset>
            </wp:positionV>
            <wp:extent cx="1474470" cy="146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474470" cy="146050"/>
                    </a:xfrm>
                    <a:prstGeom prst="rect">
                      <a:avLst/>
                    </a:prstGeom>
                    <a:noFill/>
                  </pic:spPr>
                </pic:pic>
              </a:graphicData>
            </a:graphic>
          </wp:anchor>
        </w:drawing>
      </w:r>
    </w:p>
    <w:p>
      <w:pPr>
        <w:spacing w:after="0" w:line="339"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FFFFFF"/>
        </w:rPr>
        <w:t>Executive compensation</w:t>
      </w:r>
    </w:p>
    <w:p>
      <w:pPr>
        <w:spacing w:after="0" w:line="172" w:lineRule="exact"/>
        <w:rPr>
          <w:sz w:val="20"/>
          <w:szCs w:val="20"/>
          <w:color w:val="auto"/>
        </w:rPr>
      </w:pPr>
    </w:p>
    <w:p>
      <w:pPr>
        <w:jc w:val="both"/>
        <w:ind w:left="120"/>
        <w:spacing w:after="0" w:line="256" w:lineRule="auto"/>
        <w:rPr>
          <w:sz w:val="20"/>
          <w:szCs w:val="20"/>
          <w:color w:val="auto"/>
        </w:rPr>
      </w:pPr>
      <w:r>
        <w:rPr>
          <w:rFonts w:ascii="Arial" w:cs="Arial" w:eastAsia="Arial" w:hAnsi="Arial"/>
          <w:sz w:val="16"/>
          <w:szCs w:val="16"/>
          <w:color w:val="auto"/>
        </w:rPr>
        <w:t>Specific inputs to the MCC’s evaluation are summarized below, followed by a detailed description of the basis for the compensation results. We have included specific measures from our Plan for the first time to provide more transparency into the MCC’s decision making. Commodity price fluctuations are a significant and uncontrollable factor in our industry. Plans for any year are dependent on commodity price assumptions and financial results vary significantly based on differences between assumed and actual commodity prices. 2021 Plan assumptions were forecast in the second half of 2020 during significant global economic and commodity uncertainty when Brent oil prices averaged around $44 per barrel.</w:t>
      </w:r>
    </w:p>
    <w:p>
      <w:pPr>
        <w:spacing w:after="0" w:line="99" w:lineRule="exact"/>
        <w:rPr>
          <w:sz w:val="20"/>
          <w:szCs w:val="20"/>
          <w:color w:val="auto"/>
        </w:rPr>
      </w:pPr>
    </w:p>
    <w:tbl>
      <w:tblPr>
        <w:tblLayout w:type="fixed"/>
        <w:tblInd w:w="170" w:type="dxa"/>
        <w:tblCellMar>
          <w:top w:w="0" w:type="dxa"/>
          <w:left w:w="0" w:type="dxa"/>
          <w:bottom w:w="0" w:type="dxa"/>
          <w:right w:w="0" w:type="dxa"/>
        </w:tblCellMar>
      </w:tblPr>
      <w:tr>
        <w:trPr>
          <w:trHeight w:val="216"/>
        </w:trPr>
        <w:tc>
          <w:tcPr>
            <w:tcW w:w="1440" w:type="dxa"/>
            <w:vAlign w:val="bottom"/>
            <w:tcBorders>
              <w:left w:val="single" w:sz="8" w:color="7F7F7F"/>
              <w:right w:val="single" w:sz="8" w:color="0066B2"/>
            </w:tcBorders>
            <w:shd w:val="clear" w:color="auto" w:fill="0066B2"/>
          </w:tcPr>
          <w:p>
            <w:pPr>
              <w:jc w:val="center"/>
              <w:ind w:left="77"/>
              <w:spacing w:after="0"/>
              <w:rPr>
                <w:sz w:val="20"/>
                <w:szCs w:val="20"/>
                <w:color w:val="auto"/>
              </w:rPr>
            </w:pPr>
            <w:r>
              <w:rPr>
                <w:rFonts w:ascii="Arial" w:cs="Arial" w:eastAsia="Arial" w:hAnsi="Arial"/>
                <w:sz w:val="13"/>
                <w:szCs w:val="13"/>
                <w:b w:val="1"/>
                <w:bCs w:val="1"/>
                <w:color w:val="FFFFFF"/>
                <w:w w:val="95"/>
              </w:rPr>
              <w:t>Category</w:t>
            </w:r>
          </w:p>
        </w:tc>
        <w:tc>
          <w:tcPr>
            <w:tcW w:w="760" w:type="dxa"/>
            <w:vAlign w:val="bottom"/>
            <w:tcBorders>
              <w:right w:val="single" w:sz="8" w:color="0066B2"/>
            </w:tcBorders>
            <w:shd w:val="clear" w:color="auto" w:fill="0066B2"/>
          </w:tcPr>
          <w:p>
            <w:pPr>
              <w:jc w:val="right"/>
              <w:ind w:right="137"/>
              <w:spacing w:after="0"/>
              <w:rPr>
                <w:sz w:val="20"/>
                <w:szCs w:val="20"/>
                <w:color w:val="auto"/>
              </w:rPr>
            </w:pPr>
            <w:r>
              <w:rPr>
                <w:rFonts w:ascii="Arial" w:cs="Arial" w:eastAsia="Arial" w:hAnsi="Arial"/>
                <w:sz w:val="13"/>
                <w:szCs w:val="13"/>
                <w:b w:val="1"/>
                <w:bCs w:val="1"/>
                <w:color w:val="FFFFFF"/>
              </w:rPr>
              <w:t>Weight</w:t>
            </w:r>
          </w:p>
        </w:tc>
        <w:tc>
          <w:tcPr>
            <w:tcW w:w="1600" w:type="dxa"/>
            <w:vAlign w:val="bottom"/>
            <w:tcBorders>
              <w:right w:val="single" w:sz="8" w:color="0066B2"/>
            </w:tcBorders>
            <w:shd w:val="clear" w:color="auto" w:fill="0066B2"/>
          </w:tcPr>
          <w:p>
            <w:pPr>
              <w:ind w:left="120"/>
              <w:spacing w:after="0"/>
              <w:rPr>
                <w:sz w:val="20"/>
                <w:szCs w:val="20"/>
                <w:color w:val="auto"/>
              </w:rPr>
            </w:pPr>
            <w:r>
              <w:rPr>
                <w:rFonts w:ascii="Arial" w:cs="Arial" w:eastAsia="Arial" w:hAnsi="Arial"/>
                <w:sz w:val="13"/>
                <w:szCs w:val="13"/>
                <w:b w:val="1"/>
                <w:bCs w:val="1"/>
                <w:color w:val="FFFFFF"/>
              </w:rPr>
              <w:t>Performance measures</w:t>
            </w:r>
          </w:p>
        </w:tc>
        <w:tc>
          <w:tcPr>
            <w:tcW w:w="1200" w:type="dxa"/>
            <w:vAlign w:val="bottom"/>
            <w:tcBorders>
              <w:right w:val="single" w:sz="8" w:color="0066B2"/>
            </w:tcBorders>
            <w:shd w:val="clear" w:color="auto" w:fill="0066B2"/>
          </w:tcPr>
          <w:p>
            <w:pPr>
              <w:jc w:val="center"/>
              <w:spacing w:after="0"/>
              <w:rPr>
                <w:sz w:val="20"/>
                <w:szCs w:val="20"/>
                <w:color w:val="auto"/>
              </w:rPr>
            </w:pPr>
            <w:r>
              <w:rPr>
                <w:rFonts w:ascii="Arial" w:cs="Arial" w:eastAsia="Arial" w:hAnsi="Arial"/>
                <w:sz w:val="13"/>
                <w:szCs w:val="13"/>
                <w:b w:val="1"/>
                <w:bCs w:val="1"/>
                <w:color w:val="FFFFFF"/>
                <w:w w:val="99"/>
              </w:rPr>
              <w:t>2021 Plan</w:t>
            </w:r>
            <w:r>
              <w:rPr>
                <w:rFonts w:ascii="Arial" w:cs="Arial" w:eastAsia="Arial" w:hAnsi="Arial"/>
                <w:sz w:val="10"/>
                <w:szCs w:val="10"/>
                <w:b w:val="1"/>
                <w:bCs w:val="1"/>
                <w:color w:val="FFFFFF"/>
                <w:w w:val="99"/>
              </w:rPr>
              <w:t>(1)</w:t>
            </w:r>
          </w:p>
        </w:tc>
        <w:tc>
          <w:tcPr>
            <w:tcW w:w="2400" w:type="dxa"/>
            <w:vAlign w:val="bottom"/>
            <w:shd w:val="clear" w:color="auto" w:fill="0066B2"/>
          </w:tcPr>
          <w:p>
            <w:pPr>
              <w:ind w:left="480"/>
              <w:spacing w:after="0"/>
              <w:rPr>
                <w:sz w:val="20"/>
                <w:szCs w:val="20"/>
                <w:color w:val="auto"/>
              </w:rPr>
            </w:pPr>
            <w:r>
              <w:rPr>
                <w:rFonts w:ascii="Arial" w:cs="Arial" w:eastAsia="Arial" w:hAnsi="Arial"/>
                <w:sz w:val="13"/>
                <w:szCs w:val="13"/>
                <w:b w:val="1"/>
                <w:bCs w:val="1"/>
                <w:color w:val="FFFFFF"/>
              </w:rPr>
              <w:t>Year-end results vs. Plan</w:t>
            </w:r>
          </w:p>
        </w:tc>
        <w:tc>
          <w:tcPr>
            <w:tcW w:w="60" w:type="dxa"/>
            <w:vAlign w:val="bottom"/>
            <w:tcBorders>
              <w:right w:val="single" w:sz="8" w:color="0066B2"/>
            </w:tcBorders>
            <w:shd w:val="clear" w:color="auto" w:fill="0066B2"/>
          </w:tcPr>
          <w:p>
            <w:pPr>
              <w:spacing w:after="0"/>
              <w:rPr>
                <w:sz w:val="18"/>
                <w:szCs w:val="18"/>
                <w:color w:val="auto"/>
              </w:rPr>
            </w:pPr>
          </w:p>
        </w:tc>
        <w:tc>
          <w:tcPr>
            <w:tcW w:w="980" w:type="dxa"/>
            <w:vAlign w:val="bottom"/>
            <w:tcBorders>
              <w:right w:val="single" w:sz="8" w:color="0066B2"/>
            </w:tcBorders>
            <w:shd w:val="clear" w:color="auto" w:fill="0066B2"/>
          </w:tcPr>
          <w:p>
            <w:pPr>
              <w:ind w:left="220"/>
              <w:spacing w:after="0"/>
              <w:rPr>
                <w:sz w:val="20"/>
                <w:szCs w:val="20"/>
                <w:color w:val="auto"/>
              </w:rPr>
            </w:pPr>
            <w:r>
              <w:rPr>
                <w:rFonts w:ascii="Arial" w:cs="Arial" w:eastAsia="Arial" w:hAnsi="Arial"/>
                <w:sz w:val="13"/>
                <w:szCs w:val="13"/>
                <w:b w:val="1"/>
                <w:bCs w:val="1"/>
                <w:color w:val="FFFFFF"/>
              </w:rPr>
              <w:t>Results</w:t>
            </w:r>
            <w:r>
              <w:rPr>
                <w:rFonts w:ascii="Arial" w:cs="Arial" w:eastAsia="Arial" w:hAnsi="Arial"/>
                <w:sz w:val="10"/>
                <w:szCs w:val="10"/>
                <w:b w:val="1"/>
                <w:bCs w:val="1"/>
                <w:color w:val="FFFFFF"/>
              </w:rPr>
              <w:t>(2)</w:t>
            </w:r>
          </w:p>
        </w:tc>
        <w:tc>
          <w:tcPr>
            <w:tcW w:w="1300" w:type="dxa"/>
            <w:vAlign w:val="bottom"/>
            <w:tcBorders>
              <w:right w:val="single" w:sz="8" w:color="0066B2"/>
            </w:tcBorders>
            <w:shd w:val="clear" w:color="auto" w:fill="0066B2"/>
          </w:tcPr>
          <w:p>
            <w:pPr>
              <w:jc w:val="right"/>
              <w:ind w:right="277"/>
              <w:spacing w:after="0"/>
              <w:rPr>
                <w:sz w:val="20"/>
                <w:szCs w:val="20"/>
                <w:color w:val="auto"/>
              </w:rPr>
            </w:pPr>
            <w:r>
              <w:rPr>
                <w:rFonts w:ascii="Arial" w:cs="Arial" w:eastAsia="Arial" w:hAnsi="Arial"/>
                <w:sz w:val="13"/>
                <w:szCs w:val="13"/>
                <w:b w:val="1"/>
                <w:bCs w:val="1"/>
                <w:color w:val="FFFFFF"/>
              </w:rPr>
              <w:t>Raw score</w:t>
            </w:r>
          </w:p>
        </w:tc>
        <w:tc>
          <w:tcPr>
            <w:tcW w:w="1220" w:type="dxa"/>
            <w:vAlign w:val="bottom"/>
            <w:tcBorders>
              <w:right w:val="single" w:sz="8" w:color="7F7F7F"/>
            </w:tcBorders>
            <w:gridSpan w:val="2"/>
            <w:shd w:val="clear" w:color="auto" w:fill="0066B2"/>
          </w:tcPr>
          <w:p>
            <w:pPr>
              <w:jc w:val="center"/>
              <w:spacing w:after="0"/>
              <w:rPr>
                <w:sz w:val="20"/>
                <w:szCs w:val="20"/>
                <w:color w:val="auto"/>
              </w:rPr>
            </w:pPr>
            <w:r>
              <w:rPr>
                <w:rFonts w:ascii="Arial" w:cs="Arial" w:eastAsia="Arial" w:hAnsi="Arial"/>
                <w:sz w:val="13"/>
                <w:szCs w:val="13"/>
                <w:b w:val="1"/>
                <w:bCs w:val="1"/>
                <w:color w:val="FFFFFF"/>
                <w:w w:val="99"/>
              </w:rPr>
              <w:t>Weighted</w:t>
            </w:r>
          </w:p>
        </w:tc>
        <w:tc>
          <w:tcPr>
            <w:tcW w:w="0" w:type="dxa"/>
            <w:vAlign w:val="bottom"/>
          </w:tcPr>
          <w:p>
            <w:pPr>
              <w:spacing w:after="0"/>
              <w:rPr>
                <w:sz w:val="1"/>
                <w:szCs w:val="1"/>
                <w:color w:val="auto"/>
              </w:rPr>
            </w:pPr>
          </w:p>
        </w:tc>
      </w:tr>
      <w:tr>
        <w:trPr>
          <w:trHeight w:val="148"/>
        </w:trPr>
        <w:tc>
          <w:tcPr>
            <w:tcW w:w="1440" w:type="dxa"/>
            <w:vAlign w:val="bottom"/>
            <w:tcBorders>
              <w:left w:val="single" w:sz="8" w:color="7F7F7F"/>
              <w:right w:val="single" w:sz="8" w:color="0066B2"/>
            </w:tcBorders>
            <w:shd w:val="clear" w:color="auto" w:fill="0066B2"/>
          </w:tcPr>
          <w:p>
            <w:pPr>
              <w:spacing w:after="0"/>
              <w:rPr>
                <w:sz w:val="12"/>
                <w:szCs w:val="12"/>
                <w:color w:val="auto"/>
              </w:rPr>
            </w:pPr>
          </w:p>
        </w:tc>
        <w:tc>
          <w:tcPr>
            <w:tcW w:w="760" w:type="dxa"/>
            <w:vAlign w:val="bottom"/>
            <w:tcBorders>
              <w:right w:val="single" w:sz="8" w:color="0066B2"/>
            </w:tcBorders>
            <w:shd w:val="clear" w:color="auto" w:fill="0066B2"/>
          </w:tcPr>
          <w:p>
            <w:pPr>
              <w:spacing w:after="0"/>
              <w:rPr>
                <w:sz w:val="12"/>
                <w:szCs w:val="12"/>
                <w:color w:val="auto"/>
              </w:rPr>
            </w:pPr>
          </w:p>
        </w:tc>
        <w:tc>
          <w:tcPr>
            <w:tcW w:w="1600" w:type="dxa"/>
            <w:vAlign w:val="bottom"/>
            <w:tcBorders>
              <w:right w:val="single" w:sz="8" w:color="0066B2"/>
            </w:tcBorders>
            <w:shd w:val="clear" w:color="auto" w:fill="0066B2"/>
          </w:tcPr>
          <w:p>
            <w:pPr>
              <w:spacing w:after="0"/>
              <w:rPr>
                <w:sz w:val="12"/>
                <w:szCs w:val="12"/>
                <w:color w:val="auto"/>
              </w:rPr>
            </w:pPr>
          </w:p>
        </w:tc>
        <w:tc>
          <w:tcPr>
            <w:tcW w:w="1200" w:type="dxa"/>
            <w:vAlign w:val="bottom"/>
            <w:tcBorders>
              <w:right w:val="single" w:sz="8" w:color="0066B2"/>
            </w:tcBorders>
            <w:shd w:val="clear" w:color="auto" w:fill="0066B2"/>
          </w:tcPr>
          <w:p>
            <w:pPr>
              <w:spacing w:after="0"/>
              <w:rPr>
                <w:sz w:val="12"/>
                <w:szCs w:val="12"/>
                <w:color w:val="auto"/>
              </w:rPr>
            </w:pPr>
          </w:p>
        </w:tc>
        <w:tc>
          <w:tcPr>
            <w:tcW w:w="2400" w:type="dxa"/>
            <w:vAlign w:val="bottom"/>
            <w:shd w:val="clear" w:color="auto" w:fill="0066B2"/>
          </w:tcPr>
          <w:p>
            <w:pPr>
              <w:ind w:left="940"/>
              <w:spacing w:after="0" w:line="135" w:lineRule="exact"/>
              <w:rPr>
                <w:sz w:val="20"/>
                <w:szCs w:val="20"/>
                <w:color w:val="auto"/>
              </w:rPr>
            </w:pPr>
            <w:r>
              <w:rPr>
                <w:rFonts w:ascii="Arial" w:cs="Arial" w:eastAsia="Arial" w:hAnsi="Arial"/>
                <w:sz w:val="13"/>
                <w:szCs w:val="13"/>
                <w:b w:val="1"/>
                <w:bCs w:val="1"/>
                <w:color w:val="FFFFFF"/>
              </w:rPr>
              <w:t>highlights</w:t>
            </w:r>
          </w:p>
        </w:tc>
        <w:tc>
          <w:tcPr>
            <w:tcW w:w="60" w:type="dxa"/>
            <w:vAlign w:val="bottom"/>
            <w:tcBorders>
              <w:right w:val="single" w:sz="8" w:color="0066B2"/>
            </w:tcBorders>
            <w:shd w:val="clear" w:color="auto" w:fill="0066B2"/>
          </w:tcPr>
          <w:p>
            <w:pPr>
              <w:spacing w:after="0"/>
              <w:rPr>
                <w:sz w:val="12"/>
                <w:szCs w:val="12"/>
                <w:color w:val="auto"/>
              </w:rPr>
            </w:pPr>
          </w:p>
        </w:tc>
        <w:tc>
          <w:tcPr>
            <w:tcW w:w="980" w:type="dxa"/>
            <w:vAlign w:val="bottom"/>
            <w:tcBorders>
              <w:right w:val="single" w:sz="8" w:color="0066B2"/>
            </w:tcBorders>
            <w:shd w:val="clear" w:color="auto" w:fill="0066B2"/>
          </w:tcPr>
          <w:p>
            <w:pPr>
              <w:spacing w:after="0"/>
              <w:rPr>
                <w:sz w:val="12"/>
                <w:szCs w:val="12"/>
                <w:color w:val="auto"/>
              </w:rPr>
            </w:pPr>
          </w:p>
        </w:tc>
        <w:tc>
          <w:tcPr>
            <w:tcW w:w="1300" w:type="dxa"/>
            <w:vAlign w:val="bottom"/>
            <w:tcBorders>
              <w:right w:val="single" w:sz="8" w:color="0066B2"/>
            </w:tcBorders>
            <w:shd w:val="clear" w:color="auto" w:fill="0066B2"/>
          </w:tcPr>
          <w:p>
            <w:pPr>
              <w:jc w:val="right"/>
              <w:ind w:right="237"/>
              <w:spacing w:after="0" w:line="135" w:lineRule="exact"/>
              <w:rPr>
                <w:sz w:val="20"/>
                <w:szCs w:val="20"/>
                <w:color w:val="auto"/>
              </w:rPr>
            </w:pPr>
            <w:r>
              <w:rPr>
                <w:rFonts w:ascii="Arial" w:cs="Arial" w:eastAsia="Arial" w:hAnsi="Arial"/>
                <w:sz w:val="13"/>
                <w:szCs w:val="13"/>
                <w:b w:val="1"/>
                <w:bCs w:val="1"/>
                <w:color w:val="FFFFFF"/>
              </w:rPr>
              <w:t>(0.00 - 2.00)</w:t>
            </w:r>
          </w:p>
        </w:tc>
        <w:tc>
          <w:tcPr>
            <w:tcW w:w="1220" w:type="dxa"/>
            <w:vAlign w:val="bottom"/>
            <w:tcBorders>
              <w:right w:val="single" w:sz="8" w:color="7F7F7F"/>
            </w:tcBorders>
            <w:gridSpan w:val="2"/>
            <w:shd w:val="clear" w:color="auto" w:fill="0066B2"/>
          </w:tcPr>
          <w:p>
            <w:pPr>
              <w:jc w:val="center"/>
              <w:spacing w:after="0" w:line="135" w:lineRule="exact"/>
              <w:rPr>
                <w:sz w:val="20"/>
                <w:szCs w:val="20"/>
                <w:color w:val="auto"/>
              </w:rPr>
            </w:pPr>
            <w:r>
              <w:rPr>
                <w:rFonts w:ascii="Arial" w:cs="Arial" w:eastAsia="Arial" w:hAnsi="Arial"/>
                <w:sz w:val="13"/>
                <w:szCs w:val="13"/>
                <w:b w:val="1"/>
                <w:bCs w:val="1"/>
                <w:color w:val="FFFFFF"/>
                <w:w w:val="97"/>
              </w:rPr>
              <w:t>score</w:t>
            </w:r>
          </w:p>
        </w:tc>
        <w:tc>
          <w:tcPr>
            <w:tcW w:w="0" w:type="dxa"/>
            <w:vAlign w:val="bottom"/>
          </w:tcPr>
          <w:p>
            <w:pPr>
              <w:spacing w:after="0"/>
              <w:rPr>
                <w:sz w:val="1"/>
                <w:szCs w:val="1"/>
                <w:color w:val="auto"/>
              </w:rPr>
            </w:pPr>
          </w:p>
        </w:tc>
      </w:tr>
      <w:tr>
        <w:trPr>
          <w:trHeight w:val="158"/>
        </w:trPr>
        <w:tc>
          <w:tcPr>
            <w:tcW w:w="1440" w:type="dxa"/>
            <w:vAlign w:val="bottom"/>
            <w:tcBorders>
              <w:left w:val="single" w:sz="8" w:color="7F7F7F"/>
              <w:right w:val="single" w:sz="8" w:color="7F7F7F"/>
            </w:tcBorders>
          </w:tcPr>
          <w:p>
            <w:pPr>
              <w:spacing w:after="0"/>
              <w:rPr>
                <w:sz w:val="13"/>
                <w:szCs w:val="13"/>
                <w:color w:val="auto"/>
              </w:rPr>
            </w:pPr>
          </w:p>
        </w:tc>
        <w:tc>
          <w:tcPr>
            <w:tcW w:w="760" w:type="dxa"/>
            <w:vAlign w:val="bottom"/>
            <w:tcBorders>
              <w:right w:val="single" w:sz="8" w:color="7F7F7F"/>
            </w:tcBorders>
          </w:tcPr>
          <w:p>
            <w:pPr>
              <w:spacing w:after="0"/>
              <w:rPr>
                <w:sz w:val="13"/>
                <w:szCs w:val="13"/>
                <w:color w:val="auto"/>
              </w:rPr>
            </w:pPr>
          </w:p>
        </w:tc>
        <w:tc>
          <w:tcPr>
            <w:tcW w:w="1600" w:type="dxa"/>
            <w:vAlign w:val="bottom"/>
            <w:tcBorders>
              <w:right w:val="single" w:sz="8" w:color="7F7F7F"/>
            </w:tcBorders>
          </w:tcPr>
          <w:p>
            <w:pPr>
              <w:spacing w:after="0"/>
              <w:rPr>
                <w:sz w:val="13"/>
                <w:szCs w:val="13"/>
                <w:color w:val="auto"/>
              </w:rPr>
            </w:pPr>
          </w:p>
        </w:tc>
        <w:tc>
          <w:tcPr>
            <w:tcW w:w="1200" w:type="dxa"/>
            <w:vAlign w:val="bottom"/>
            <w:tcBorders>
              <w:right w:val="single" w:sz="8" w:color="7F7F7F"/>
            </w:tcBorders>
          </w:tcPr>
          <w:p>
            <w:pPr>
              <w:spacing w:after="0"/>
              <w:rPr>
                <w:sz w:val="13"/>
                <w:szCs w:val="13"/>
                <w:color w:val="auto"/>
              </w:rPr>
            </w:pPr>
          </w:p>
        </w:tc>
        <w:tc>
          <w:tcPr>
            <w:tcW w:w="2400" w:type="dxa"/>
            <w:vAlign w:val="bottom"/>
          </w:tcPr>
          <w:p>
            <w:pPr>
              <w:ind w:left="40"/>
              <w:spacing w:after="0"/>
              <w:rPr>
                <w:sz w:val="20"/>
                <w:szCs w:val="20"/>
                <w:color w:val="auto"/>
              </w:rPr>
            </w:pPr>
            <w:r>
              <w:rPr>
                <w:rFonts w:ascii="Arial" w:cs="Arial" w:eastAsia="Arial" w:hAnsi="Arial"/>
                <w:sz w:val="13"/>
                <w:szCs w:val="13"/>
                <w:color w:val="auto"/>
                <w:w w:val="97"/>
              </w:rPr>
              <w:t>$15.6 B, significantly above Plan primarily</w:t>
            </w:r>
          </w:p>
        </w:tc>
        <w:tc>
          <w:tcPr>
            <w:tcW w:w="60" w:type="dxa"/>
            <w:vAlign w:val="bottom"/>
            <w:tcBorders>
              <w:right w:val="single" w:sz="8" w:color="7F7F7F"/>
            </w:tcBorders>
          </w:tcPr>
          <w:p>
            <w:pPr>
              <w:spacing w:after="0"/>
              <w:rPr>
                <w:sz w:val="13"/>
                <w:szCs w:val="13"/>
                <w:color w:val="auto"/>
              </w:rPr>
            </w:pPr>
          </w:p>
        </w:tc>
        <w:tc>
          <w:tcPr>
            <w:tcW w:w="980" w:type="dxa"/>
            <w:vAlign w:val="bottom"/>
            <w:tcBorders>
              <w:right w:val="single" w:sz="8" w:color="7F7F7F"/>
            </w:tcBorders>
          </w:tcPr>
          <w:p>
            <w:pPr>
              <w:spacing w:after="0"/>
              <w:rPr>
                <w:sz w:val="13"/>
                <w:szCs w:val="13"/>
                <w:color w:val="auto"/>
              </w:rPr>
            </w:pPr>
          </w:p>
        </w:tc>
        <w:tc>
          <w:tcPr>
            <w:tcW w:w="1300" w:type="dxa"/>
            <w:vAlign w:val="bottom"/>
            <w:tcBorders>
              <w:right w:val="single" w:sz="8" w:color="7F7F7F"/>
            </w:tcBorders>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Borders>
              <w:right w:val="single" w:sz="8" w:color="7F7F7F"/>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40" w:type="dxa"/>
            <w:vAlign w:val="bottom"/>
            <w:tcBorders>
              <w:left w:val="single" w:sz="8" w:color="7F7F7F"/>
              <w:right w:val="single" w:sz="8" w:color="7F7F7F"/>
            </w:tcBorders>
          </w:tcPr>
          <w:p>
            <w:pPr>
              <w:spacing w:after="0"/>
              <w:rPr>
                <w:sz w:val="11"/>
                <w:szCs w:val="11"/>
                <w:color w:val="auto"/>
              </w:rPr>
            </w:pPr>
          </w:p>
        </w:tc>
        <w:tc>
          <w:tcPr>
            <w:tcW w:w="760" w:type="dxa"/>
            <w:vAlign w:val="bottom"/>
            <w:tcBorders>
              <w:right w:val="single" w:sz="8" w:color="7F7F7F"/>
            </w:tcBorders>
          </w:tcPr>
          <w:p>
            <w:pPr>
              <w:spacing w:after="0"/>
              <w:rPr>
                <w:sz w:val="11"/>
                <w:szCs w:val="11"/>
                <w:color w:val="auto"/>
              </w:rPr>
            </w:pPr>
          </w:p>
        </w:tc>
        <w:tc>
          <w:tcPr>
            <w:tcW w:w="1600" w:type="dxa"/>
            <w:vAlign w:val="bottom"/>
            <w:tcBorders>
              <w:right w:val="single" w:sz="8" w:color="7F7F7F"/>
            </w:tcBorders>
          </w:tcPr>
          <w:p>
            <w:pPr>
              <w:spacing w:after="0"/>
              <w:rPr>
                <w:sz w:val="11"/>
                <w:szCs w:val="11"/>
                <w:color w:val="auto"/>
              </w:rPr>
            </w:pPr>
          </w:p>
        </w:tc>
        <w:tc>
          <w:tcPr>
            <w:tcW w:w="1200" w:type="dxa"/>
            <w:vAlign w:val="bottom"/>
            <w:tcBorders>
              <w:right w:val="single" w:sz="8" w:color="7F7F7F"/>
            </w:tcBorders>
          </w:tcPr>
          <w:p>
            <w:pPr>
              <w:spacing w:after="0"/>
              <w:rPr>
                <w:sz w:val="11"/>
                <w:szCs w:val="11"/>
                <w:color w:val="auto"/>
              </w:rPr>
            </w:pPr>
          </w:p>
        </w:tc>
        <w:tc>
          <w:tcPr>
            <w:tcW w:w="2400" w:type="dxa"/>
            <w:vAlign w:val="bottom"/>
          </w:tcPr>
          <w:p>
            <w:pPr>
              <w:ind w:left="40"/>
              <w:spacing w:after="0" w:line="135" w:lineRule="exact"/>
              <w:rPr>
                <w:sz w:val="20"/>
                <w:szCs w:val="20"/>
                <w:color w:val="auto"/>
              </w:rPr>
            </w:pPr>
            <w:r>
              <w:rPr>
                <w:rFonts w:ascii="Arial" w:cs="Arial" w:eastAsia="Arial" w:hAnsi="Arial"/>
                <w:sz w:val="13"/>
                <w:szCs w:val="13"/>
                <w:color w:val="auto"/>
              </w:rPr>
              <w:t>due to recovering global economic</w:t>
            </w:r>
          </w:p>
        </w:tc>
        <w:tc>
          <w:tcPr>
            <w:tcW w:w="60" w:type="dxa"/>
            <w:vAlign w:val="bottom"/>
            <w:tcBorders>
              <w:right w:val="single" w:sz="8" w:color="7F7F7F"/>
            </w:tcBorders>
          </w:tcPr>
          <w:p>
            <w:pPr>
              <w:spacing w:after="0"/>
              <w:rPr>
                <w:sz w:val="11"/>
                <w:szCs w:val="11"/>
                <w:color w:val="auto"/>
              </w:rPr>
            </w:pPr>
          </w:p>
        </w:tc>
        <w:tc>
          <w:tcPr>
            <w:tcW w:w="980" w:type="dxa"/>
            <w:vAlign w:val="bottom"/>
            <w:tcBorders>
              <w:right w:val="single" w:sz="8" w:color="7F7F7F"/>
            </w:tcBorders>
          </w:tcPr>
          <w:p>
            <w:pPr>
              <w:spacing w:after="0"/>
              <w:rPr>
                <w:sz w:val="11"/>
                <w:szCs w:val="11"/>
                <w:color w:val="auto"/>
              </w:rPr>
            </w:pPr>
          </w:p>
        </w:tc>
        <w:tc>
          <w:tcPr>
            <w:tcW w:w="1300" w:type="dxa"/>
            <w:vAlign w:val="bottom"/>
            <w:tcBorders>
              <w:right w:val="single" w:sz="8" w:color="7F7F7F"/>
            </w:tcBorders>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Borders>
              <w:right w:val="single" w:sz="8" w:color="7F7F7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Borders>
              <w:left w:val="single" w:sz="8" w:color="7F7F7F"/>
              <w:right w:val="single" w:sz="8" w:color="7F7F7F"/>
            </w:tcBorders>
          </w:tcPr>
          <w:p>
            <w:pPr>
              <w:spacing w:after="0"/>
              <w:rPr>
                <w:sz w:val="11"/>
                <w:szCs w:val="11"/>
                <w:color w:val="auto"/>
              </w:rPr>
            </w:pPr>
          </w:p>
        </w:tc>
        <w:tc>
          <w:tcPr>
            <w:tcW w:w="760" w:type="dxa"/>
            <w:vAlign w:val="bottom"/>
            <w:tcBorders>
              <w:right w:val="single" w:sz="8" w:color="7F7F7F"/>
            </w:tcBorders>
          </w:tcPr>
          <w:p>
            <w:pPr>
              <w:spacing w:after="0"/>
              <w:rPr>
                <w:sz w:val="11"/>
                <w:szCs w:val="11"/>
                <w:color w:val="auto"/>
              </w:rPr>
            </w:pPr>
          </w:p>
        </w:tc>
        <w:tc>
          <w:tcPr>
            <w:tcW w:w="1600" w:type="dxa"/>
            <w:vAlign w:val="bottom"/>
            <w:tcBorders>
              <w:right w:val="single" w:sz="8" w:color="7F7F7F"/>
            </w:tcBorders>
          </w:tcPr>
          <w:p>
            <w:pPr>
              <w:ind w:left="40"/>
              <w:spacing w:after="0" w:line="135" w:lineRule="exact"/>
              <w:rPr>
                <w:sz w:val="20"/>
                <w:szCs w:val="20"/>
                <w:color w:val="auto"/>
              </w:rPr>
            </w:pPr>
            <w:r>
              <w:rPr>
                <w:rFonts w:ascii="Arial" w:cs="Arial" w:eastAsia="Arial" w:hAnsi="Arial"/>
                <w:sz w:val="13"/>
                <w:szCs w:val="13"/>
                <w:color w:val="auto"/>
              </w:rPr>
              <w:t>Earnings</w:t>
            </w:r>
          </w:p>
        </w:tc>
        <w:tc>
          <w:tcPr>
            <w:tcW w:w="1200" w:type="dxa"/>
            <w:vAlign w:val="bottom"/>
            <w:tcBorders>
              <w:right w:val="single" w:sz="8" w:color="7F7F7F"/>
            </w:tcBorders>
          </w:tcPr>
          <w:p>
            <w:pPr>
              <w:jc w:val="center"/>
              <w:spacing w:after="0" w:line="135" w:lineRule="exact"/>
              <w:rPr>
                <w:sz w:val="20"/>
                <w:szCs w:val="20"/>
                <w:color w:val="auto"/>
              </w:rPr>
            </w:pPr>
            <w:r>
              <w:rPr>
                <w:rFonts w:ascii="Arial" w:cs="Arial" w:eastAsia="Arial" w:hAnsi="Arial"/>
                <w:sz w:val="13"/>
                <w:szCs w:val="13"/>
                <w:color w:val="auto"/>
                <w:w w:val="98"/>
              </w:rPr>
              <w:t>$(0.5)B</w:t>
            </w:r>
          </w:p>
        </w:tc>
        <w:tc>
          <w:tcPr>
            <w:tcW w:w="2400" w:type="dxa"/>
            <w:vAlign w:val="bottom"/>
          </w:tcPr>
          <w:p>
            <w:pPr>
              <w:ind w:left="40"/>
              <w:spacing w:after="0" w:line="135" w:lineRule="exact"/>
              <w:rPr>
                <w:sz w:val="20"/>
                <w:szCs w:val="20"/>
                <w:color w:val="auto"/>
              </w:rPr>
            </w:pPr>
            <w:r>
              <w:rPr>
                <w:rFonts w:ascii="Arial" w:cs="Arial" w:eastAsia="Arial" w:hAnsi="Arial"/>
                <w:sz w:val="13"/>
                <w:szCs w:val="13"/>
                <w:color w:val="auto"/>
                <w:w w:val="99"/>
              </w:rPr>
              <w:t>conditions. Normalized</w:t>
            </w:r>
            <w:r>
              <w:rPr>
                <w:rFonts w:ascii="Arial" w:cs="Arial" w:eastAsia="Arial" w:hAnsi="Arial"/>
                <w:sz w:val="10"/>
                <w:szCs w:val="10"/>
                <w:color w:val="auto"/>
                <w:w w:val="99"/>
              </w:rPr>
              <w:t>(3)</w:t>
            </w:r>
            <w:r>
              <w:rPr>
                <w:rFonts w:ascii="Arial" w:cs="Arial" w:eastAsia="Arial" w:hAnsi="Arial"/>
                <w:sz w:val="13"/>
                <w:szCs w:val="13"/>
                <w:color w:val="auto"/>
                <w:w w:val="99"/>
              </w:rPr>
              <w:t xml:space="preserve"> earnings above</w:t>
            </w:r>
          </w:p>
        </w:tc>
        <w:tc>
          <w:tcPr>
            <w:tcW w:w="60" w:type="dxa"/>
            <w:vAlign w:val="bottom"/>
            <w:tcBorders>
              <w:right w:val="single" w:sz="8" w:color="7F7F7F"/>
            </w:tcBorders>
          </w:tcPr>
          <w:p>
            <w:pPr>
              <w:spacing w:after="0"/>
              <w:rPr>
                <w:sz w:val="11"/>
                <w:szCs w:val="11"/>
                <w:color w:val="auto"/>
              </w:rPr>
            </w:pPr>
          </w:p>
        </w:tc>
        <w:tc>
          <w:tcPr>
            <w:tcW w:w="980" w:type="dxa"/>
            <w:vAlign w:val="bottom"/>
            <w:tcBorders>
              <w:right w:val="single" w:sz="8" w:color="7F7F7F"/>
            </w:tcBorders>
          </w:tcPr>
          <w:p>
            <w:pPr>
              <w:spacing w:after="0"/>
              <w:rPr>
                <w:sz w:val="11"/>
                <w:szCs w:val="11"/>
                <w:color w:val="auto"/>
              </w:rPr>
            </w:pPr>
          </w:p>
        </w:tc>
        <w:tc>
          <w:tcPr>
            <w:tcW w:w="1300" w:type="dxa"/>
            <w:vAlign w:val="bottom"/>
            <w:tcBorders>
              <w:right w:val="single" w:sz="8" w:color="7F7F7F"/>
            </w:tcBorders>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Borders>
              <w:right w:val="single" w:sz="8" w:color="7F7F7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Borders>
              <w:left w:val="single" w:sz="8" w:color="7F7F7F"/>
              <w:right w:val="single" w:sz="8" w:color="7F7F7F"/>
            </w:tcBorders>
          </w:tcPr>
          <w:p>
            <w:pPr>
              <w:spacing w:after="0"/>
              <w:rPr>
                <w:sz w:val="11"/>
                <w:szCs w:val="11"/>
                <w:color w:val="auto"/>
              </w:rPr>
            </w:pPr>
          </w:p>
        </w:tc>
        <w:tc>
          <w:tcPr>
            <w:tcW w:w="760" w:type="dxa"/>
            <w:vAlign w:val="bottom"/>
            <w:tcBorders>
              <w:right w:val="single" w:sz="8" w:color="7F7F7F"/>
            </w:tcBorders>
          </w:tcPr>
          <w:p>
            <w:pPr>
              <w:spacing w:after="0"/>
              <w:rPr>
                <w:sz w:val="11"/>
                <w:szCs w:val="11"/>
                <w:color w:val="auto"/>
              </w:rPr>
            </w:pPr>
          </w:p>
        </w:tc>
        <w:tc>
          <w:tcPr>
            <w:tcW w:w="1600" w:type="dxa"/>
            <w:vAlign w:val="bottom"/>
            <w:tcBorders>
              <w:right w:val="single" w:sz="8" w:color="7F7F7F"/>
            </w:tcBorders>
          </w:tcPr>
          <w:p>
            <w:pPr>
              <w:spacing w:after="0"/>
              <w:rPr>
                <w:sz w:val="11"/>
                <w:szCs w:val="11"/>
                <w:color w:val="auto"/>
              </w:rPr>
            </w:pPr>
          </w:p>
        </w:tc>
        <w:tc>
          <w:tcPr>
            <w:tcW w:w="1200" w:type="dxa"/>
            <w:vAlign w:val="bottom"/>
            <w:tcBorders>
              <w:right w:val="single" w:sz="8" w:color="7F7F7F"/>
            </w:tcBorders>
          </w:tcPr>
          <w:p>
            <w:pPr>
              <w:spacing w:after="0"/>
              <w:rPr>
                <w:sz w:val="11"/>
                <w:szCs w:val="11"/>
                <w:color w:val="auto"/>
              </w:rPr>
            </w:pPr>
          </w:p>
        </w:tc>
        <w:tc>
          <w:tcPr>
            <w:tcW w:w="2400" w:type="dxa"/>
            <w:vAlign w:val="bottom"/>
          </w:tcPr>
          <w:p>
            <w:pPr>
              <w:ind w:left="40"/>
              <w:spacing w:after="0" w:line="135" w:lineRule="exact"/>
              <w:rPr>
                <w:sz w:val="20"/>
                <w:szCs w:val="20"/>
                <w:color w:val="auto"/>
              </w:rPr>
            </w:pPr>
            <w:r>
              <w:rPr>
                <w:rFonts w:ascii="Arial" w:cs="Arial" w:eastAsia="Arial" w:hAnsi="Arial"/>
                <w:sz w:val="13"/>
                <w:szCs w:val="13"/>
                <w:color w:val="auto"/>
              </w:rPr>
              <w:t>Plan. 5-yr EPS performance ranked 1st</w:t>
            </w:r>
          </w:p>
        </w:tc>
        <w:tc>
          <w:tcPr>
            <w:tcW w:w="60" w:type="dxa"/>
            <w:vAlign w:val="bottom"/>
            <w:tcBorders>
              <w:right w:val="single" w:sz="8" w:color="7F7F7F"/>
            </w:tcBorders>
          </w:tcPr>
          <w:p>
            <w:pPr>
              <w:spacing w:after="0"/>
              <w:rPr>
                <w:sz w:val="11"/>
                <w:szCs w:val="11"/>
                <w:color w:val="auto"/>
              </w:rPr>
            </w:pPr>
          </w:p>
        </w:tc>
        <w:tc>
          <w:tcPr>
            <w:tcW w:w="980" w:type="dxa"/>
            <w:vAlign w:val="bottom"/>
            <w:tcBorders>
              <w:right w:val="single" w:sz="8" w:color="7F7F7F"/>
            </w:tcBorders>
          </w:tcPr>
          <w:p>
            <w:pPr>
              <w:spacing w:after="0"/>
              <w:rPr>
                <w:sz w:val="11"/>
                <w:szCs w:val="11"/>
                <w:color w:val="auto"/>
              </w:rPr>
            </w:pPr>
          </w:p>
        </w:tc>
        <w:tc>
          <w:tcPr>
            <w:tcW w:w="1300" w:type="dxa"/>
            <w:vAlign w:val="bottom"/>
            <w:tcBorders>
              <w:right w:val="single" w:sz="8" w:color="7F7F7F"/>
            </w:tcBorders>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Borders>
              <w:right w:val="single" w:sz="8" w:color="7F7F7F"/>
            </w:tcBorders>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440" w:type="dxa"/>
            <w:vAlign w:val="bottom"/>
            <w:tcBorders>
              <w:left w:val="single" w:sz="8" w:color="7F7F7F"/>
              <w:right w:val="single" w:sz="8" w:color="7F7F7F"/>
            </w:tcBorders>
          </w:tcPr>
          <w:p>
            <w:pPr>
              <w:spacing w:after="0"/>
              <w:rPr>
                <w:sz w:val="14"/>
                <w:szCs w:val="14"/>
                <w:color w:val="auto"/>
              </w:rPr>
            </w:pPr>
          </w:p>
        </w:tc>
        <w:tc>
          <w:tcPr>
            <w:tcW w:w="760" w:type="dxa"/>
            <w:vAlign w:val="bottom"/>
            <w:tcBorders>
              <w:right w:val="single" w:sz="8" w:color="7F7F7F"/>
            </w:tcBorders>
          </w:tcPr>
          <w:p>
            <w:pPr>
              <w:spacing w:after="0"/>
              <w:rPr>
                <w:sz w:val="14"/>
                <w:szCs w:val="14"/>
                <w:color w:val="auto"/>
              </w:rPr>
            </w:pPr>
          </w:p>
        </w:tc>
        <w:tc>
          <w:tcPr>
            <w:tcW w:w="1600" w:type="dxa"/>
            <w:vAlign w:val="bottom"/>
            <w:tcBorders>
              <w:right w:val="single" w:sz="8" w:color="7F7F7F"/>
            </w:tcBorders>
          </w:tcPr>
          <w:p>
            <w:pPr>
              <w:spacing w:after="0"/>
              <w:rPr>
                <w:sz w:val="14"/>
                <w:szCs w:val="14"/>
                <w:color w:val="auto"/>
              </w:rPr>
            </w:pPr>
          </w:p>
        </w:tc>
        <w:tc>
          <w:tcPr>
            <w:tcW w:w="1200" w:type="dxa"/>
            <w:vAlign w:val="bottom"/>
            <w:tcBorders>
              <w:right w:val="single" w:sz="8" w:color="7F7F7F"/>
            </w:tcBorders>
          </w:tcPr>
          <w:p>
            <w:pPr>
              <w:spacing w:after="0"/>
              <w:rPr>
                <w:sz w:val="14"/>
                <w:szCs w:val="14"/>
                <w:color w:val="auto"/>
              </w:rPr>
            </w:pPr>
          </w:p>
        </w:tc>
        <w:tc>
          <w:tcPr>
            <w:tcW w:w="2400" w:type="dxa"/>
            <w:vAlign w:val="bottom"/>
          </w:tcPr>
          <w:p>
            <w:pPr>
              <w:ind w:left="40"/>
              <w:spacing w:after="0"/>
              <w:rPr>
                <w:sz w:val="20"/>
                <w:szCs w:val="20"/>
                <w:color w:val="auto"/>
              </w:rPr>
            </w:pPr>
            <w:r>
              <w:rPr>
                <w:rFonts w:ascii="Arial" w:cs="Arial" w:eastAsia="Arial" w:hAnsi="Arial"/>
                <w:sz w:val="13"/>
                <w:szCs w:val="13"/>
                <w:color w:val="auto"/>
              </w:rPr>
              <w:t>among LTIP peers.</w:t>
            </w:r>
          </w:p>
        </w:tc>
        <w:tc>
          <w:tcPr>
            <w:tcW w:w="60" w:type="dxa"/>
            <w:vAlign w:val="bottom"/>
            <w:tcBorders>
              <w:right w:val="single" w:sz="8" w:color="7F7F7F"/>
            </w:tcBorders>
          </w:tcPr>
          <w:p>
            <w:pPr>
              <w:spacing w:after="0"/>
              <w:rPr>
                <w:sz w:val="14"/>
                <w:szCs w:val="14"/>
                <w:color w:val="auto"/>
              </w:rPr>
            </w:pPr>
          </w:p>
        </w:tc>
        <w:tc>
          <w:tcPr>
            <w:tcW w:w="980" w:type="dxa"/>
            <w:vAlign w:val="bottom"/>
            <w:tcBorders>
              <w:right w:val="single" w:sz="8" w:color="7F7F7F"/>
            </w:tcBorders>
          </w:tcPr>
          <w:p>
            <w:pPr>
              <w:spacing w:after="0"/>
              <w:rPr>
                <w:sz w:val="14"/>
                <w:szCs w:val="14"/>
                <w:color w:val="auto"/>
              </w:rPr>
            </w:pPr>
          </w:p>
        </w:tc>
        <w:tc>
          <w:tcPr>
            <w:tcW w:w="1300" w:type="dxa"/>
            <w:vAlign w:val="bottom"/>
            <w:tcBorders>
              <w:right w:val="single" w:sz="8" w:color="7F7F7F"/>
            </w:tcBorders>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Borders>
              <w:right w:val="single" w:sz="8" w:color="7F7F7F"/>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7F7F7F"/>
              <w:right w:val="single" w:sz="8" w:color="7F7F7F"/>
            </w:tcBorders>
          </w:tcPr>
          <w:p>
            <w:pPr>
              <w:spacing w:after="0"/>
              <w:rPr>
                <w:sz w:val="4"/>
                <w:szCs w:val="4"/>
                <w:color w:val="auto"/>
              </w:rPr>
            </w:pPr>
          </w:p>
        </w:tc>
        <w:tc>
          <w:tcPr>
            <w:tcW w:w="760" w:type="dxa"/>
            <w:vAlign w:val="bottom"/>
            <w:tcBorders>
              <w:right w:val="single" w:sz="8" w:color="7F7F7F"/>
            </w:tcBorders>
          </w:tcPr>
          <w:p>
            <w:pPr>
              <w:spacing w:after="0"/>
              <w:rPr>
                <w:sz w:val="4"/>
                <w:szCs w:val="4"/>
                <w:color w:val="auto"/>
              </w:rPr>
            </w:pPr>
          </w:p>
        </w:tc>
        <w:tc>
          <w:tcPr>
            <w:tcW w:w="1600" w:type="dxa"/>
            <w:vAlign w:val="bottom"/>
            <w:tcBorders>
              <w:bottom w:val="single" w:sz="8" w:color="7F7F7F"/>
              <w:right w:val="single" w:sz="8" w:color="7F7F7F"/>
            </w:tcBorders>
          </w:tcPr>
          <w:p>
            <w:pPr>
              <w:spacing w:after="0"/>
              <w:rPr>
                <w:sz w:val="4"/>
                <w:szCs w:val="4"/>
                <w:color w:val="auto"/>
              </w:rPr>
            </w:pPr>
          </w:p>
        </w:tc>
        <w:tc>
          <w:tcPr>
            <w:tcW w:w="1200" w:type="dxa"/>
            <w:vAlign w:val="bottom"/>
            <w:tcBorders>
              <w:bottom w:val="single" w:sz="8" w:color="7F7F7F"/>
              <w:right w:val="single" w:sz="8" w:color="7F7F7F"/>
            </w:tcBorders>
          </w:tcPr>
          <w:p>
            <w:pPr>
              <w:spacing w:after="0"/>
              <w:rPr>
                <w:sz w:val="4"/>
                <w:szCs w:val="4"/>
                <w:color w:val="auto"/>
              </w:rPr>
            </w:pPr>
          </w:p>
        </w:tc>
        <w:tc>
          <w:tcPr>
            <w:tcW w:w="2400" w:type="dxa"/>
            <w:vAlign w:val="bottom"/>
            <w:tcBorders>
              <w:bottom w:val="single" w:sz="8" w:color="7F7F7F"/>
            </w:tcBorders>
          </w:tcPr>
          <w:p>
            <w:pPr>
              <w:spacing w:after="0"/>
              <w:rPr>
                <w:sz w:val="4"/>
                <w:szCs w:val="4"/>
                <w:color w:val="auto"/>
              </w:rPr>
            </w:pPr>
          </w:p>
        </w:tc>
        <w:tc>
          <w:tcPr>
            <w:tcW w:w="60" w:type="dxa"/>
            <w:vAlign w:val="bottom"/>
            <w:tcBorders>
              <w:bottom w:val="single" w:sz="8" w:color="7F7F7F"/>
              <w:right w:val="single" w:sz="8" w:color="7F7F7F"/>
            </w:tcBorders>
          </w:tcPr>
          <w:p>
            <w:pPr>
              <w:spacing w:after="0"/>
              <w:rPr>
                <w:sz w:val="4"/>
                <w:szCs w:val="4"/>
                <w:color w:val="auto"/>
              </w:rPr>
            </w:pPr>
          </w:p>
        </w:tc>
        <w:tc>
          <w:tcPr>
            <w:tcW w:w="980" w:type="dxa"/>
            <w:vAlign w:val="bottom"/>
            <w:tcBorders>
              <w:bottom w:val="single" w:sz="8" w:color="7F7F7F"/>
              <w:right w:val="single" w:sz="8" w:color="7F7F7F"/>
            </w:tcBorders>
          </w:tcPr>
          <w:p>
            <w:pPr>
              <w:spacing w:after="0"/>
              <w:rPr>
                <w:sz w:val="4"/>
                <w:szCs w:val="4"/>
                <w:color w:val="auto"/>
              </w:rPr>
            </w:pPr>
          </w:p>
        </w:tc>
        <w:tc>
          <w:tcPr>
            <w:tcW w:w="1300" w:type="dxa"/>
            <w:vAlign w:val="bottom"/>
            <w:tcBorders>
              <w:right w:val="single" w:sz="8" w:color="7F7F7F"/>
            </w:tcBorders>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Borders>
              <w:right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440" w:type="dxa"/>
            <w:vAlign w:val="bottom"/>
            <w:tcBorders>
              <w:left w:val="single" w:sz="8" w:color="7F7F7F"/>
              <w:right w:val="single" w:sz="8" w:color="7F7F7F"/>
            </w:tcBorders>
          </w:tcPr>
          <w:p>
            <w:pPr>
              <w:jc w:val="center"/>
              <w:ind w:left="77"/>
              <w:spacing w:after="0"/>
              <w:rPr>
                <w:sz w:val="20"/>
                <w:szCs w:val="20"/>
                <w:color w:val="auto"/>
              </w:rPr>
            </w:pPr>
            <w:r>
              <w:rPr>
                <w:rFonts w:ascii="Arial" w:cs="Arial" w:eastAsia="Arial" w:hAnsi="Arial"/>
                <w:sz w:val="13"/>
                <w:szCs w:val="13"/>
                <w:b w:val="1"/>
                <w:bCs w:val="1"/>
                <w:color w:val="auto"/>
                <w:w w:val="95"/>
              </w:rPr>
              <w:t>Financial</w:t>
            </w:r>
          </w:p>
        </w:tc>
        <w:tc>
          <w:tcPr>
            <w:tcW w:w="760" w:type="dxa"/>
            <w:vAlign w:val="bottom"/>
            <w:tcBorders>
              <w:right w:val="single" w:sz="8" w:color="7F7F7F"/>
            </w:tcBorders>
            <w:vMerge w:val="restart"/>
          </w:tcPr>
          <w:p>
            <w:pPr>
              <w:jc w:val="right"/>
              <w:ind w:right="177"/>
              <w:spacing w:after="0"/>
              <w:rPr>
                <w:sz w:val="20"/>
                <w:szCs w:val="20"/>
                <w:color w:val="auto"/>
              </w:rPr>
            </w:pPr>
            <w:r>
              <w:rPr>
                <w:rFonts w:ascii="Arial" w:cs="Arial" w:eastAsia="Arial" w:hAnsi="Arial"/>
                <w:sz w:val="13"/>
                <w:szCs w:val="13"/>
                <w:color w:val="auto"/>
              </w:rPr>
              <w:t>35%</w:t>
            </w:r>
          </w:p>
        </w:tc>
        <w:tc>
          <w:tcPr>
            <w:tcW w:w="1600" w:type="dxa"/>
            <w:vAlign w:val="bottom"/>
            <w:tcBorders>
              <w:right w:val="single" w:sz="8" w:color="7F7F7F"/>
            </w:tcBorders>
          </w:tcPr>
          <w:p>
            <w:pPr>
              <w:ind w:left="40"/>
              <w:spacing w:after="0"/>
              <w:rPr>
                <w:sz w:val="20"/>
                <w:szCs w:val="20"/>
                <w:color w:val="auto"/>
              </w:rPr>
            </w:pPr>
            <w:r>
              <w:rPr>
                <w:rFonts w:ascii="Arial" w:cs="Arial" w:eastAsia="Arial" w:hAnsi="Arial"/>
                <w:sz w:val="13"/>
                <w:szCs w:val="13"/>
                <w:color w:val="auto"/>
              </w:rPr>
              <w:t xml:space="preserve">CFFO </w:t>
            </w:r>
            <w:r>
              <w:rPr>
                <w:rFonts w:ascii="Arial" w:cs="Arial" w:eastAsia="Arial" w:hAnsi="Arial"/>
                <w:sz w:val="10"/>
                <w:szCs w:val="10"/>
                <w:color w:val="auto"/>
              </w:rPr>
              <w:t>(4)</w:t>
            </w:r>
          </w:p>
        </w:tc>
        <w:tc>
          <w:tcPr>
            <w:tcW w:w="1200" w:type="dxa"/>
            <w:vAlign w:val="bottom"/>
            <w:tcBorders>
              <w:right w:val="single" w:sz="8" w:color="7F7F7F"/>
            </w:tcBorders>
            <w:vMerge w:val="restart"/>
          </w:tcPr>
          <w:p>
            <w:pPr>
              <w:jc w:val="center"/>
              <w:spacing w:after="0"/>
              <w:rPr>
                <w:sz w:val="20"/>
                <w:szCs w:val="20"/>
                <w:color w:val="auto"/>
              </w:rPr>
            </w:pPr>
            <w:r>
              <w:rPr>
                <w:rFonts w:ascii="Arial" w:cs="Arial" w:eastAsia="Arial" w:hAnsi="Arial"/>
                <w:sz w:val="13"/>
                <w:szCs w:val="13"/>
                <w:color w:val="auto"/>
                <w:w w:val="96"/>
              </w:rPr>
              <w:t>$12.3B</w:t>
            </w:r>
          </w:p>
        </w:tc>
        <w:tc>
          <w:tcPr>
            <w:tcW w:w="2400" w:type="dxa"/>
            <w:vAlign w:val="bottom"/>
          </w:tcPr>
          <w:p>
            <w:pPr>
              <w:ind w:left="40"/>
              <w:spacing w:after="0"/>
              <w:rPr>
                <w:sz w:val="20"/>
                <w:szCs w:val="20"/>
                <w:color w:val="auto"/>
              </w:rPr>
            </w:pPr>
            <w:r>
              <w:rPr>
                <w:rFonts w:ascii="Arial" w:cs="Arial" w:eastAsia="Arial" w:hAnsi="Arial"/>
                <w:sz w:val="13"/>
                <w:szCs w:val="13"/>
                <w:color w:val="auto"/>
              </w:rPr>
              <w:t>$29.2 B cash flow from operations and</w:t>
            </w:r>
          </w:p>
        </w:tc>
        <w:tc>
          <w:tcPr>
            <w:tcW w:w="60" w:type="dxa"/>
            <w:vAlign w:val="bottom"/>
            <w:tcBorders>
              <w:right w:val="single" w:sz="8" w:color="7F7F7F"/>
            </w:tcBorders>
          </w:tcPr>
          <w:p>
            <w:pPr>
              <w:spacing w:after="0"/>
              <w:rPr>
                <w:sz w:val="15"/>
                <w:szCs w:val="15"/>
                <w:color w:val="auto"/>
              </w:rPr>
            </w:pPr>
          </w:p>
        </w:tc>
        <w:tc>
          <w:tcPr>
            <w:tcW w:w="980" w:type="dxa"/>
            <w:vAlign w:val="bottom"/>
            <w:tcBorders>
              <w:right w:val="single" w:sz="8" w:color="7F7F7F"/>
            </w:tcBorders>
          </w:tcPr>
          <w:p>
            <w:pPr>
              <w:spacing w:after="0"/>
              <w:rPr>
                <w:sz w:val="15"/>
                <w:szCs w:val="15"/>
                <w:color w:val="auto"/>
              </w:rPr>
            </w:pPr>
          </w:p>
        </w:tc>
        <w:tc>
          <w:tcPr>
            <w:tcW w:w="1300" w:type="dxa"/>
            <w:vAlign w:val="bottom"/>
            <w:tcBorders>
              <w:right w:val="single" w:sz="8" w:color="7F7F7F"/>
            </w:tcBorders>
            <w:vMerge w:val="restart"/>
          </w:tcPr>
          <w:p>
            <w:pPr>
              <w:jc w:val="right"/>
              <w:ind w:right="257"/>
              <w:spacing w:after="0"/>
              <w:rPr>
                <w:sz w:val="20"/>
                <w:szCs w:val="20"/>
                <w:color w:val="auto"/>
              </w:rPr>
            </w:pPr>
            <w:r>
              <w:rPr>
                <w:rFonts w:ascii="Arial" w:cs="Arial" w:eastAsia="Arial" w:hAnsi="Arial"/>
                <w:sz w:val="13"/>
                <w:szCs w:val="13"/>
                <w:b w:val="1"/>
                <w:bCs w:val="1"/>
                <w:color w:val="auto"/>
              </w:rPr>
              <w:t>1.75 - 1.90</w:t>
            </w:r>
          </w:p>
        </w:tc>
        <w:tc>
          <w:tcPr>
            <w:tcW w:w="680" w:type="dxa"/>
            <w:vAlign w:val="bottom"/>
            <w:vMerge w:val="restart"/>
          </w:tcPr>
          <w:p>
            <w:pPr>
              <w:ind w:left="320"/>
              <w:spacing w:after="0"/>
              <w:rPr>
                <w:sz w:val="20"/>
                <w:szCs w:val="20"/>
                <w:color w:val="auto"/>
              </w:rPr>
            </w:pPr>
            <w:r>
              <w:rPr>
                <w:rFonts w:ascii="Arial" w:cs="Arial" w:eastAsia="Arial" w:hAnsi="Arial"/>
                <w:sz w:val="13"/>
                <w:szCs w:val="13"/>
                <w:b w:val="1"/>
                <w:bCs w:val="1"/>
                <w:color w:val="auto"/>
              </w:rPr>
              <w:t>0.61 -</w:t>
            </w:r>
          </w:p>
        </w:tc>
        <w:tc>
          <w:tcPr>
            <w:tcW w:w="540" w:type="dxa"/>
            <w:vAlign w:val="bottom"/>
            <w:tcBorders>
              <w:right w:val="single" w:sz="8" w:color="7F7F7F"/>
            </w:tcBorders>
            <w:vMerge w:val="restart"/>
          </w:tcPr>
          <w:p>
            <w:pPr>
              <w:jc w:val="right"/>
              <w:ind w:right="197"/>
              <w:spacing w:after="0"/>
              <w:rPr>
                <w:sz w:val="20"/>
                <w:szCs w:val="20"/>
                <w:color w:val="auto"/>
              </w:rPr>
            </w:pPr>
            <w:r>
              <w:rPr>
                <w:rFonts w:ascii="Arial" w:cs="Arial" w:eastAsia="Arial" w:hAnsi="Arial"/>
                <w:sz w:val="13"/>
                <w:szCs w:val="13"/>
                <w:b w:val="1"/>
                <w:bCs w:val="1"/>
                <w:color w:val="auto"/>
              </w:rPr>
              <w:t>0.67</w:t>
            </w:r>
          </w:p>
        </w:tc>
        <w:tc>
          <w:tcPr>
            <w:tcW w:w="0" w:type="dxa"/>
            <w:vAlign w:val="bottom"/>
          </w:tcPr>
          <w:p>
            <w:pPr>
              <w:spacing w:after="0"/>
              <w:rPr>
                <w:sz w:val="1"/>
                <w:szCs w:val="1"/>
                <w:color w:val="auto"/>
              </w:rPr>
            </w:pPr>
          </w:p>
        </w:tc>
      </w:tr>
      <w:tr>
        <w:trPr>
          <w:trHeight w:val="135"/>
        </w:trPr>
        <w:tc>
          <w:tcPr>
            <w:tcW w:w="1440" w:type="dxa"/>
            <w:vAlign w:val="bottom"/>
            <w:tcBorders>
              <w:left w:val="single" w:sz="8" w:color="7F7F7F"/>
              <w:right w:val="single" w:sz="8" w:color="7F7F7F"/>
            </w:tcBorders>
          </w:tcPr>
          <w:p>
            <w:pPr>
              <w:jc w:val="center"/>
              <w:ind w:left="77"/>
              <w:spacing w:after="0" w:line="135" w:lineRule="exact"/>
              <w:rPr>
                <w:sz w:val="20"/>
                <w:szCs w:val="20"/>
                <w:color w:val="auto"/>
              </w:rPr>
            </w:pPr>
            <w:r>
              <w:rPr>
                <w:rFonts w:ascii="Arial" w:cs="Arial" w:eastAsia="Arial" w:hAnsi="Arial"/>
                <w:sz w:val="13"/>
                <w:szCs w:val="13"/>
                <w:b w:val="1"/>
                <w:bCs w:val="1"/>
                <w:color w:val="auto"/>
                <w:w w:val="97"/>
              </w:rPr>
              <w:t>Results</w:t>
            </w:r>
          </w:p>
        </w:tc>
        <w:tc>
          <w:tcPr>
            <w:tcW w:w="760" w:type="dxa"/>
            <w:vAlign w:val="bottom"/>
            <w:tcBorders>
              <w:right w:val="single" w:sz="8" w:color="7F7F7F"/>
            </w:tcBorders>
            <w:vMerge w:val="continue"/>
          </w:tcPr>
          <w:p>
            <w:pPr>
              <w:spacing w:after="0"/>
              <w:rPr>
                <w:sz w:val="11"/>
                <w:szCs w:val="11"/>
                <w:color w:val="auto"/>
              </w:rPr>
            </w:pPr>
          </w:p>
        </w:tc>
        <w:tc>
          <w:tcPr>
            <w:tcW w:w="1600" w:type="dxa"/>
            <w:vAlign w:val="bottom"/>
            <w:tcBorders>
              <w:right w:val="single" w:sz="8" w:color="7F7F7F"/>
            </w:tcBorders>
            <w:vMerge w:val="restart"/>
          </w:tcPr>
          <w:p>
            <w:pPr>
              <w:ind w:left="40"/>
              <w:spacing w:after="0"/>
              <w:rPr>
                <w:sz w:val="20"/>
                <w:szCs w:val="20"/>
                <w:color w:val="auto"/>
              </w:rPr>
            </w:pPr>
            <w:r>
              <w:rPr>
                <w:rFonts w:ascii="Arial" w:cs="Arial" w:eastAsia="Arial" w:hAnsi="Arial"/>
                <w:sz w:val="13"/>
                <w:szCs w:val="13"/>
                <w:color w:val="auto"/>
              </w:rPr>
              <w:t>Cash flow before</w:t>
            </w:r>
          </w:p>
        </w:tc>
        <w:tc>
          <w:tcPr>
            <w:tcW w:w="1200" w:type="dxa"/>
            <w:vAlign w:val="bottom"/>
            <w:tcBorders>
              <w:right w:val="single" w:sz="8" w:color="7F7F7F"/>
            </w:tcBorders>
            <w:vMerge w:val="continue"/>
          </w:tcPr>
          <w:p>
            <w:pPr>
              <w:spacing w:after="0"/>
              <w:rPr>
                <w:sz w:val="11"/>
                <w:szCs w:val="11"/>
                <w:color w:val="auto"/>
              </w:rPr>
            </w:pPr>
          </w:p>
        </w:tc>
        <w:tc>
          <w:tcPr>
            <w:tcW w:w="2400" w:type="dxa"/>
            <w:vAlign w:val="bottom"/>
          </w:tcPr>
          <w:p>
            <w:pPr>
              <w:ind w:left="40"/>
              <w:spacing w:after="0" w:line="135" w:lineRule="exact"/>
              <w:rPr>
                <w:sz w:val="20"/>
                <w:szCs w:val="20"/>
                <w:color w:val="auto"/>
              </w:rPr>
            </w:pPr>
            <w:r>
              <w:rPr>
                <w:rFonts w:ascii="Arial" w:cs="Arial" w:eastAsia="Arial" w:hAnsi="Arial"/>
                <w:sz w:val="13"/>
                <w:szCs w:val="13"/>
                <w:color w:val="auto"/>
              </w:rPr>
              <w:t>$24.6 B cash flow before distributions</w:t>
            </w:r>
          </w:p>
        </w:tc>
        <w:tc>
          <w:tcPr>
            <w:tcW w:w="60" w:type="dxa"/>
            <w:vAlign w:val="bottom"/>
            <w:tcBorders>
              <w:right w:val="single" w:sz="8" w:color="7F7F7F"/>
            </w:tcBorders>
          </w:tcPr>
          <w:p>
            <w:pPr>
              <w:spacing w:after="0"/>
              <w:rPr>
                <w:sz w:val="11"/>
                <w:szCs w:val="11"/>
                <w:color w:val="auto"/>
              </w:rPr>
            </w:pPr>
          </w:p>
        </w:tc>
        <w:tc>
          <w:tcPr>
            <w:tcW w:w="980" w:type="dxa"/>
            <w:vAlign w:val="bottom"/>
            <w:tcBorders>
              <w:right w:val="single" w:sz="8" w:color="7F7F7F"/>
            </w:tcBorders>
          </w:tcPr>
          <w:p>
            <w:pPr>
              <w:spacing w:after="0"/>
              <w:rPr>
                <w:sz w:val="11"/>
                <w:szCs w:val="11"/>
                <w:color w:val="auto"/>
              </w:rPr>
            </w:pPr>
          </w:p>
        </w:tc>
        <w:tc>
          <w:tcPr>
            <w:tcW w:w="1300" w:type="dxa"/>
            <w:vAlign w:val="bottom"/>
            <w:tcBorders>
              <w:right w:val="single" w:sz="8" w:color="7F7F7F"/>
            </w:tcBorders>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tcBorders>
              <w:right w:val="single" w:sz="8" w:color="7F7F7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440" w:type="dxa"/>
            <w:vAlign w:val="bottom"/>
            <w:tcBorders>
              <w:left w:val="single" w:sz="8" w:color="7F7F7F"/>
              <w:right w:val="single" w:sz="8" w:color="7F7F7F"/>
            </w:tcBorders>
          </w:tcPr>
          <w:p>
            <w:pPr>
              <w:spacing w:after="0"/>
              <w:rPr>
                <w:sz w:val="10"/>
                <w:szCs w:val="10"/>
                <w:color w:val="auto"/>
              </w:rPr>
            </w:pPr>
          </w:p>
        </w:tc>
        <w:tc>
          <w:tcPr>
            <w:tcW w:w="760" w:type="dxa"/>
            <w:vAlign w:val="bottom"/>
            <w:tcBorders>
              <w:right w:val="single" w:sz="8" w:color="7F7F7F"/>
            </w:tcBorders>
          </w:tcPr>
          <w:p>
            <w:pPr>
              <w:spacing w:after="0"/>
              <w:rPr>
                <w:sz w:val="10"/>
                <w:szCs w:val="10"/>
                <w:color w:val="auto"/>
              </w:rPr>
            </w:pPr>
          </w:p>
        </w:tc>
        <w:tc>
          <w:tcPr>
            <w:tcW w:w="1600" w:type="dxa"/>
            <w:vAlign w:val="bottom"/>
            <w:tcBorders>
              <w:right w:val="single" w:sz="8" w:color="7F7F7F"/>
            </w:tcBorders>
            <w:vMerge w:val="continue"/>
          </w:tcPr>
          <w:p>
            <w:pPr>
              <w:spacing w:after="0"/>
              <w:rPr>
                <w:sz w:val="10"/>
                <w:szCs w:val="10"/>
                <w:color w:val="auto"/>
              </w:rPr>
            </w:pPr>
          </w:p>
        </w:tc>
        <w:tc>
          <w:tcPr>
            <w:tcW w:w="1200" w:type="dxa"/>
            <w:vAlign w:val="bottom"/>
            <w:tcBorders>
              <w:right w:val="single" w:sz="8" w:color="7F7F7F"/>
            </w:tcBorders>
          </w:tcPr>
          <w:p>
            <w:pPr>
              <w:jc w:val="center"/>
              <w:spacing w:after="0" w:line="126" w:lineRule="exact"/>
              <w:rPr>
                <w:sz w:val="20"/>
                <w:szCs w:val="20"/>
                <w:color w:val="auto"/>
              </w:rPr>
            </w:pPr>
            <w:r>
              <w:rPr>
                <w:rFonts w:ascii="Arial" w:cs="Arial" w:eastAsia="Arial" w:hAnsi="Arial"/>
                <w:sz w:val="13"/>
                <w:szCs w:val="13"/>
                <w:color w:val="auto"/>
                <w:w w:val="94"/>
              </w:rPr>
              <w:t>$4.0B</w:t>
            </w:r>
          </w:p>
        </w:tc>
        <w:tc>
          <w:tcPr>
            <w:tcW w:w="2400" w:type="dxa"/>
            <w:vAlign w:val="bottom"/>
          </w:tcPr>
          <w:p>
            <w:pPr>
              <w:ind w:left="40"/>
              <w:spacing w:after="0" w:line="126" w:lineRule="exact"/>
              <w:rPr>
                <w:sz w:val="20"/>
                <w:szCs w:val="20"/>
                <w:color w:val="auto"/>
              </w:rPr>
            </w:pPr>
            <w:r>
              <w:rPr>
                <w:rFonts w:ascii="Arial" w:cs="Arial" w:eastAsia="Arial" w:hAnsi="Arial"/>
                <w:sz w:val="13"/>
                <w:szCs w:val="13"/>
                <w:color w:val="auto"/>
                <w:w w:val="97"/>
              </w:rPr>
              <w:t>significantly above Plan. Normalized</w:t>
            </w:r>
            <w:r>
              <w:rPr>
                <w:rFonts w:ascii="Arial" w:cs="Arial" w:eastAsia="Arial" w:hAnsi="Arial"/>
                <w:sz w:val="10"/>
                <w:szCs w:val="10"/>
                <w:color w:val="auto"/>
                <w:w w:val="97"/>
              </w:rPr>
              <w:t>(3)</w:t>
            </w:r>
            <w:r>
              <w:rPr>
                <w:rFonts w:ascii="Arial" w:cs="Arial" w:eastAsia="Arial" w:hAnsi="Arial"/>
                <w:sz w:val="13"/>
                <w:szCs w:val="13"/>
                <w:color w:val="auto"/>
                <w:w w:val="97"/>
              </w:rPr>
              <w:t xml:space="preserve"> for</w:t>
            </w:r>
          </w:p>
        </w:tc>
        <w:tc>
          <w:tcPr>
            <w:tcW w:w="60" w:type="dxa"/>
            <w:vAlign w:val="bottom"/>
            <w:tcBorders>
              <w:right w:val="single" w:sz="8" w:color="7F7F7F"/>
            </w:tcBorders>
          </w:tcPr>
          <w:p>
            <w:pPr>
              <w:spacing w:after="0"/>
              <w:rPr>
                <w:sz w:val="10"/>
                <w:szCs w:val="10"/>
                <w:color w:val="auto"/>
              </w:rPr>
            </w:pPr>
          </w:p>
        </w:tc>
        <w:tc>
          <w:tcPr>
            <w:tcW w:w="980" w:type="dxa"/>
            <w:vAlign w:val="bottom"/>
            <w:tcBorders>
              <w:right w:val="single" w:sz="8" w:color="7F7F7F"/>
            </w:tcBorders>
          </w:tcPr>
          <w:p>
            <w:pPr>
              <w:spacing w:after="0"/>
              <w:rPr>
                <w:sz w:val="10"/>
                <w:szCs w:val="10"/>
                <w:color w:val="auto"/>
              </w:rPr>
            </w:pPr>
          </w:p>
        </w:tc>
        <w:tc>
          <w:tcPr>
            <w:tcW w:w="1300" w:type="dxa"/>
            <w:vAlign w:val="bottom"/>
            <w:tcBorders>
              <w:right w:val="single" w:sz="8" w:color="7F7F7F"/>
            </w:tcBorders>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Borders>
              <w:right w:val="single" w:sz="8" w:color="7F7F7F"/>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440" w:type="dxa"/>
            <w:vAlign w:val="bottom"/>
            <w:tcBorders>
              <w:left w:val="single" w:sz="8" w:color="7F7F7F"/>
              <w:right w:val="single" w:sz="8" w:color="7F7F7F"/>
            </w:tcBorders>
          </w:tcPr>
          <w:p>
            <w:pPr>
              <w:spacing w:after="0"/>
              <w:rPr>
                <w:sz w:val="15"/>
                <w:szCs w:val="15"/>
                <w:color w:val="auto"/>
              </w:rPr>
            </w:pPr>
          </w:p>
        </w:tc>
        <w:tc>
          <w:tcPr>
            <w:tcW w:w="760" w:type="dxa"/>
            <w:vAlign w:val="bottom"/>
            <w:tcBorders>
              <w:right w:val="single" w:sz="8" w:color="7F7F7F"/>
            </w:tcBorders>
          </w:tcPr>
          <w:p>
            <w:pPr>
              <w:spacing w:after="0"/>
              <w:rPr>
                <w:sz w:val="15"/>
                <w:szCs w:val="15"/>
                <w:color w:val="auto"/>
              </w:rPr>
            </w:pPr>
          </w:p>
        </w:tc>
        <w:tc>
          <w:tcPr>
            <w:tcW w:w="1600" w:type="dxa"/>
            <w:vAlign w:val="bottom"/>
            <w:tcBorders>
              <w:right w:val="single" w:sz="8" w:color="7F7F7F"/>
            </w:tcBorders>
          </w:tcPr>
          <w:p>
            <w:pPr>
              <w:ind w:left="40"/>
              <w:spacing w:after="0"/>
              <w:rPr>
                <w:sz w:val="20"/>
                <w:szCs w:val="20"/>
                <w:color w:val="auto"/>
              </w:rPr>
            </w:pPr>
            <w:r>
              <w:rPr>
                <w:rFonts w:ascii="Arial" w:cs="Arial" w:eastAsia="Arial" w:hAnsi="Arial"/>
                <w:sz w:val="13"/>
                <w:szCs w:val="13"/>
                <w:color w:val="auto"/>
              </w:rPr>
              <w:t xml:space="preserve">distributions </w:t>
            </w:r>
            <w:r>
              <w:rPr>
                <w:rFonts w:ascii="Arial" w:cs="Arial" w:eastAsia="Arial" w:hAnsi="Arial"/>
                <w:sz w:val="10"/>
                <w:szCs w:val="10"/>
                <w:color w:val="auto"/>
              </w:rPr>
              <w:t>(5)</w:t>
            </w:r>
          </w:p>
        </w:tc>
        <w:tc>
          <w:tcPr>
            <w:tcW w:w="1200" w:type="dxa"/>
            <w:vAlign w:val="bottom"/>
            <w:tcBorders>
              <w:right w:val="single" w:sz="8" w:color="7F7F7F"/>
            </w:tcBorders>
          </w:tcPr>
          <w:p>
            <w:pPr>
              <w:spacing w:after="0"/>
              <w:rPr>
                <w:sz w:val="15"/>
                <w:szCs w:val="15"/>
                <w:color w:val="auto"/>
              </w:rPr>
            </w:pPr>
          </w:p>
        </w:tc>
        <w:tc>
          <w:tcPr>
            <w:tcW w:w="2400" w:type="dxa"/>
            <w:vAlign w:val="bottom"/>
          </w:tcPr>
          <w:p>
            <w:pPr>
              <w:ind w:left="40"/>
              <w:spacing w:after="0"/>
              <w:rPr>
                <w:sz w:val="20"/>
                <w:szCs w:val="20"/>
                <w:color w:val="auto"/>
              </w:rPr>
            </w:pPr>
            <w:r>
              <w:rPr>
                <w:rFonts w:ascii="Arial" w:cs="Arial" w:eastAsia="Arial" w:hAnsi="Arial"/>
                <w:sz w:val="13"/>
                <w:szCs w:val="13"/>
                <w:color w:val="auto"/>
              </w:rPr>
              <w:t>price / market effects, above Plan.</w:t>
            </w:r>
          </w:p>
        </w:tc>
        <w:tc>
          <w:tcPr>
            <w:tcW w:w="60" w:type="dxa"/>
            <w:vAlign w:val="bottom"/>
            <w:tcBorders>
              <w:right w:val="single" w:sz="8" w:color="7F7F7F"/>
            </w:tcBorders>
          </w:tcPr>
          <w:p>
            <w:pPr>
              <w:spacing w:after="0"/>
              <w:rPr>
                <w:sz w:val="15"/>
                <w:szCs w:val="15"/>
                <w:color w:val="auto"/>
              </w:rPr>
            </w:pPr>
          </w:p>
        </w:tc>
        <w:tc>
          <w:tcPr>
            <w:tcW w:w="980" w:type="dxa"/>
            <w:vAlign w:val="bottom"/>
            <w:tcBorders>
              <w:right w:val="single" w:sz="8" w:color="7F7F7F"/>
            </w:tcBorders>
          </w:tcPr>
          <w:p>
            <w:pPr>
              <w:spacing w:after="0"/>
              <w:rPr>
                <w:sz w:val="15"/>
                <w:szCs w:val="15"/>
                <w:color w:val="auto"/>
              </w:rPr>
            </w:pPr>
          </w:p>
        </w:tc>
        <w:tc>
          <w:tcPr>
            <w:tcW w:w="1300" w:type="dxa"/>
            <w:vAlign w:val="bottom"/>
            <w:tcBorders>
              <w:right w:val="single" w:sz="8" w:color="7F7F7F"/>
            </w:tcBorders>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Borders>
              <w:right w:val="single" w:sz="8" w:color="7F7F7F"/>
            </w:tcBorders>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1440" w:type="dxa"/>
            <w:vAlign w:val="bottom"/>
            <w:tcBorders>
              <w:left w:val="single" w:sz="8" w:color="7F7F7F"/>
              <w:right w:val="single" w:sz="8" w:color="7F7F7F"/>
            </w:tcBorders>
          </w:tcPr>
          <w:p>
            <w:pPr>
              <w:spacing w:after="0"/>
              <w:rPr>
                <w:sz w:val="4"/>
                <w:szCs w:val="4"/>
                <w:color w:val="auto"/>
              </w:rPr>
            </w:pPr>
          </w:p>
        </w:tc>
        <w:tc>
          <w:tcPr>
            <w:tcW w:w="760" w:type="dxa"/>
            <w:vAlign w:val="bottom"/>
            <w:tcBorders>
              <w:right w:val="single" w:sz="8" w:color="7F7F7F"/>
            </w:tcBorders>
          </w:tcPr>
          <w:p>
            <w:pPr>
              <w:spacing w:after="0"/>
              <w:rPr>
                <w:sz w:val="4"/>
                <w:szCs w:val="4"/>
                <w:color w:val="auto"/>
              </w:rPr>
            </w:pPr>
          </w:p>
        </w:tc>
        <w:tc>
          <w:tcPr>
            <w:tcW w:w="1600" w:type="dxa"/>
            <w:vAlign w:val="bottom"/>
            <w:tcBorders>
              <w:bottom w:val="single" w:sz="8" w:color="7F7F7F"/>
              <w:right w:val="single" w:sz="8" w:color="7F7F7F"/>
            </w:tcBorders>
          </w:tcPr>
          <w:p>
            <w:pPr>
              <w:spacing w:after="0"/>
              <w:rPr>
                <w:sz w:val="4"/>
                <w:szCs w:val="4"/>
                <w:color w:val="auto"/>
              </w:rPr>
            </w:pPr>
          </w:p>
        </w:tc>
        <w:tc>
          <w:tcPr>
            <w:tcW w:w="1200" w:type="dxa"/>
            <w:vAlign w:val="bottom"/>
            <w:tcBorders>
              <w:bottom w:val="single" w:sz="8" w:color="7F7F7F"/>
              <w:right w:val="single" w:sz="8" w:color="7F7F7F"/>
            </w:tcBorders>
          </w:tcPr>
          <w:p>
            <w:pPr>
              <w:spacing w:after="0"/>
              <w:rPr>
                <w:sz w:val="4"/>
                <w:szCs w:val="4"/>
                <w:color w:val="auto"/>
              </w:rPr>
            </w:pPr>
          </w:p>
        </w:tc>
        <w:tc>
          <w:tcPr>
            <w:tcW w:w="2400" w:type="dxa"/>
            <w:vAlign w:val="bottom"/>
            <w:tcBorders>
              <w:bottom w:val="single" w:sz="8" w:color="7F7F7F"/>
            </w:tcBorders>
          </w:tcPr>
          <w:p>
            <w:pPr>
              <w:spacing w:after="0"/>
              <w:rPr>
                <w:sz w:val="4"/>
                <w:szCs w:val="4"/>
                <w:color w:val="auto"/>
              </w:rPr>
            </w:pPr>
          </w:p>
        </w:tc>
        <w:tc>
          <w:tcPr>
            <w:tcW w:w="60" w:type="dxa"/>
            <w:vAlign w:val="bottom"/>
            <w:tcBorders>
              <w:bottom w:val="single" w:sz="8" w:color="7F7F7F"/>
              <w:right w:val="single" w:sz="8" w:color="7F7F7F"/>
            </w:tcBorders>
          </w:tcPr>
          <w:p>
            <w:pPr>
              <w:spacing w:after="0"/>
              <w:rPr>
                <w:sz w:val="4"/>
                <w:szCs w:val="4"/>
                <w:color w:val="auto"/>
              </w:rPr>
            </w:pPr>
          </w:p>
        </w:tc>
        <w:tc>
          <w:tcPr>
            <w:tcW w:w="980" w:type="dxa"/>
            <w:vAlign w:val="bottom"/>
            <w:tcBorders>
              <w:bottom w:val="single" w:sz="8" w:color="7F7F7F"/>
              <w:right w:val="single" w:sz="8" w:color="7F7F7F"/>
            </w:tcBorders>
          </w:tcPr>
          <w:p>
            <w:pPr>
              <w:spacing w:after="0"/>
              <w:rPr>
                <w:sz w:val="4"/>
                <w:szCs w:val="4"/>
                <w:color w:val="auto"/>
              </w:rPr>
            </w:pPr>
          </w:p>
        </w:tc>
        <w:tc>
          <w:tcPr>
            <w:tcW w:w="1300" w:type="dxa"/>
            <w:vAlign w:val="bottom"/>
            <w:tcBorders>
              <w:right w:val="single" w:sz="8" w:color="7F7F7F"/>
            </w:tcBorders>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Borders>
              <w:right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440" w:type="dxa"/>
            <w:vAlign w:val="bottom"/>
            <w:tcBorders>
              <w:left w:val="single" w:sz="8" w:color="7F7F7F"/>
              <w:right w:val="single" w:sz="8" w:color="7F7F7F"/>
            </w:tcBorders>
          </w:tcPr>
          <w:p>
            <w:pPr>
              <w:spacing w:after="0"/>
              <w:rPr>
                <w:sz w:val="14"/>
                <w:szCs w:val="14"/>
                <w:color w:val="auto"/>
              </w:rPr>
            </w:pPr>
          </w:p>
        </w:tc>
        <w:tc>
          <w:tcPr>
            <w:tcW w:w="760" w:type="dxa"/>
            <w:vAlign w:val="bottom"/>
            <w:tcBorders>
              <w:right w:val="single" w:sz="8" w:color="7F7F7F"/>
            </w:tcBorders>
          </w:tcPr>
          <w:p>
            <w:pPr>
              <w:spacing w:after="0"/>
              <w:rPr>
                <w:sz w:val="14"/>
                <w:szCs w:val="14"/>
                <w:color w:val="auto"/>
              </w:rPr>
            </w:pPr>
          </w:p>
        </w:tc>
        <w:tc>
          <w:tcPr>
            <w:tcW w:w="1600" w:type="dxa"/>
            <w:vAlign w:val="bottom"/>
            <w:tcBorders>
              <w:right w:val="single" w:sz="8" w:color="7F7F7F"/>
            </w:tcBorders>
          </w:tcPr>
          <w:p>
            <w:pPr>
              <w:ind w:left="40"/>
              <w:spacing w:after="0"/>
              <w:rPr>
                <w:sz w:val="20"/>
                <w:szCs w:val="20"/>
                <w:color w:val="auto"/>
              </w:rPr>
            </w:pPr>
            <w:r>
              <w:rPr>
                <w:rFonts w:ascii="Arial" w:cs="Arial" w:eastAsia="Arial" w:hAnsi="Arial"/>
                <w:sz w:val="13"/>
                <w:szCs w:val="13"/>
                <w:color w:val="auto"/>
              </w:rPr>
              <w:t>Operating expenses,</w:t>
            </w:r>
          </w:p>
        </w:tc>
        <w:tc>
          <w:tcPr>
            <w:tcW w:w="1200" w:type="dxa"/>
            <w:vAlign w:val="bottom"/>
            <w:tcBorders>
              <w:right w:val="single" w:sz="8" w:color="7F7F7F"/>
            </w:tcBorders>
          </w:tcPr>
          <w:p>
            <w:pPr>
              <w:spacing w:after="0"/>
              <w:rPr>
                <w:sz w:val="14"/>
                <w:szCs w:val="14"/>
                <w:color w:val="auto"/>
              </w:rPr>
            </w:pPr>
          </w:p>
        </w:tc>
        <w:tc>
          <w:tcPr>
            <w:tcW w:w="2400" w:type="dxa"/>
            <w:vAlign w:val="bottom"/>
          </w:tcPr>
          <w:p>
            <w:pPr>
              <w:ind w:left="40"/>
              <w:spacing w:after="0"/>
              <w:rPr>
                <w:sz w:val="20"/>
                <w:szCs w:val="20"/>
                <w:color w:val="auto"/>
              </w:rPr>
            </w:pPr>
            <w:r>
              <w:rPr>
                <w:rFonts w:ascii="Arial" w:cs="Arial" w:eastAsia="Arial" w:hAnsi="Arial"/>
                <w:sz w:val="13"/>
                <w:szCs w:val="13"/>
                <w:color w:val="auto"/>
              </w:rPr>
              <w:t>$20.1 B, slightly above Plan with</w:t>
            </w:r>
          </w:p>
        </w:tc>
        <w:tc>
          <w:tcPr>
            <w:tcW w:w="60" w:type="dxa"/>
            <w:vAlign w:val="bottom"/>
            <w:tcBorders>
              <w:right w:val="single" w:sz="8" w:color="7F7F7F"/>
            </w:tcBorders>
          </w:tcPr>
          <w:p>
            <w:pPr>
              <w:spacing w:after="0"/>
              <w:rPr>
                <w:sz w:val="14"/>
                <w:szCs w:val="14"/>
                <w:color w:val="auto"/>
              </w:rPr>
            </w:pPr>
          </w:p>
        </w:tc>
        <w:tc>
          <w:tcPr>
            <w:tcW w:w="980" w:type="dxa"/>
            <w:vAlign w:val="bottom"/>
            <w:tcBorders>
              <w:right w:val="single" w:sz="8" w:color="7F7F7F"/>
            </w:tcBorders>
          </w:tcPr>
          <w:p>
            <w:pPr>
              <w:spacing w:after="0"/>
              <w:rPr>
                <w:sz w:val="14"/>
                <w:szCs w:val="14"/>
                <w:color w:val="auto"/>
              </w:rPr>
            </w:pPr>
          </w:p>
        </w:tc>
        <w:tc>
          <w:tcPr>
            <w:tcW w:w="1300" w:type="dxa"/>
            <w:vAlign w:val="bottom"/>
            <w:tcBorders>
              <w:right w:val="single" w:sz="8" w:color="7F7F7F"/>
            </w:tcBorders>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Borders>
              <w:right w:val="single" w:sz="8" w:color="7F7F7F"/>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440" w:type="dxa"/>
            <w:vAlign w:val="bottom"/>
            <w:tcBorders>
              <w:left w:val="single" w:sz="8" w:color="7F7F7F"/>
              <w:right w:val="single" w:sz="8" w:color="7F7F7F"/>
            </w:tcBorders>
          </w:tcPr>
          <w:p>
            <w:pPr>
              <w:spacing w:after="0"/>
              <w:rPr>
                <w:sz w:val="11"/>
                <w:szCs w:val="11"/>
                <w:color w:val="auto"/>
              </w:rPr>
            </w:pPr>
          </w:p>
        </w:tc>
        <w:tc>
          <w:tcPr>
            <w:tcW w:w="760" w:type="dxa"/>
            <w:vAlign w:val="bottom"/>
            <w:tcBorders>
              <w:right w:val="single" w:sz="8" w:color="7F7F7F"/>
            </w:tcBorders>
          </w:tcPr>
          <w:p>
            <w:pPr>
              <w:spacing w:after="0"/>
              <w:rPr>
                <w:sz w:val="11"/>
                <w:szCs w:val="11"/>
                <w:color w:val="auto"/>
              </w:rPr>
            </w:pPr>
          </w:p>
        </w:tc>
        <w:tc>
          <w:tcPr>
            <w:tcW w:w="1600" w:type="dxa"/>
            <w:vAlign w:val="bottom"/>
            <w:tcBorders>
              <w:right w:val="single" w:sz="8" w:color="7F7F7F"/>
            </w:tcBorders>
          </w:tcPr>
          <w:p>
            <w:pPr>
              <w:ind w:left="40"/>
              <w:spacing w:after="0" w:line="135" w:lineRule="exact"/>
              <w:rPr>
                <w:sz w:val="20"/>
                <w:szCs w:val="20"/>
                <w:color w:val="auto"/>
              </w:rPr>
            </w:pPr>
            <w:r>
              <w:rPr>
                <w:rFonts w:ascii="Arial" w:cs="Arial" w:eastAsia="Arial" w:hAnsi="Arial"/>
                <w:sz w:val="13"/>
                <w:szCs w:val="13"/>
                <w:color w:val="auto"/>
              </w:rPr>
              <w:t>excluding fuel and</w:t>
            </w:r>
          </w:p>
        </w:tc>
        <w:tc>
          <w:tcPr>
            <w:tcW w:w="1200" w:type="dxa"/>
            <w:vAlign w:val="bottom"/>
            <w:tcBorders>
              <w:right w:val="single" w:sz="8" w:color="7F7F7F"/>
            </w:tcBorders>
          </w:tcPr>
          <w:p>
            <w:pPr>
              <w:jc w:val="center"/>
              <w:spacing w:after="0" w:line="135" w:lineRule="exact"/>
              <w:rPr>
                <w:sz w:val="20"/>
                <w:szCs w:val="20"/>
                <w:color w:val="auto"/>
              </w:rPr>
            </w:pPr>
            <w:r>
              <w:rPr>
                <w:rFonts w:ascii="Arial" w:cs="Arial" w:eastAsia="Arial" w:hAnsi="Arial"/>
                <w:sz w:val="13"/>
                <w:szCs w:val="13"/>
                <w:color w:val="auto"/>
                <w:w w:val="96"/>
              </w:rPr>
              <w:t>$19.6B</w:t>
            </w:r>
          </w:p>
        </w:tc>
        <w:tc>
          <w:tcPr>
            <w:tcW w:w="2400" w:type="dxa"/>
            <w:vAlign w:val="bottom"/>
          </w:tcPr>
          <w:p>
            <w:pPr>
              <w:ind w:left="40"/>
              <w:spacing w:after="0" w:line="135" w:lineRule="exact"/>
              <w:rPr>
                <w:sz w:val="20"/>
                <w:szCs w:val="20"/>
                <w:color w:val="auto"/>
              </w:rPr>
            </w:pPr>
            <w:r>
              <w:rPr>
                <w:rFonts w:ascii="Arial" w:cs="Arial" w:eastAsia="Arial" w:hAnsi="Arial"/>
                <w:sz w:val="13"/>
                <w:szCs w:val="13"/>
                <w:color w:val="auto"/>
                <w:w w:val="96"/>
              </w:rPr>
              <w:t>reductions in Downstream offset by higher</w:t>
            </w:r>
          </w:p>
        </w:tc>
        <w:tc>
          <w:tcPr>
            <w:tcW w:w="60" w:type="dxa"/>
            <w:vAlign w:val="bottom"/>
            <w:tcBorders>
              <w:right w:val="single" w:sz="8" w:color="7F7F7F"/>
            </w:tcBorders>
          </w:tcPr>
          <w:p>
            <w:pPr>
              <w:spacing w:after="0"/>
              <w:rPr>
                <w:sz w:val="11"/>
                <w:szCs w:val="11"/>
                <w:color w:val="auto"/>
              </w:rPr>
            </w:pPr>
          </w:p>
        </w:tc>
        <w:tc>
          <w:tcPr>
            <w:tcW w:w="980" w:type="dxa"/>
            <w:vAlign w:val="bottom"/>
            <w:tcBorders>
              <w:right w:val="single" w:sz="8" w:color="7F7F7F"/>
            </w:tcBorders>
          </w:tcPr>
          <w:p>
            <w:pPr>
              <w:spacing w:after="0"/>
              <w:rPr>
                <w:sz w:val="11"/>
                <w:szCs w:val="11"/>
                <w:color w:val="auto"/>
              </w:rPr>
            </w:pPr>
          </w:p>
        </w:tc>
        <w:tc>
          <w:tcPr>
            <w:tcW w:w="1300" w:type="dxa"/>
            <w:vAlign w:val="bottom"/>
            <w:tcBorders>
              <w:right w:val="single" w:sz="8" w:color="7F7F7F"/>
            </w:tcBorders>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Borders>
              <w:right w:val="single" w:sz="8" w:color="7F7F7F"/>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440" w:type="dxa"/>
            <w:vAlign w:val="bottom"/>
            <w:tcBorders>
              <w:left w:val="single" w:sz="8" w:color="7F7F7F"/>
              <w:right w:val="single" w:sz="8" w:color="7F7F7F"/>
            </w:tcBorders>
          </w:tcPr>
          <w:p>
            <w:pPr>
              <w:spacing w:after="0"/>
              <w:rPr>
                <w:sz w:val="15"/>
                <w:szCs w:val="15"/>
                <w:color w:val="auto"/>
              </w:rPr>
            </w:pPr>
          </w:p>
        </w:tc>
        <w:tc>
          <w:tcPr>
            <w:tcW w:w="760" w:type="dxa"/>
            <w:vAlign w:val="bottom"/>
            <w:tcBorders>
              <w:right w:val="single" w:sz="8" w:color="7F7F7F"/>
            </w:tcBorders>
          </w:tcPr>
          <w:p>
            <w:pPr>
              <w:spacing w:after="0"/>
              <w:rPr>
                <w:sz w:val="15"/>
                <w:szCs w:val="15"/>
                <w:color w:val="auto"/>
              </w:rPr>
            </w:pPr>
          </w:p>
        </w:tc>
        <w:tc>
          <w:tcPr>
            <w:tcW w:w="1600" w:type="dxa"/>
            <w:vAlign w:val="bottom"/>
            <w:tcBorders>
              <w:right w:val="single" w:sz="8" w:color="7F7F7F"/>
            </w:tcBorders>
          </w:tcPr>
          <w:p>
            <w:pPr>
              <w:ind w:left="40"/>
              <w:spacing w:after="0"/>
              <w:rPr>
                <w:sz w:val="20"/>
                <w:szCs w:val="20"/>
                <w:color w:val="auto"/>
              </w:rPr>
            </w:pPr>
            <w:r>
              <w:rPr>
                <w:rFonts w:ascii="Arial" w:cs="Arial" w:eastAsia="Arial" w:hAnsi="Arial"/>
                <w:sz w:val="13"/>
                <w:szCs w:val="13"/>
                <w:color w:val="auto"/>
              </w:rPr>
              <w:t xml:space="preserve">transportation </w:t>
            </w:r>
            <w:r>
              <w:rPr>
                <w:rFonts w:ascii="Arial" w:cs="Arial" w:eastAsia="Arial" w:hAnsi="Arial"/>
                <w:sz w:val="10"/>
                <w:szCs w:val="10"/>
                <w:color w:val="auto"/>
              </w:rPr>
              <w:t>(6)</w:t>
            </w:r>
          </w:p>
        </w:tc>
        <w:tc>
          <w:tcPr>
            <w:tcW w:w="1200" w:type="dxa"/>
            <w:vAlign w:val="bottom"/>
            <w:tcBorders>
              <w:right w:val="single" w:sz="8" w:color="7F7F7F"/>
            </w:tcBorders>
          </w:tcPr>
          <w:p>
            <w:pPr>
              <w:spacing w:after="0"/>
              <w:rPr>
                <w:sz w:val="15"/>
                <w:szCs w:val="15"/>
                <w:color w:val="auto"/>
              </w:rPr>
            </w:pPr>
          </w:p>
        </w:tc>
        <w:tc>
          <w:tcPr>
            <w:tcW w:w="2400" w:type="dxa"/>
            <w:vAlign w:val="bottom"/>
          </w:tcPr>
          <w:p>
            <w:pPr>
              <w:ind w:left="40"/>
              <w:spacing w:after="0"/>
              <w:rPr>
                <w:sz w:val="20"/>
                <w:szCs w:val="20"/>
                <w:color w:val="auto"/>
              </w:rPr>
            </w:pPr>
            <w:r>
              <w:rPr>
                <w:rFonts w:ascii="Arial" w:cs="Arial" w:eastAsia="Arial" w:hAnsi="Arial"/>
                <w:sz w:val="13"/>
                <w:szCs w:val="13"/>
                <w:color w:val="auto"/>
              </w:rPr>
              <w:t>unanticipated Employee Benefits.</w:t>
            </w:r>
          </w:p>
        </w:tc>
        <w:tc>
          <w:tcPr>
            <w:tcW w:w="60" w:type="dxa"/>
            <w:vAlign w:val="bottom"/>
            <w:tcBorders>
              <w:right w:val="single" w:sz="8" w:color="7F7F7F"/>
            </w:tcBorders>
          </w:tcPr>
          <w:p>
            <w:pPr>
              <w:spacing w:after="0"/>
              <w:rPr>
                <w:sz w:val="15"/>
                <w:szCs w:val="15"/>
                <w:color w:val="auto"/>
              </w:rPr>
            </w:pPr>
          </w:p>
        </w:tc>
        <w:tc>
          <w:tcPr>
            <w:tcW w:w="980" w:type="dxa"/>
            <w:vAlign w:val="bottom"/>
            <w:tcBorders>
              <w:right w:val="single" w:sz="8" w:color="7F7F7F"/>
            </w:tcBorders>
          </w:tcPr>
          <w:p>
            <w:pPr>
              <w:spacing w:after="0"/>
              <w:rPr>
                <w:sz w:val="15"/>
                <w:szCs w:val="15"/>
                <w:color w:val="auto"/>
              </w:rPr>
            </w:pPr>
          </w:p>
        </w:tc>
        <w:tc>
          <w:tcPr>
            <w:tcW w:w="1300" w:type="dxa"/>
            <w:vAlign w:val="bottom"/>
            <w:tcBorders>
              <w:right w:val="single" w:sz="8" w:color="7F7F7F"/>
            </w:tcBorders>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Borders>
              <w:right w:val="single" w:sz="8" w:color="7F7F7F"/>
            </w:tcBorders>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1440" w:type="dxa"/>
            <w:vAlign w:val="bottom"/>
            <w:tcBorders>
              <w:left w:val="single" w:sz="8" w:color="7F7F7F"/>
              <w:bottom w:val="single" w:sz="8" w:color="7F7F7F"/>
              <w:right w:val="single" w:sz="8" w:color="7F7F7F"/>
            </w:tcBorders>
          </w:tcPr>
          <w:p>
            <w:pPr>
              <w:spacing w:after="0"/>
              <w:rPr>
                <w:sz w:val="4"/>
                <w:szCs w:val="4"/>
                <w:color w:val="auto"/>
              </w:rPr>
            </w:pPr>
          </w:p>
        </w:tc>
        <w:tc>
          <w:tcPr>
            <w:tcW w:w="760" w:type="dxa"/>
            <w:vAlign w:val="bottom"/>
            <w:tcBorders>
              <w:bottom w:val="single" w:sz="8" w:color="7F7F7F"/>
              <w:right w:val="single" w:sz="8" w:color="7F7F7F"/>
            </w:tcBorders>
          </w:tcPr>
          <w:p>
            <w:pPr>
              <w:spacing w:after="0"/>
              <w:rPr>
                <w:sz w:val="4"/>
                <w:szCs w:val="4"/>
                <w:color w:val="auto"/>
              </w:rPr>
            </w:pPr>
          </w:p>
        </w:tc>
        <w:tc>
          <w:tcPr>
            <w:tcW w:w="1600" w:type="dxa"/>
            <w:vAlign w:val="bottom"/>
            <w:tcBorders>
              <w:bottom w:val="single" w:sz="8" w:color="7F7F7F"/>
              <w:right w:val="single" w:sz="8" w:color="7F7F7F"/>
            </w:tcBorders>
          </w:tcPr>
          <w:p>
            <w:pPr>
              <w:spacing w:after="0"/>
              <w:rPr>
                <w:sz w:val="4"/>
                <w:szCs w:val="4"/>
                <w:color w:val="auto"/>
              </w:rPr>
            </w:pPr>
          </w:p>
        </w:tc>
        <w:tc>
          <w:tcPr>
            <w:tcW w:w="1200" w:type="dxa"/>
            <w:vAlign w:val="bottom"/>
            <w:tcBorders>
              <w:bottom w:val="single" w:sz="8" w:color="7F7F7F"/>
              <w:right w:val="single" w:sz="8" w:color="7F7F7F"/>
            </w:tcBorders>
          </w:tcPr>
          <w:p>
            <w:pPr>
              <w:spacing w:after="0"/>
              <w:rPr>
                <w:sz w:val="4"/>
                <w:szCs w:val="4"/>
                <w:color w:val="auto"/>
              </w:rPr>
            </w:pPr>
          </w:p>
        </w:tc>
        <w:tc>
          <w:tcPr>
            <w:tcW w:w="2400" w:type="dxa"/>
            <w:vAlign w:val="bottom"/>
            <w:tcBorders>
              <w:bottom w:val="single" w:sz="8" w:color="7F7F7F"/>
            </w:tcBorders>
          </w:tcPr>
          <w:p>
            <w:pPr>
              <w:spacing w:after="0"/>
              <w:rPr>
                <w:sz w:val="4"/>
                <w:szCs w:val="4"/>
                <w:color w:val="auto"/>
              </w:rPr>
            </w:pPr>
          </w:p>
        </w:tc>
        <w:tc>
          <w:tcPr>
            <w:tcW w:w="60" w:type="dxa"/>
            <w:vAlign w:val="bottom"/>
            <w:tcBorders>
              <w:bottom w:val="single" w:sz="8" w:color="7F7F7F"/>
              <w:right w:val="single" w:sz="8" w:color="7F7F7F"/>
            </w:tcBorders>
          </w:tcPr>
          <w:p>
            <w:pPr>
              <w:spacing w:after="0"/>
              <w:rPr>
                <w:sz w:val="4"/>
                <w:szCs w:val="4"/>
                <w:color w:val="auto"/>
              </w:rPr>
            </w:pPr>
          </w:p>
        </w:tc>
        <w:tc>
          <w:tcPr>
            <w:tcW w:w="980" w:type="dxa"/>
            <w:vAlign w:val="bottom"/>
            <w:tcBorders>
              <w:bottom w:val="single" w:sz="8" w:color="7F7F7F"/>
              <w:right w:val="single" w:sz="8" w:color="7F7F7F"/>
            </w:tcBorders>
          </w:tcPr>
          <w:p>
            <w:pPr>
              <w:spacing w:after="0"/>
              <w:rPr>
                <w:sz w:val="4"/>
                <w:szCs w:val="4"/>
                <w:color w:val="auto"/>
              </w:rPr>
            </w:pPr>
          </w:p>
        </w:tc>
        <w:tc>
          <w:tcPr>
            <w:tcW w:w="1300" w:type="dxa"/>
            <w:vAlign w:val="bottom"/>
            <w:tcBorders>
              <w:bottom w:val="single" w:sz="8" w:color="7F7F7F"/>
              <w:right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540" w:type="dxa"/>
            <w:vAlign w:val="bottom"/>
            <w:tcBorders>
              <w:bottom w:val="single" w:sz="8" w:color="7F7F7F"/>
              <w:right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440" w:type="dxa"/>
            <w:vAlign w:val="bottom"/>
            <w:tcBorders>
              <w:left w:val="single" w:sz="8" w:color="7F7F7F"/>
              <w:right w:val="single" w:sz="8" w:color="7F7F7F"/>
            </w:tcBorders>
          </w:tcPr>
          <w:p>
            <w:pPr>
              <w:spacing w:after="0"/>
              <w:rPr>
                <w:sz w:val="20"/>
                <w:szCs w:val="20"/>
                <w:color w:val="auto"/>
              </w:rPr>
            </w:pPr>
          </w:p>
        </w:tc>
        <w:tc>
          <w:tcPr>
            <w:tcW w:w="760" w:type="dxa"/>
            <w:vAlign w:val="bottom"/>
            <w:tcBorders>
              <w:right w:val="single" w:sz="8" w:color="7F7F7F"/>
            </w:tcBorders>
          </w:tcPr>
          <w:p>
            <w:pPr>
              <w:spacing w:after="0"/>
              <w:rPr>
                <w:sz w:val="20"/>
                <w:szCs w:val="20"/>
                <w:color w:val="auto"/>
              </w:rPr>
            </w:pPr>
          </w:p>
        </w:tc>
        <w:tc>
          <w:tcPr>
            <w:tcW w:w="1600" w:type="dxa"/>
            <w:vAlign w:val="bottom"/>
            <w:tcBorders>
              <w:right w:val="single" w:sz="8" w:color="7F7F7F"/>
            </w:tcBorders>
          </w:tcPr>
          <w:p>
            <w:pPr>
              <w:ind w:left="40"/>
              <w:spacing w:after="0"/>
              <w:rPr>
                <w:sz w:val="20"/>
                <w:szCs w:val="20"/>
                <w:color w:val="auto"/>
              </w:rPr>
            </w:pPr>
            <w:r>
              <w:rPr>
                <w:rFonts w:ascii="Arial" w:cs="Arial" w:eastAsia="Arial" w:hAnsi="Arial"/>
                <w:sz w:val="13"/>
                <w:szCs w:val="13"/>
                <w:color w:val="auto"/>
              </w:rPr>
              <w:t>Return on capital</w:t>
            </w:r>
          </w:p>
        </w:tc>
        <w:tc>
          <w:tcPr>
            <w:tcW w:w="1200" w:type="dxa"/>
            <w:vAlign w:val="bottom"/>
            <w:tcBorders>
              <w:right w:val="single" w:sz="8" w:color="7F7F7F"/>
            </w:tcBorders>
            <w:vMerge w:val="restart"/>
          </w:tcPr>
          <w:p>
            <w:pPr>
              <w:jc w:val="center"/>
              <w:spacing w:after="0"/>
              <w:rPr>
                <w:sz w:val="20"/>
                <w:szCs w:val="20"/>
                <w:color w:val="auto"/>
              </w:rPr>
            </w:pPr>
            <w:r>
              <w:rPr>
                <w:rFonts w:ascii="Arial" w:cs="Arial" w:eastAsia="Arial" w:hAnsi="Arial"/>
                <w:sz w:val="13"/>
                <w:szCs w:val="13"/>
                <w:color w:val="auto"/>
                <w:w w:val="94"/>
              </w:rPr>
              <w:t>0.3%</w:t>
            </w:r>
          </w:p>
        </w:tc>
        <w:tc>
          <w:tcPr>
            <w:tcW w:w="2400" w:type="dxa"/>
            <w:vAlign w:val="bottom"/>
          </w:tcPr>
          <w:p>
            <w:pPr>
              <w:ind w:left="40"/>
              <w:spacing w:after="0"/>
              <w:rPr>
                <w:sz w:val="20"/>
                <w:szCs w:val="20"/>
                <w:color w:val="auto"/>
              </w:rPr>
            </w:pPr>
            <w:r>
              <w:rPr>
                <w:rFonts w:ascii="Arial" w:cs="Arial" w:eastAsia="Arial" w:hAnsi="Arial"/>
                <w:sz w:val="13"/>
                <w:szCs w:val="13"/>
                <w:color w:val="auto"/>
              </w:rPr>
              <w:t>9.4%, significantly above Plan. 1-year</w:t>
            </w:r>
          </w:p>
        </w:tc>
        <w:tc>
          <w:tcPr>
            <w:tcW w:w="60" w:type="dxa"/>
            <w:vAlign w:val="bottom"/>
            <w:tcBorders>
              <w:right w:val="single" w:sz="8" w:color="7F7F7F"/>
            </w:tcBorders>
          </w:tcPr>
          <w:p>
            <w:pPr>
              <w:spacing w:after="0"/>
              <w:rPr>
                <w:sz w:val="20"/>
                <w:szCs w:val="20"/>
                <w:color w:val="auto"/>
              </w:rPr>
            </w:pPr>
          </w:p>
        </w:tc>
        <w:tc>
          <w:tcPr>
            <w:tcW w:w="980" w:type="dxa"/>
            <w:vAlign w:val="bottom"/>
            <w:tcBorders>
              <w:right w:val="single" w:sz="8" w:color="7F7F7F"/>
            </w:tcBorders>
          </w:tcPr>
          <w:p>
            <w:pPr>
              <w:spacing w:after="0"/>
              <w:rPr>
                <w:sz w:val="20"/>
                <w:szCs w:val="20"/>
                <w:color w:val="auto"/>
              </w:rPr>
            </w:pPr>
          </w:p>
        </w:tc>
        <w:tc>
          <w:tcPr>
            <w:tcW w:w="1300" w:type="dxa"/>
            <w:vAlign w:val="bottom"/>
            <w:tcBorders>
              <w:right w:val="single" w:sz="8" w:color="7F7F7F"/>
            </w:tcBorders>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Borders>
              <w:right w:val="single" w:sz="8" w:color="7F7F7F"/>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440" w:type="dxa"/>
            <w:vAlign w:val="bottom"/>
            <w:tcBorders>
              <w:left w:val="single" w:sz="8" w:color="7F7F7F"/>
              <w:right w:val="single" w:sz="8" w:color="7F7F7F"/>
            </w:tcBorders>
          </w:tcPr>
          <w:p>
            <w:pPr>
              <w:spacing w:after="0"/>
              <w:rPr>
                <w:sz w:val="11"/>
                <w:szCs w:val="11"/>
                <w:color w:val="auto"/>
              </w:rPr>
            </w:pPr>
          </w:p>
        </w:tc>
        <w:tc>
          <w:tcPr>
            <w:tcW w:w="760" w:type="dxa"/>
            <w:vAlign w:val="bottom"/>
            <w:tcBorders>
              <w:right w:val="single" w:sz="8" w:color="7F7F7F"/>
            </w:tcBorders>
          </w:tcPr>
          <w:p>
            <w:pPr>
              <w:spacing w:after="0"/>
              <w:rPr>
                <w:sz w:val="11"/>
                <w:szCs w:val="11"/>
                <w:color w:val="auto"/>
              </w:rPr>
            </w:pPr>
          </w:p>
        </w:tc>
        <w:tc>
          <w:tcPr>
            <w:tcW w:w="1600" w:type="dxa"/>
            <w:vAlign w:val="bottom"/>
            <w:tcBorders>
              <w:right w:val="single" w:sz="8" w:color="7F7F7F"/>
            </w:tcBorders>
          </w:tcPr>
          <w:p>
            <w:pPr>
              <w:ind w:left="40"/>
              <w:spacing w:after="0" w:line="135" w:lineRule="exact"/>
              <w:rPr>
                <w:sz w:val="20"/>
                <w:szCs w:val="20"/>
                <w:color w:val="auto"/>
              </w:rPr>
            </w:pPr>
            <w:r>
              <w:rPr>
                <w:rFonts w:ascii="Arial" w:cs="Arial" w:eastAsia="Arial" w:hAnsi="Arial"/>
                <w:sz w:val="13"/>
                <w:szCs w:val="13"/>
                <w:color w:val="auto"/>
              </w:rPr>
              <w:t xml:space="preserve">employed </w:t>
            </w:r>
            <w:r>
              <w:rPr>
                <w:rFonts w:ascii="Arial" w:cs="Arial" w:eastAsia="Arial" w:hAnsi="Arial"/>
                <w:sz w:val="10"/>
                <w:szCs w:val="10"/>
                <w:color w:val="auto"/>
              </w:rPr>
              <w:t>(7)(8)</w:t>
            </w:r>
          </w:p>
        </w:tc>
        <w:tc>
          <w:tcPr>
            <w:tcW w:w="1200" w:type="dxa"/>
            <w:vAlign w:val="bottom"/>
            <w:tcBorders>
              <w:right w:val="single" w:sz="8" w:color="7F7F7F"/>
            </w:tcBorders>
            <w:vMerge w:val="continue"/>
          </w:tcPr>
          <w:p>
            <w:pPr>
              <w:spacing w:after="0"/>
              <w:rPr>
                <w:sz w:val="11"/>
                <w:szCs w:val="11"/>
                <w:color w:val="auto"/>
              </w:rPr>
            </w:pPr>
          </w:p>
        </w:tc>
        <w:tc>
          <w:tcPr>
            <w:tcW w:w="2400" w:type="dxa"/>
            <w:vAlign w:val="bottom"/>
          </w:tcPr>
          <w:p>
            <w:pPr>
              <w:ind w:left="40"/>
              <w:spacing w:after="0" w:line="135" w:lineRule="exact"/>
              <w:rPr>
                <w:sz w:val="20"/>
                <w:szCs w:val="20"/>
                <w:color w:val="auto"/>
              </w:rPr>
            </w:pPr>
            <w:r>
              <w:rPr>
                <w:rFonts w:ascii="Arial" w:cs="Arial" w:eastAsia="Arial" w:hAnsi="Arial"/>
                <w:sz w:val="13"/>
                <w:szCs w:val="13"/>
                <w:color w:val="auto"/>
              </w:rPr>
              <w:t>improvement ranked 2nd amongst LTIP</w:t>
            </w:r>
          </w:p>
        </w:tc>
        <w:tc>
          <w:tcPr>
            <w:tcW w:w="60" w:type="dxa"/>
            <w:vAlign w:val="bottom"/>
            <w:tcBorders>
              <w:right w:val="single" w:sz="8" w:color="7F7F7F"/>
            </w:tcBorders>
          </w:tcPr>
          <w:p>
            <w:pPr>
              <w:spacing w:after="0"/>
              <w:rPr>
                <w:sz w:val="11"/>
                <w:szCs w:val="11"/>
                <w:color w:val="auto"/>
              </w:rPr>
            </w:pPr>
          </w:p>
        </w:tc>
        <w:tc>
          <w:tcPr>
            <w:tcW w:w="980" w:type="dxa"/>
            <w:vAlign w:val="bottom"/>
            <w:tcBorders>
              <w:right w:val="single" w:sz="8" w:color="7F7F7F"/>
            </w:tcBorders>
          </w:tcPr>
          <w:p>
            <w:pPr>
              <w:spacing w:after="0"/>
              <w:rPr>
                <w:sz w:val="11"/>
                <w:szCs w:val="11"/>
                <w:color w:val="auto"/>
              </w:rPr>
            </w:pPr>
          </w:p>
        </w:tc>
        <w:tc>
          <w:tcPr>
            <w:tcW w:w="1300" w:type="dxa"/>
            <w:vAlign w:val="bottom"/>
            <w:tcBorders>
              <w:right w:val="single" w:sz="8" w:color="7F7F7F"/>
            </w:tcBorders>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Borders>
              <w:right w:val="single" w:sz="8" w:color="7F7F7F"/>
            </w:tcBorders>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440" w:type="dxa"/>
            <w:vAlign w:val="bottom"/>
            <w:tcBorders>
              <w:left w:val="single" w:sz="8" w:color="7F7F7F"/>
              <w:right w:val="single" w:sz="8" w:color="7F7F7F"/>
            </w:tcBorders>
          </w:tcPr>
          <w:p>
            <w:pPr>
              <w:spacing w:after="0"/>
              <w:rPr>
                <w:sz w:val="14"/>
                <w:szCs w:val="14"/>
                <w:color w:val="auto"/>
              </w:rPr>
            </w:pPr>
          </w:p>
        </w:tc>
        <w:tc>
          <w:tcPr>
            <w:tcW w:w="760" w:type="dxa"/>
            <w:vAlign w:val="bottom"/>
            <w:tcBorders>
              <w:right w:val="single" w:sz="8" w:color="7F7F7F"/>
            </w:tcBorders>
          </w:tcPr>
          <w:p>
            <w:pPr>
              <w:spacing w:after="0"/>
              <w:rPr>
                <w:sz w:val="14"/>
                <w:szCs w:val="14"/>
                <w:color w:val="auto"/>
              </w:rPr>
            </w:pPr>
          </w:p>
        </w:tc>
        <w:tc>
          <w:tcPr>
            <w:tcW w:w="1600" w:type="dxa"/>
            <w:vAlign w:val="bottom"/>
            <w:tcBorders>
              <w:right w:val="single" w:sz="8" w:color="7F7F7F"/>
            </w:tcBorders>
          </w:tcPr>
          <w:p>
            <w:pPr>
              <w:spacing w:after="0"/>
              <w:rPr>
                <w:sz w:val="14"/>
                <w:szCs w:val="14"/>
                <w:color w:val="auto"/>
              </w:rPr>
            </w:pPr>
          </w:p>
        </w:tc>
        <w:tc>
          <w:tcPr>
            <w:tcW w:w="1200" w:type="dxa"/>
            <w:vAlign w:val="bottom"/>
            <w:tcBorders>
              <w:right w:val="single" w:sz="8" w:color="7F7F7F"/>
            </w:tcBorders>
          </w:tcPr>
          <w:p>
            <w:pPr>
              <w:spacing w:after="0"/>
              <w:rPr>
                <w:sz w:val="14"/>
                <w:szCs w:val="14"/>
                <w:color w:val="auto"/>
              </w:rPr>
            </w:pPr>
          </w:p>
        </w:tc>
        <w:tc>
          <w:tcPr>
            <w:tcW w:w="2400" w:type="dxa"/>
            <w:vAlign w:val="bottom"/>
          </w:tcPr>
          <w:p>
            <w:pPr>
              <w:ind w:left="40"/>
              <w:spacing w:after="0"/>
              <w:rPr>
                <w:sz w:val="20"/>
                <w:szCs w:val="20"/>
                <w:color w:val="auto"/>
              </w:rPr>
            </w:pPr>
            <w:r>
              <w:rPr>
                <w:rFonts w:ascii="Arial" w:cs="Arial" w:eastAsia="Arial" w:hAnsi="Arial"/>
                <w:sz w:val="13"/>
                <w:szCs w:val="13"/>
                <w:color w:val="auto"/>
              </w:rPr>
              <w:t>peers.</w:t>
            </w:r>
          </w:p>
        </w:tc>
        <w:tc>
          <w:tcPr>
            <w:tcW w:w="60" w:type="dxa"/>
            <w:vAlign w:val="bottom"/>
            <w:tcBorders>
              <w:right w:val="single" w:sz="8" w:color="7F7F7F"/>
            </w:tcBorders>
          </w:tcPr>
          <w:p>
            <w:pPr>
              <w:spacing w:after="0"/>
              <w:rPr>
                <w:sz w:val="14"/>
                <w:szCs w:val="14"/>
                <w:color w:val="auto"/>
              </w:rPr>
            </w:pPr>
          </w:p>
        </w:tc>
        <w:tc>
          <w:tcPr>
            <w:tcW w:w="980" w:type="dxa"/>
            <w:vAlign w:val="bottom"/>
            <w:tcBorders>
              <w:right w:val="single" w:sz="8" w:color="7F7F7F"/>
            </w:tcBorders>
          </w:tcPr>
          <w:p>
            <w:pPr>
              <w:spacing w:after="0"/>
              <w:rPr>
                <w:sz w:val="14"/>
                <w:szCs w:val="14"/>
                <w:color w:val="auto"/>
              </w:rPr>
            </w:pPr>
          </w:p>
        </w:tc>
        <w:tc>
          <w:tcPr>
            <w:tcW w:w="1300" w:type="dxa"/>
            <w:vAlign w:val="bottom"/>
            <w:tcBorders>
              <w:right w:val="single" w:sz="8" w:color="7F7F7F"/>
            </w:tcBorders>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Borders>
              <w:right w:val="single" w:sz="8" w:color="7F7F7F"/>
            </w:tcBorders>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1440" w:type="dxa"/>
            <w:vAlign w:val="bottom"/>
            <w:tcBorders>
              <w:left w:val="single" w:sz="8" w:color="7F7F7F"/>
              <w:right w:val="single" w:sz="8" w:color="7F7F7F"/>
            </w:tcBorders>
          </w:tcPr>
          <w:p>
            <w:pPr>
              <w:spacing w:after="0"/>
              <w:rPr>
                <w:sz w:val="3"/>
                <w:szCs w:val="3"/>
                <w:color w:val="auto"/>
              </w:rPr>
            </w:pPr>
          </w:p>
        </w:tc>
        <w:tc>
          <w:tcPr>
            <w:tcW w:w="760" w:type="dxa"/>
            <w:vAlign w:val="bottom"/>
            <w:tcBorders>
              <w:right w:val="single" w:sz="8" w:color="7F7F7F"/>
            </w:tcBorders>
          </w:tcPr>
          <w:p>
            <w:pPr>
              <w:spacing w:after="0"/>
              <w:rPr>
                <w:sz w:val="3"/>
                <w:szCs w:val="3"/>
                <w:color w:val="auto"/>
              </w:rPr>
            </w:pPr>
          </w:p>
        </w:tc>
        <w:tc>
          <w:tcPr>
            <w:tcW w:w="1600" w:type="dxa"/>
            <w:vAlign w:val="bottom"/>
            <w:tcBorders>
              <w:bottom w:val="single" w:sz="8" w:color="7F7F7F"/>
              <w:right w:val="single" w:sz="8" w:color="7F7F7F"/>
            </w:tcBorders>
          </w:tcPr>
          <w:p>
            <w:pPr>
              <w:spacing w:after="0"/>
              <w:rPr>
                <w:sz w:val="3"/>
                <w:szCs w:val="3"/>
                <w:color w:val="auto"/>
              </w:rPr>
            </w:pPr>
          </w:p>
        </w:tc>
        <w:tc>
          <w:tcPr>
            <w:tcW w:w="1200" w:type="dxa"/>
            <w:vAlign w:val="bottom"/>
            <w:tcBorders>
              <w:bottom w:val="single" w:sz="8" w:color="7F7F7F"/>
              <w:right w:val="single" w:sz="8" w:color="7F7F7F"/>
            </w:tcBorders>
          </w:tcPr>
          <w:p>
            <w:pPr>
              <w:spacing w:after="0"/>
              <w:rPr>
                <w:sz w:val="3"/>
                <w:szCs w:val="3"/>
                <w:color w:val="auto"/>
              </w:rPr>
            </w:pPr>
          </w:p>
        </w:tc>
        <w:tc>
          <w:tcPr>
            <w:tcW w:w="2400" w:type="dxa"/>
            <w:vAlign w:val="bottom"/>
            <w:tcBorders>
              <w:bottom w:val="single" w:sz="8" w:color="7F7F7F"/>
            </w:tcBorders>
          </w:tcPr>
          <w:p>
            <w:pPr>
              <w:spacing w:after="0"/>
              <w:rPr>
                <w:sz w:val="3"/>
                <w:szCs w:val="3"/>
                <w:color w:val="auto"/>
              </w:rPr>
            </w:pPr>
          </w:p>
        </w:tc>
        <w:tc>
          <w:tcPr>
            <w:tcW w:w="60" w:type="dxa"/>
            <w:vAlign w:val="bottom"/>
            <w:tcBorders>
              <w:bottom w:val="single" w:sz="8" w:color="7F7F7F"/>
              <w:right w:val="single" w:sz="8" w:color="7F7F7F"/>
            </w:tcBorders>
          </w:tcPr>
          <w:p>
            <w:pPr>
              <w:spacing w:after="0"/>
              <w:rPr>
                <w:sz w:val="3"/>
                <w:szCs w:val="3"/>
                <w:color w:val="auto"/>
              </w:rPr>
            </w:pPr>
          </w:p>
        </w:tc>
        <w:tc>
          <w:tcPr>
            <w:tcW w:w="980" w:type="dxa"/>
            <w:vAlign w:val="bottom"/>
            <w:tcBorders>
              <w:bottom w:val="single" w:sz="8" w:color="7F7F7F"/>
              <w:right w:val="single" w:sz="8" w:color="7F7F7F"/>
            </w:tcBorders>
          </w:tcPr>
          <w:p>
            <w:pPr>
              <w:spacing w:after="0"/>
              <w:rPr>
                <w:sz w:val="3"/>
                <w:szCs w:val="3"/>
                <w:color w:val="auto"/>
              </w:rPr>
            </w:pPr>
          </w:p>
        </w:tc>
        <w:tc>
          <w:tcPr>
            <w:tcW w:w="1300" w:type="dxa"/>
            <w:vAlign w:val="bottom"/>
            <w:tcBorders>
              <w:right w:val="single" w:sz="8" w:color="7F7F7F"/>
            </w:tcBorders>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Borders>
              <w:right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1440" w:type="dxa"/>
            <w:vAlign w:val="bottom"/>
            <w:tcBorders>
              <w:left w:val="single" w:sz="8" w:color="7F7F7F"/>
              <w:right w:val="single" w:sz="8" w:color="7F7F7F"/>
            </w:tcBorders>
          </w:tcPr>
          <w:p>
            <w:pPr>
              <w:spacing w:after="0"/>
              <w:rPr>
                <w:sz w:val="9"/>
                <w:szCs w:val="9"/>
                <w:color w:val="auto"/>
              </w:rPr>
            </w:pPr>
          </w:p>
        </w:tc>
        <w:tc>
          <w:tcPr>
            <w:tcW w:w="760" w:type="dxa"/>
            <w:vAlign w:val="bottom"/>
            <w:tcBorders>
              <w:right w:val="single" w:sz="8" w:color="7F7F7F"/>
            </w:tcBorders>
          </w:tcPr>
          <w:p>
            <w:pPr>
              <w:spacing w:after="0"/>
              <w:rPr>
                <w:sz w:val="9"/>
                <w:szCs w:val="9"/>
                <w:color w:val="auto"/>
              </w:rPr>
            </w:pPr>
          </w:p>
        </w:tc>
        <w:tc>
          <w:tcPr>
            <w:tcW w:w="1600" w:type="dxa"/>
            <w:vAlign w:val="bottom"/>
            <w:tcBorders>
              <w:right w:val="single" w:sz="8" w:color="7F7F7F"/>
            </w:tcBorders>
          </w:tcPr>
          <w:p>
            <w:pPr>
              <w:ind w:left="40"/>
              <w:spacing w:after="0" w:line="111" w:lineRule="exact"/>
              <w:rPr>
                <w:sz w:val="20"/>
                <w:szCs w:val="20"/>
                <w:color w:val="auto"/>
              </w:rPr>
            </w:pPr>
            <w:r>
              <w:rPr>
                <w:rFonts w:ascii="Arial" w:cs="Arial" w:eastAsia="Arial" w:hAnsi="Arial"/>
                <w:sz w:val="12"/>
                <w:szCs w:val="12"/>
                <w:color w:val="auto"/>
              </w:rPr>
              <w:t>Organic Capital and</w:t>
            </w:r>
          </w:p>
        </w:tc>
        <w:tc>
          <w:tcPr>
            <w:tcW w:w="1200" w:type="dxa"/>
            <w:vAlign w:val="bottom"/>
            <w:tcBorders>
              <w:right w:val="single" w:sz="8" w:color="7F7F7F"/>
            </w:tcBorders>
          </w:tcPr>
          <w:p>
            <w:pPr>
              <w:spacing w:after="0"/>
              <w:rPr>
                <w:sz w:val="9"/>
                <w:szCs w:val="9"/>
                <w:color w:val="auto"/>
              </w:rPr>
            </w:pPr>
          </w:p>
        </w:tc>
        <w:tc>
          <w:tcPr>
            <w:tcW w:w="2400" w:type="dxa"/>
            <w:vAlign w:val="bottom"/>
          </w:tcPr>
          <w:p>
            <w:pPr>
              <w:spacing w:after="0"/>
              <w:rPr>
                <w:sz w:val="9"/>
                <w:szCs w:val="9"/>
                <w:color w:val="auto"/>
              </w:rPr>
            </w:pPr>
          </w:p>
        </w:tc>
        <w:tc>
          <w:tcPr>
            <w:tcW w:w="60" w:type="dxa"/>
            <w:vAlign w:val="bottom"/>
            <w:tcBorders>
              <w:right w:val="single" w:sz="8" w:color="7F7F7F"/>
            </w:tcBorders>
          </w:tcPr>
          <w:p>
            <w:pPr>
              <w:spacing w:after="0"/>
              <w:rPr>
                <w:sz w:val="9"/>
                <w:szCs w:val="9"/>
                <w:color w:val="auto"/>
              </w:rPr>
            </w:pPr>
          </w:p>
        </w:tc>
        <w:tc>
          <w:tcPr>
            <w:tcW w:w="980" w:type="dxa"/>
            <w:vAlign w:val="bottom"/>
            <w:tcBorders>
              <w:right w:val="single" w:sz="8" w:color="7F7F7F"/>
            </w:tcBorders>
          </w:tcPr>
          <w:p>
            <w:pPr>
              <w:spacing w:after="0"/>
              <w:rPr>
                <w:sz w:val="9"/>
                <w:szCs w:val="9"/>
                <w:color w:val="auto"/>
              </w:rPr>
            </w:pPr>
          </w:p>
        </w:tc>
        <w:tc>
          <w:tcPr>
            <w:tcW w:w="1300" w:type="dxa"/>
            <w:vAlign w:val="bottom"/>
            <w:tcBorders>
              <w:right w:val="single" w:sz="8" w:color="7F7F7F"/>
            </w:tcBorders>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Borders>
              <w:right w:val="single" w:sz="8" w:color="7F7F7F"/>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440" w:type="dxa"/>
            <w:vAlign w:val="bottom"/>
            <w:tcBorders>
              <w:left w:val="single" w:sz="8" w:color="7F7F7F"/>
              <w:right w:val="single" w:sz="8" w:color="7F7F7F"/>
            </w:tcBorders>
          </w:tcPr>
          <w:p>
            <w:pPr>
              <w:spacing w:after="0"/>
              <w:rPr>
                <w:sz w:val="13"/>
                <w:szCs w:val="13"/>
                <w:color w:val="auto"/>
              </w:rPr>
            </w:pPr>
          </w:p>
        </w:tc>
        <w:tc>
          <w:tcPr>
            <w:tcW w:w="760" w:type="dxa"/>
            <w:vAlign w:val="bottom"/>
            <w:tcBorders>
              <w:right w:val="single" w:sz="8" w:color="7F7F7F"/>
            </w:tcBorders>
          </w:tcPr>
          <w:p>
            <w:pPr>
              <w:spacing w:after="0"/>
              <w:rPr>
                <w:sz w:val="13"/>
                <w:szCs w:val="13"/>
                <w:color w:val="auto"/>
              </w:rPr>
            </w:pPr>
          </w:p>
        </w:tc>
        <w:tc>
          <w:tcPr>
            <w:tcW w:w="1600" w:type="dxa"/>
            <w:vAlign w:val="bottom"/>
            <w:tcBorders>
              <w:right w:val="single" w:sz="8" w:color="7F7F7F"/>
            </w:tcBorders>
          </w:tcPr>
          <w:p>
            <w:pPr>
              <w:ind w:left="40"/>
              <w:spacing w:after="0"/>
              <w:rPr>
                <w:sz w:val="20"/>
                <w:szCs w:val="20"/>
                <w:color w:val="auto"/>
              </w:rPr>
            </w:pPr>
            <w:r>
              <w:rPr>
                <w:rFonts w:ascii="Arial" w:cs="Arial" w:eastAsia="Arial" w:hAnsi="Arial"/>
                <w:sz w:val="13"/>
                <w:szCs w:val="13"/>
                <w:color w:val="auto"/>
              </w:rPr>
              <w:t>exploratory expenditures,</w:t>
            </w:r>
          </w:p>
        </w:tc>
        <w:tc>
          <w:tcPr>
            <w:tcW w:w="1200" w:type="dxa"/>
            <w:vAlign w:val="bottom"/>
            <w:tcBorders>
              <w:right w:val="single" w:sz="8" w:color="7F7F7F"/>
            </w:tcBorders>
          </w:tcPr>
          <w:p>
            <w:pPr>
              <w:jc w:val="center"/>
              <w:spacing w:after="0"/>
              <w:rPr>
                <w:sz w:val="20"/>
                <w:szCs w:val="20"/>
                <w:color w:val="auto"/>
              </w:rPr>
            </w:pPr>
            <w:r>
              <w:rPr>
                <w:rFonts w:ascii="Arial" w:cs="Arial" w:eastAsia="Arial" w:hAnsi="Arial"/>
                <w:sz w:val="13"/>
                <w:szCs w:val="13"/>
                <w:color w:val="auto"/>
                <w:w w:val="96"/>
              </w:rPr>
              <w:t>$13.9B</w:t>
            </w:r>
          </w:p>
        </w:tc>
        <w:tc>
          <w:tcPr>
            <w:tcW w:w="2400" w:type="dxa"/>
            <w:vAlign w:val="bottom"/>
          </w:tcPr>
          <w:p>
            <w:pPr>
              <w:ind w:left="40"/>
              <w:spacing w:after="0"/>
              <w:rPr>
                <w:sz w:val="20"/>
                <w:szCs w:val="20"/>
                <w:color w:val="auto"/>
              </w:rPr>
            </w:pPr>
            <w:r>
              <w:rPr>
                <w:rFonts w:ascii="Arial" w:cs="Arial" w:eastAsia="Arial" w:hAnsi="Arial"/>
                <w:sz w:val="13"/>
                <w:szCs w:val="13"/>
                <w:color w:val="auto"/>
              </w:rPr>
              <w:t>$11.6 B, significantly better than Plan.</w:t>
            </w:r>
          </w:p>
        </w:tc>
        <w:tc>
          <w:tcPr>
            <w:tcW w:w="60" w:type="dxa"/>
            <w:vAlign w:val="bottom"/>
            <w:tcBorders>
              <w:right w:val="single" w:sz="8" w:color="7F7F7F"/>
            </w:tcBorders>
          </w:tcPr>
          <w:p>
            <w:pPr>
              <w:spacing w:after="0"/>
              <w:rPr>
                <w:sz w:val="13"/>
                <w:szCs w:val="13"/>
                <w:color w:val="auto"/>
              </w:rPr>
            </w:pPr>
          </w:p>
        </w:tc>
        <w:tc>
          <w:tcPr>
            <w:tcW w:w="980" w:type="dxa"/>
            <w:vAlign w:val="bottom"/>
            <w:tcBorders>
              <w:right w:val="single" w:sz="8" w:color="7F7F7F"/>
            </w:tcBorders>
          </w:tcPr>
          <w:p>
            <w:pPr>
              <w:spacing w:after="0"/>
              <w:rPr>
                <w:sz w:val="13"/>
                <w:szCs w:val="13"/>
                <w:color w:val="auto"/>
              </w:rPr>
            </w:pPr>
          </w:p>
        </w:tc>
        <w:tc>
          <w:tcPr>
            <w:tcW w:w="1300" w:type="dxa"/>
            <w:vAlign w:val="bottom"/>
            <w:tcBorders>
              <w:right w:val="single" w:sz="8" w:color="7F7F7F"/>
            </w:tcBorders>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Borders>
              <w:right w:val="single" w:sz="8" w:color="7F7F7F"/>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440" w:type="dxa"/>
            <w:vAlign w:val="bottom"/>
            <w:tcBorders>
              <w:left w:val="single" w:sz="8" w:color="7F7F7F"/>
              <w:right w:val="single" w:sz="8" w:color="7F7F7F"/>
            </w:tcBorders>
          </w:tcPr>
          <w:p>
            <w:pPr>
              <w:spacing w:after="0"/>
              <w:rPr>
                <w:sz w:val="14"/>
                <w:szCs w:val="14"/>
                <w:color w:val="auto"/>
              </w:rPr>
            </w:pPr>
          </w:p>
        </w:tc>
        <w:tc>
          <w:tcPr>
            <w:tcW w:w="760" w:type="dxa"/>
            <w:vAlign w:val="bottom"/>
            <w:tcBorders>
              <w:right w:val="single" w:sz="8" w:color="7F7F7F"/>
            </w:tcBorders>
          </w:tcPr>
          <w:p>
            <w:pPr>
              <w:spacing w:after="0"/>
              <w:rPr>
                <w:sz w:val="14"/>
                <w:szCs w:val="14"/>
                <w:color w:val="auto"/>
              </w:rPr>
            </w:pPr>
          </w:p>
        </w:tc>
        <w:tc>
          <w:tcPr>
            <w:tcW w:w="1600" w:type="dxa"/>
            <w:vAlign w:val="bottom"/>
            <w:tcBorders>
              <w:right w:val="single" w:sz="8" w:color="7F7F7F"/>
            </w:tcBorders>
          </w:tcPr>
          <w:p>
            <w:pPr>
              <w:ind w:left="40"/>
              <w:spacing w:after="0"/>
              <w:rPr>
                <w:sz w:val="20"/>
                <w:szCs w:val="20"/>
                <w:color w:val="auto"/>
              </w:rPr>
            </w:pPr>
            <w:r>
              <w:rPr>
                <w:rFonts w:ascii="Arial" w:cs="Arial" w:eastAsia="Arial" w:hAnsi="Arial"/>
                <w:sz w:val="13"/>
                <w:szCs w:val="13"/>
                <w:color w:val="auto"/>
                <w:w w:val="98"/>
              </w:rPr>
              <w:t>including equity in affiliates</w:t>
            </w:r>
          </w:p>
        </w:tc>
        <w:tc>
          <w:tcPr>
            <w:tcW w:w="1200" w:type="dxa"/>
            <w:vAlign w:val="bottom"/>
            <w:tcBorders>
              <w:right w:val="single" w:sz="8" w:color="7F7F7F"/>
            </w:tcBorders>
          </w:tcPr>
          <w:p>
            <w:pPr>
              <w:spacing w:after="0"/>
              <w:rPr>
                <w:sz w:val="14"/>
                <w:szCs w:val="14"/>
                <w:color w:val="auto"/>
              </w:rPr>
            </w:pPr>
          </w:p>
        </w:tc>
        <w:tc>
          <w:tcPr>
            <w:tcW w:w="2400" w:type="dxa"/>
            <w:vAlign w:val="bottom"/>
          </w:tcPr>
          <w:p>
            <w:pPr>
              <w:spacing w:after="0"/>
              <w:rPr>
                <w:sz w:val="14"/>
                <w:szCs w:val="14"/>
                <w:color w:val="auto"/>
              </w:rPr>
            </w:pPr>
          </w:p>
        </w:tc>
        <w:tc>
          <w:tcPr>
            <w:tcW w:w="60" w:type="dxa"/>
            <w:vAlign w:val="bottom"/>
            <w:tcBorders>
              <w:right w:val="single" w:sz="8" w:color="7F7F7F"/>
            </w:tcBorders>
          </w:tcPr>
          <w:p>
            <w:pPr>
              <w:spacing w:after="0"/>
              <w:rPr>
                <w:sz w:val="14"/>
                <w:szCs w:val="14"/>
                <w:color w:val="auto"/>
              </w:rPr>
            </w:pPr>
          </w:p>
        </w:tc>
        <w:tc>
          <w:tcPr>
            <w:tcW w:w="980" w:type="dxa"/>
            <w:vAlign w:val="bottom"/>
            <w:tcBorders>
              <w:right w:val="single" w:sz="8" w:color="7F7F7F"/>
            </w:tcBorders>
          </w:tcPr>
          <w:p>
            <w:pPr>
              <w:spacing w:after="0"/>
              <w:rPr>
                <w:sz w:val="14"/>
                <w:szCs w:val="14"/>
                <w:color w:val="auto"/>
              </w:rPr>
            </w:pPr>
          </w:p>
        </w:tc>
        <w:tc>
          <w:tcPr>
            <w:tcW w:w="1300" w:type="dxa"/>
            <w:vAlign w:val="bottom"/>
            <w:tcBorders>
              <w:right w:val="single" w:sz="8" w:color="7F7F7F"/>
            </w:tcBorders>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Borders>
              <w:right w:val="single" w:sz="8" w:color="7F7F7F"/>
            </w:tcBorders>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1440" w:type="dxa"/>
            <w:vAlign w:val="bottom"/>
            <w:tcBorders>
              <w:left w:val="single" w:sz="8" w:color="7F7F7F"/>
              <w:right w:val="single" w:sz="8" w:color="7F7F7F"/>
            </w:tcBorders>
          </w:tcPr>
          <w:p>
            <w:pPr>
              <w:spacing w:after="0"/>
              <w:rPr>
                <w:sz w:val="3"/>
                <w:szCs w:val="3"/>
                <w:color w:val="auto"/>
              </w:rPr>
            </w:pPr>
          </w:p>
        </w:tc>
        <w:tc>
          <w:tcPr>
            <w:tcW w:w="760" w:type="dxa"/>
            <w:vAlign w:val="bottom"/>
            <w:tcBorders>
              <w:right w:val="single" w:sz="8" w:color="7F7F7F"/>
            </w:tcBorders>
          </w:tcPr>
          <w:p>
            <w:pPr>
              <w:spacing w:after="0"/>
              <w:rPr>
                <w:sz w:val="3"/>
                <w:szCs w:val="3"/>
                <w:color w:val="auto"/>
              </w:rPr>
            </w:pPr>
          </w:p>
        </w:tc>
        <w:tc>
          <w:tcPr>
            <w:tcW w:w="1600" w:type="dxa"/>
            <w:vAlign w:val="bottom"/>
            <w:tcBorders>
              <w:bottom w:val="single" w:sz="8" w:color="7F7F7F"/>
              <w:right w:val="single" w:sz="8" w:color="7F7F7F"/>
            </w:tcBorders>
          </w:tcPr>
          <w:p>
            <w:pPr>
              <w:spacing w:after="0"/>
              <w:rPr>
                <w:sz w:val="3"/>
                <w:szCs w:val="3"/>
                <w:color w:val="auto"/>
              </w:rPr>
            </w:pPr>
          </w:p>
        </w:tc>
        <w:tc>
          <w:tcPr>
            <w:tcW w:w="1200" w:type="dxa"/>
            <w:vAlign w:val="bottom"/>
            <w:tcBorders>
              <w:bottom w:val="single" w:sz="8" w:color="7F7F7F"/>
              <w:right w:val="single" w:sz="8" w:color="7F7F7F"/>
            </w:tcBorders>
          </w:tcPr>
          <w:p>
            <w:pPr>
              <w:spacing w:after="0"/>
              <w:rPr>
                <w:sz w:val="3"/>
                <w:szCs w:val="3"/>
                <w:color w:val="auto"/>
              </w:rPr>
            </w:pPr>
          </w:p>
        </w:tc>
        <w:tc>
          <w:tcPr>
            <w:tcW w:w="2400" w:type="dxa"/>
            <w:vAlign w:val="bottom"/>
            <w:tcBorders>
              <w:bottom w:val="single" w:sz="8" w:color="7F7F7F"/>
            </w:tcBorders>
          </w:tcPr>
          <w:p>
            <w:pPr>
              <w:spacing w:after="0"/>
              <w:rPr>
                <w:sz w:val="3"/>
                <w:szCs w:val="3"/>
                <w:color w:val="auto"/>
              </w:rPr>
            </w:pPr>
          </w:p>
        </w:tc>
        <w:tc>
          <w:tcPr>
            <w:tcW w:w="60" w:type="dxa"/>
            <w:vAlign w:val="bottom"/>
            <w:tcBorders>
              <w:bottom w:val="single" w:sz="8" w:color="7F7F7F"/>
              <w:right w:val="single" w:sz="8" w:color="7F7F7F"/>
            </w:tcBorders>
          </w:tcPr>
          <w:p>
            <w:pPr>
              <w:spacing w:after="0"/>
              <w:rPr>
                <w:sz w:val="3"/>
                <w:szCs w:val="3"/>
                <w:color w:val="auto"/>
              </w:rPr>
            </w:pPr>
          </w:p>
        </w:tc>
        <w:tc>
          <w:tcPr>
            <w:tcW w:w="980" w:type="dxa"/>
            <w:vAlign w:val="bottom"/>
            <w:tcBorders>
              <w:bottom w:val="single" w:sz="8" w:color="7F7F7F"/>
              <w:right w:val="single" w:sz="8" w:color="7F7F7F"/>
            </w:tcBorders>
          </w:tcPr>
          <w:p>
            <w:pPr>
              <w:spacing w:after="0"/>
              <w:rPr>
                <w:sz w:val="3"/>
                <w:szCs w:val="3"/>
                <w:color w:val="auto"/>
              </w:rPr>
            </w:pPr>
          </w:p>
        </w:tc>
        <w:tc>
          <w:tcPr>
            <w:tcW w:w="1300" w:type="dxa"/>
            <w:vAlign w:val="bottom"/>
            <w:tcBorders>
              <w:right w:val="single" w:sz="8" w:color="7F7F7F"/>
            </w:tcBorders>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Borders>
              <w:right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440" w:type="dxa"/>
            <w:vAlign w:val="bottom"/>
            <w:tcBorders>
              <w:left w:val="single" w:sz="8" w:color="7F7F7F"/>
              <w:right w:val="single" w:sz="8" w:color="7F7F7F"/>
            </w:tcBorders>
          </w:tcPr>
          <w:p>
            <w:pPr>
              <w:jc w:val="center"/>
              <w:spacing w:after="0"/>
              <w:rPr>
                <w:sz w:val="20"/>
                <w:szCs w:val="20"/>
                <w:color w:val="auto"/>
              </w:rPr>
            </w:pPr>
            <w:r>
              <w:rPr>
                <w:rFonts w:ascii="Arial" w:cs="Arial" w:eastAsia="Arial" w:hAnsi="Arial"/>
                <w:sz w:val="13"/>
                <w:szCs w:val="13"/>
                <w:b w:val="1"/>
                <w:bCs w:val="1"/>
                <w:color w:val="auto"/>
                <w:w w:val="96"/>
              </w:rPr>
              <w:t>Capital</w:t>
            </w:r>
          </w:p>
        </w:tc>
        <w:tc>
          <w:tcPr>
            <w:tcW w:w="760" w:type="dxa"/>
            <w:vAlign w:val="bottom"/>
            <w:tcBorders>
              <w:right w:val="single" w:sz="8" w:color="7F7F7F"/>
            </w:tcBorders>
            <w:vMerge w:val="restart"/>
          </w:tcPr>
          <w:p>
            <w:pPr>
              <w:jc w:val="right"/>
              <w:ind w:right="177"/>
              <w:spacing w:after="0"/>
              <w:rPr>
                <w:sz w:val="20"/>
                <w:szCs w:val="20"/>
                <w:color w:val="auto"/>
              </w:rPr>
            </w:pPr>
            <w:r>
              <w:rPr>
                <w:rFonts w:ascii="Arial" w:cs="Arial" w:eastAsia="Arial" w:hAnsi="Arial"/>
                <w:sz w:val="13"/>
                <w:szCs w:val="13"/>
                <w:color w:val="auto"/>
              </w:rPr>
              <w:t>30%</w:t>
            </w:r>
          </w:p>
        </w:tc>
        <w:tc>
          <w:tcPr>
            <w:tcW w:w="1600" w:type="dxa"/>
            <w:vAlign w:val="bottom"/>
            <w:tcBorders>
              <w:right w:val="single" w:sz="8" w:color="7F7F7F"/>
            </w:tcBorders>
          </w:tcPr>
          <w:p>
            <w:pPr>
              <w:spacing w:after="0"/>
              <w:rPr>
                <w:sz w:val="17"/>
                <w:szCs w:val="17"/>
                <w:color w:val="auto"/>
              </w:rPr>
            </w:pPr>
          </w:p>
        </w:tc>
        <w:tc>
          <w:tcPr>
            <w:tcW w:w="1200" w:type="dxa"/>
            <w:vAlign w:val="bottom"/>
            <w:tcBorders>
              <w:right w:val="single" w:sz="8" w:color="7F7F7F"/>
            </w:tcBorders>
          </w:tcPr>
          <w:p>
            <w:pPr>
              <w:jc w:val="center"/>
              <w:spacing w:after="0"/>
              <w:rPr>
                <w:sz w:val="20"/>
                <w:szCs w:val="20"/>
                <w:color w:val="auto"/>
              </w:rPr>
            </w:pPr>
            <w:r>
              <w:rPr>
                <w:rFonts w:ascii="Arial" w:cs="Arial" w:eastAsia="Arial" w:hAnsi="Arial"/>
                <w:sz w:val="13"/>
                <w:szCs w:val="13"/>
                <w:color w:val="auto"/>
                <w:w w:val="97"/>
              </w:rPr>
              <w:t>$8.50/BOE</w:t>
            </w:r>
          </w:p>
        </w:tc>
        <w:tc>
          <w:tcPr>
            <w:tcW w:w="2400" w:type="dxa"/>
            <w:vAlign w:val="bottom"/>
          </w:tcPr>
          <w:p>
            <w:pPr>
              <w:ind w:left="40"/>
              <w:spacing w:after="0"/>
              <w:rPr>
                <w:sz w:val="20"/>
                <w:szCs w:val="20"/>
                <w:color w:val="auto"/>
              </w:rPr>
            </w:pPr>
            <w:r>
              <w:rPr>
                <w:rFonts w:ascii="Arial" w:cs="Arial" w:eastAsia="Arial" w:hAnsi="Arial"/>
                <w:sz w:val="13"/>
                <w:szCs w:val="13"/>
                <w:color w:val="auto"/>
              </w:rPr>
              <w:t>Permian - Company-operated average</w:t>
            </w:r>
          </w:p>
        </w:tc>
        <w:tc>
          <w:tcPr>
            <w:tcW w:w="60" w:type="dxa"/>
            <w:vAlign w:val="bottom"/>
            <w:tcBorders>
              <w:right w:val="single" w:sz="8" w:color="7F7F7F"/>
            </w:tcBorders>
          </w:tcPr>
          <w:p>
            <w:pPr>
              <w:spacing w:after="0"/>
              <w:rPr>
                <w:sz w:val="17"/>
                <w:szCs w:val="17"/>
                <w:color w:val="auto"/>
              </w:rPr>
            </w:pPr>
          </w:p>
        </w:tc>
        <w:tc>
          <w:tcPr>
            <w:tcW w:w="980" w:type="dxa"/>
            <w:vAlign w:val="bottom"/>
            <w:tcBorders>
              <w:right w:val="single" w:sz="8" w:color="7F7F7F"/>
            </w:tcBorders>
          </w:tcPr>
          <w:p>
            <w:pPr>
              <w:spacing w:after="0"/>
              <w:rPr>
                <w:sz w:val="17"/>
                <w:szCs w:val="17"/>
                <w:color w:val="auto"/>
              </w:rPr>
            </w:pPr>
          </w:p>
        </w:tc>
        <w:tc>
          <w:tcPr>
            <w:tcW w:w="1300" w:type="dxa"/>
            <w:vAlign w:val="bottom"/>
            <w:tcBorders>
              <w:right w:val="single" w:sz="8" w:color="7F7F7F"/>
            </w:tcBorders>
            <w:vMerge w:val="restart"/>
          </w:tcPr>
          <w:p>
            <w:pPr>
              <w:jc w:val="right"/>
              <w:ind w:right="257"/>
              <w:spacing w:after="0"/>
              <w:rPr>
                <w:sz w:val="20"/>
                <w:szCs w:val="20"/>
                <w:color w:val="auto"/>
              </w:rPr>
            </w:pPr>
            <w:r>
              <w:rPr>
                <w:rFonts w:ascii="Arial" w:cs="Arial" w:eastAsia="Arial" w:hAnsi="Arial"/>
                <w:sz w:val="13"/>
                <w:szCs w:val="13"/>
                <w:b w:val="1"/>
                <w:bCs w:val="1"/>
                <w:color w:val="auto"/>
              </w:rPr>
              <w:t>1.45 - 1.60</w:t>
            </w:r>
          </w:p>
        </w:tc>
        <w:tc>
          <w:tcPr>
            <w:tcW w:w="680" w:type="dxa"/>
            <w:vAlign w:val="bottom"/>
            <w:vMerge w:val="restart"/>
          </w:tcPr>
          <w:p>
            <w:pPr>
              <w:ind w:left="320"/>
              <w:spacing w:after="0"/>
              <w:rPr>
                <w:sz w:val="20"/>
                <w:szCs w:val="20"/>
                <w:color w:val="auto"/>
              </w:rPr>
            </w:pPr>
            <w:r>
              <w:rPr>
                <w:rFonts w:ascii="Arial" w:cs="Arial" w:eastAsia="Arial" w:hAnsi="Arial"/>
                <w:sz w:val="13"/>
                <w:szCs w:val="13"/>
                <w:b w:val="1"/>
                <w:bCs w:val="1"/>
                <w:color w:val="auto"/>
              </w:rPr>
              <w:t>0.44 -</w:t>
            </w:r>
          </w:p>
        </w:tc>
        <w:tc>
          <w:tcPr>
            <w:tcW w:w="540" w:type="dxa"/>
            <w:vAlign w:val="bottom"/>
            <w:tcBorders>
              <w:right w:val="single" w:sz="8" w:color="7F7F7F"/>
            </w:tcBorders>
            <w:vMerge w:val="restart"/>
          </w:tcPr>
          <w:p>
            <w:pPr>
              <w:jc w:val="right"/>
              <w:ind w:right="197"/>
              <w:spacing w:after="0"/>
              <w:rPr>
                <w:sz w:val="20"/>
                <w:szCs w:val="20"/>
                <w:color w:val="auto"/>
              </w:rPr>
            </w:pPr>
            <w:r>
              <w:rPr>
                <w:rFonts w:ascii="Arial" w:cs="Arial" w:eastAsia="Arial" w:hAnsi="Arial"/>
                <w:sz w:val="13"/>
                <w:szCs w:val="13"/>
                <w:b w:val="1"/>
                <w:bCs w:val="1"/>
                <w:color w:val="auto"/>
              </w:rPr>
              <w:t>0.48</w:t>
            </w:r>
          </w:p>
        </w:tc>
        <w:tc>
          <w:tcPr>
            <w:tcW w:w="0" w:type="dxa"/>
            <w:vAlign w:val="bottom"/>
          </w:tcPr>
          <w:p>
            <w:pPr>
              <w:spacing w:after="0"/>
              <w:rPr>
                <w:sz w:val="1"/>
                <w:szCs w:val="1"/>
                <w:color w:val="auto"/>
              </w:rPr>
            </w:pPr>
          </w:p>
        </w:tc>
      </w:tr>
      <w:tr>
        <w:trPr>
          <w:trHeight w:val="166"/>
        </w:trPr>
        <w:tc>
          <w:tcPr>
            <w:tcW w:w="1440" w:type="dxa"/>
            <w:vAlign w:val="bottom"/>
            <w:tcBorders>
              <w:left w:val="single" w:sz="8" w:color="7F7F7F"/>
              <w:right w:val="single" w:sz="8" w:color="7F7F7F"/>
            </w:tcBorders>
            <w:vMerge w:val="restart"/>
          </w:tcPr>
          <w:p>
            <w:pPr>
              <w:jc w:val="center"/>
              <w:spacing w:after="0"/>
              <w:rPr>
                <w:sz w:val="20"/>
                <w:szCs w:val="20"/>
                <w:color w:val="auto"/>
              </w:rPr>
            </w:pPr>
            <w:r>
              <w:rPr>
                <w:rFonts w:ascii="Arial" w:cs="Arial" w:eastAsia="Arial" w:hAnsi="Arial"/>
                <w:sz w:val="13"/>
                <w:szCs w:val="13"/>
                <w:b w:val="1"/>
                <w:bCs w:val="1"/>
                <w:color w:val="auto"/>
                <w:w w:val="98"/>
              </w:rPr>
              <w:t>Management</w:t>
            </w:r>
          </w:p>
        </w:tc>
        <w:tc>
          <w:tcPr>
            <w:tcW w:w="760" w:type="dxa"/>
            <w:vAlign w:val="bottom"/>
            <w:tcBorders>
              <w:right w:val="single" w:sz="8" w:color="7F7F7F"/>
            </w:tcBorders>
            <w:vMerge w:val="continue"/>
          </w:tcPr>
          <w:p>
            <w:pPr>
              <w:spacing w:after="0"/>
              <w:rPr>
                <w:sz w:val="14"/>
                <w:szCs w:val="14"/>
                <w:color w:val="auto"/>
              </w:rPr>
            </w:pPr>
          </w:p>
        </w:tc>
        <w:tc>
          <w:tcPr>
            <w:tcW w:w="1600" w:type="dxa"/>
            <w:vAlign w:val="bottom"/>
            <w:tcBorders>
              <w:right w:val="single" w:sz="8" w:color="7F7F7F"/>
            </w:tcBorders>
          </w:tcPr>
          <w:p>
            <w:pPr>
              <w:spacing w:after="0"/>
              <w:rPr>
                <w:sz w:val="14"/>
                <w:szCs w:val="14"/>
                <w:color w:val="auto"/>
              </w:rPr>
            </w:pPr>
          </w:p>
        </w:tc>
        <w:tc>
          <w:tcPr>
            <w:tcW w:w="1200" w:type="dxa"/>
            <w:vAlign w:val="bottom"/>
            <w:tcBorders>
              <w:right w:val="single" w:sz="8" w:color="7F7F7F"/>
            </w:tcBorders>
          </w:tcPr>
          <w:p>
            <w:pPr>
              <w:spacing w:after="0"/>
              <w:rPr>
                <w:sz w:val="14"/>
                <w:szCs w:val="14"/>
                <w:color w:val="auto"/>
              </w:rPr>
            </w:pPr>
          </w:p>
        </w:tc>
        <w:tc>
          <w:tcPr>
            <w:tcW w:w="2400" w:type="dxa"/>
            <w:vAlign w:val="bottom"/>
          </w:tcPr>
          <w:p>
            <w:pPr>
              <w:ind w:left="40"/>
              <w:spacing w:after="0"/>
              <w:rPr>
                <w:sz w:val="20"/>
                <w:szCs w:val="20"/>
                <w:color w:val="auto"/>
              </w:rPr>
            </w:pPr>
            <w:r>
              <w:rPr>
                <w:rFonts w:ascii="Arial" w:cs="Arial" w:eastAsia="Arial" w:hAnsi="Arial"/>
                <w:sz w:val="13"/>
                <w:szCs w:val="13"/>
                <w:color w:val="auto"/>
              </w:rPr>
              <w:t>unit development cost below Plan.</w:t>
            </w:r>
          </w:p>
        </w:tc>
        <w:tc>
          <w:tcPr>
            <w:tcW w:w="60" w:type="dxa"/>
            <w:vAlign w:val="bottom"/>
            <w:tcBorders>
              <w:right w:val="single" w:sz="8" w:color="7F7F7F"/>
            </w:tcBorders>
          </w:tcPr>
          <w:p>
            <w:pPr>
              <w:spacing w:after="0"/>
              <w:rPr>
                <w:sz w:val="14"/>
                <w:szCs w:val="14"/>
                <w:color w:val="auto"/>
              </w:rPr>
            </w:pPr>
          </w:p>
        </w:tc>
        <w:tc>
          <w:tcPr>
            <w:tcW w:w="980" w:type="dxa"/>
            <w:vAlign w:val="bottom"/>
            <w:tcBorders>
              <w:right w:val="single" w:sz="8" w:color="7F7F7F"/>
            </w:tcBorders>
          </w:tcPr>
          <w:p>
            <w:pPr>
              <w:spacing w:after="0"/>
              <w:rPr>
                <w:sz w:val="14"/>
                <w:szCs w:val="14"/>
                <w:color w:val="auto"/>
              </w:rPr>
            </w:pPr>
          </w:p>
        </w:tc>
        <w:tc>
          <w:tcPr>
            <w:tcW w:w="1300" w:type="dxa"/>
            <w:vAlign w:val="bottom"/>
            <w:tcBorders>
              <w:right w:val="single" w:sz="8" w:color="7F7F7F"/>
            </w:tcBorders>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40" w:type="dxa"/>
            <w:vAlign w:val="bottom"/>
            <w:tcBorders>
              <w:right w:val="single" w:sz="8" w:color="7F7F7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1440" w:type="dxa"/>
            <w:vAlign w:val="bottom"/>
            <w:tcBorders>
              <w:left w:val="single" w:sz="8" w:color="7F7F7F"/>
              <w:right w:val="single" w:sz="8" w:color="7F7F7F"/>
            </w:tcBorders>
            <w:vMerge w:val="continue"/>
          </w:tcPr>
          <w:p>
            <w:pPr>
              <w:spacing w:after="0"/>
              <w:rPr>
                <w:sz w:val="3"/>
                <w:szCs w:val="3"/>
                <w:color w:val="auto"/>
              </w:rPr>
            </w:pPr>
          </w:p>
        </w:tc>
        <w:tc>
          <w:tcPr>
            <w:tcW w:w="760" w:type="dxa"/>
            <w:vAlign w:val="bottom"/>
            <w:tcBorders>
              <w:right w:val="single" w:sz="8" w:color="7F7F7F"/>
            </w:tcBorders>
          </w:tcPr>
          <w:p>
            <w:pPr>
              <w:spacing w:after="0"/>
              <w:rPr>
                <w:sz w:val="3"/>
                <w:szCs w:val="3"/>
                <w:color w:val="auto"/>
              </w:rPr>
            </w:pPr>
          </w:p>
        </w:tc>
        <w:tc>
          <w:tcPr>
            <w:tcW w:w="1600" w:type="dxa"/>
            <w:vAlign w:val="bottom"/>
            <w:tcBorders>
              <w:right w:val="single" w:sz="8" w:color="7F7F7F"/>
            </w:tcBorders>
          </w:tcPr>
          <w:p>
            <w:pPr>
              <w:spacing w:after="0"/>
              <w:rPr>
                <w:sz w:val="3"/>
                <w:szCs w:val="3"/>
                <w:color w:val="auto"/>
              </w:rPr>
            </w:pPr>
          </w:p>
        </w:tc>
        <w:tc>
          <w:tcPr>
            <w:tcW w:w="1200" w:type="dxa"/>
            <w:vAlign w:val="bottom"/>
            <w:tcBorders>
              <w:bottom w:val="single" w:sz="8" w:color="7F7F7F"/>
              <w:right w:val="single" w:sz="8" w:color="7F7F7F"/>
            </w:tcBorders>
          </w:tcPr>
          <w:p>
            <w:pPr>
              <w:spacing w:after="0"/>
              <w:rPr>
                <w:sz w:val="3"/>
                <w:szCs w:val="3"/>
                <w:color w:val="auto"/>
              </w:rPr>
            </w:pPr>
          </w:p>
        </w:tc>
        <w:tc>
          <w:tcPr>
            <w:tcW w:w="2400" w:type="dxa"/>
            <w:vAlign w:val="bottom"/>
            <w:tcBorders>
              <w:bottom w:val="single" w:sz="8" w:color="7F7F7F"/>
            </w:tcBorders>
          </w:tcPr>
          <w:p>
            <w:pPr>
              <w:spacing w:after="0"/>
              <w:rPr>
                <w:sz w:val="3"/>
                <w:szCs w:val="3"/>
                <w:color w:val="auto"/>
              </w:rPr>
            </w:pPr>
          </w:p>
        </w:tc>
        <w:tc>
          <w:tcPr>
            <w:tcW w:w="60" w:type="dxa"/>
            <w:vAlign w:val="bottom"/>
            <w:tcBorders>
              <w:bottom w:val="single" w:sz="8" w:color="7F7F7F"/>
              <w:right w:val="single" w:sz="8" w:color="7F7F7F"/>
            </w:tcBorders>
          </w:tcPr>
          <w:p>
            <w:pPr>
              <w:spacing w:after="0"/>
              <w:rPr>
                <w:sz w:val="3"/>
                <w:szCs w:val="3"/>
                <w:color w:val="auto"/>
              </w:rPr>
            </w:pPr>
          </w:p>
        </w:tc>
        <w:tc>
          <w:tcPr>
            <w:tcW w:w="980" w:type="dxa"/>
            <w:vAlign w:val="bottom"/>
            <w:tcBorders>
              <w:right w:val="single" w:sz="8" w:color="7F7F7F"/>
            </w:tcBorders>
          </w:tcPr>
          <w:p>
            <w:pPr>
              <w:spacing w:after="0"/>
              <w:rPr>
                <w:sz w:val="3"/>
                <w:szCs w:val="3"/>
                <w:color w:val="auto"/>
              </w:rPr>
            </w:pPr>
          </w:p>
        </w:tc>
        <w:tc>
          <w:tcPr>
            <w:tcW w:w="1300" w:type="dxa"/>
            <w:vAlign w:val="bottom"/>
            <w:tcBorders>
              <w:right w:val="single" w:sz="8" w:color="7F7F7F"/>
            </w:tcBorders>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Borders>
              <w:right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1440" w:type="dxa"/>
            <w:vAlign w:val="bottom"/>
            <w:tcBorders>
              <w:left w:val="single" w:sz="8" w:color="7F7F7F"/>
              <w:right w:val="single" w:sz="8" w:color="7F7F7F"/>
            </w:tcBorders>
          </w:tcPr>
          <w:p>
            <w:pPr>
              <w:spacing w:after="0"/>
              <w:rPr>
                <w:sz w:val="15"/>
                <w:szCs w:val="15"/>
                <w:color w:val="auto"/>
              </w:rPr>
            </w:pPr>
          </w:p>
        </w:tc>
        <w:tc>
          <w:tcPr>
            <w:tcW w:w="760" w:type="dxa"/>
            <w:vAlign w:val="bottom"/>
            <w:tcBorders>
              <w:right w:val="single" w:sz="8" w:color="7F7F7F"/>
            </w:tcBorders>
          </w:tcPr>
          <w:p>
            <w:pPr>
              <w:spacing w:after="0"/>
              <w:rPr>
                <w:sz w:val="15"/>
                <w:szCs w:val="15"/>
                <w:color w:val="auto"/>
              </w:rPr>
            </w:pPr>
          </w:p>
        </w:tc>
        <w:tc>
          <w:tcPr>
            <w:tcW w:w="1600" w:type="dxa"/>
            <w:vAlign w:val="bottom"/>
            <w:tcBorders>
              <w:right w:val="single" w:sz="8" w:color="7F7F7F"/>
            </w:tcBorders>
          </w:tcPr>
          <w:p>
            <w:pPr>
              <w:spacing w:after="0"/>
              <w:rPr>
                <w:sz w:val="15"/>
                <w:szCs w:val="15"/>
                <w:color w:val="auto"/>
              </w:rPr>
            </w:pPr>
          </w:p>
        </w:tc>
        <w:tc>
          <w:tcPr>
            <w:tcW w:w="1200" w:type="dxa"/>
            <w:vAlign w:val="bottom"/>
            <w:tcBorders>
              <w:right w:val="single" w:sz="8" w:color="7F7F7F"/>
            </w:tcBorders>
            <w:vMerge w:val="restart"/>
          </w:tcPr>
          <w:p>
            <w:pPr>
              <w:jc w:val="center"/>
              <w:spacing w:after="0"/>
              <w:rPr>
                <w:sz w:val="20"/>
                <w:szCs w:val="20"/>
                <w:color w:val="auto"/>
              </w:rPr>
            </w:pPr>
            <w:r>
              <w:rPr>
                <w:rFonts w:ascii="Arial" w:cs="Arial" w:eastAsia="Arial" w:hAnsi="Arial"/>
                <w:sz w:val="13"/>
                <w:szCs w:val="13"/>
                <w:color w:val="auto"/>
                <w:w w:val="96"/>
              </w:rPr>
              <w:t>Modules 1Q</w:t>
            </w:r>
          </w:p>
        </w:tc>
        <w:tc>
          <w:tcPr>
            <w:tcW w:w="2400" w:type="dxa"/>
            <w:vAlign w:val="bottom"/>
          </w:tcPr>
          <w:p>
            <w:pPr>
              <w:ind w:left="40"/>
              <w:spacing w:after="0"/>
              <w:rPr>
                <w:sz w:val="20"/>
                <w:szCs w:val="20"/>
                <w:color w:val="auto"/>
              </w:rPr>
            </w:pPr>
            <w:r>
              <w:rPr>
                <w:rFonts w:ascii="Arial" w:cs="Arial" w:eastAsia="Arial" w:hAnsi="Arial"/>
                <w:sz w:val="13"/>
                <w:szCs w:val="13"/>
                <w:color w:val="auto"/>
                <w:w w:val="96"/>
              </w:rPr>
              <w:t>FGP/ WPMP - All modules on foundations</w:t>
            </w:r>
          </w:p>
        </w:tc>
        <w:tc>
          <w:tcPr>
            <w:tcW w:w="60" w:type="dxa"/>
            <w:vAlign w:val="bottom"/>
            <w:tcBorders>
              <w:right w:val="single" w:sz="8" w:color="7F7F7F"/>
            </w:tcBorders>
          </w:tcPr>
          <w:p>
            <w:pPr>
              <w:spacing w:after="0"/>
              <w:rPr>
                <w:sz w:val="15"/>
                <w:szCs w:val="15"/>
                <w:color w:val="auto"/>
              </w:rPr>
            </w:pPr>
          </w:p>
        </w:tc>
        <w:tc>
          <w:tcPr>
            <w:tcW w:w="980" w:type="dxa"/>
            <w:vAlign w:val="bottom"/>
            <w:tcBorders>
              <w:right w:val="single" w:sz="8" w:color="7F7F7F"/>
            </w:tcBorders>
          </w:tcPr>
          <w:p>
            <w:pPr>
              <w:spacing w:after="0"/>
              <w:rPr>
                <w:sz w:val="15"/>
                <w:szCs w:val="15"/>
                <w:color w:val="auto"/>
              </w:rPr>
            </w:pPr>
          </w:p>
        </w:tc>
        <w:tc>
          <w:tcPr>
            <w:tcW w:w="1300" w:type="dxa"/>
            <w:vAlign w:val="bottom"/>
            <w:tcBorders>
              <w:right w:val="single" w:sz="8" w:color="7F7F7F"/>
            </w:tcBorders>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Borders>
              <w:right w:val="single" w:sz="8" w:color="7F7F7F"/>
            </w:tcBorders>
          </w:tcPr>
          <w:p>
            <w:pPr>
              <w:spacing w:after="0"/>
              <w:rPr>
                <w:sz w:val="15"/>
                <w:szCs w:val="15"/>
                <w:color w:val="auto"/>
              </w:rPr>
            </w:pPr>
          </w:p>
        </w:tc>
        <w:tc>
          <w:tcPr>
            <w:tcW w:w="0" w:type="dxa"/>
            <w:vAlign w:val="bottom"/>
          </w:tcPr>
          <w:p>
            <w:pPr>
              <w:spacing w:after="0"/>
              <w:rPr>
                <w:sz w:val="1"/>
                <w:szCs w:val="1"/>
                <w:color w:val="auto"/>
              </w:rPr>
            </w:pPr>
          </w:p>
        </w:tc>
      </w:tr>
      <w:tr>
        <w:trPr>
          <w:trHeight w:val="98"/>
        </w:trPr>
        <w:tc>
          <w:tcPr>
            <w:tcW w:w="1440" w:type="dxa"/>
            <w:vAlign w:val="bottom"/>
            <w:tcBorders>
              <w:left w:val="single" w:sz="8" w:color="7F7F7F"/>
              <w:right w:val="single" w:sz="8" w:color="7F7F7F"/>
            </w:tcBorders>
          </w:tcPr>
          <w:p>
            <w:pPr>
              <w:spacing w:after="0"/>
              <w:rPr>
                <w:sz w:val="8"/>
                <w:szCs w:val="8"/>
                <w:color w:val="auto"/>
              </w:rPr>
            </w:pPr>
          </w:p>
        </w:tc>
        <w:tc>
          <w:tcPr>
            <w:tcW w:w="760" w:type="dxa"/>
            <w:vAlign w:val="bottom"/>
            <w:tcBorders>
              <w:right w:val="single" w:sz="8" w:color="7F7F7F"/>
            </w:tcBorders>
          </w:tcPr>
          <w:p>
            <w:pPr>
              <w:spacing w:after="0"/>
              <w:rPr>
                <w:sz w:val="8"/>
                <w:szCs w:val="8"/>
                <w:color w:val="auto"/>
              </w:rPr>
            </w:pPr>
          </w:p>
        </w:tc>
        <w:tc>
          <w:tcPr>
            <w:tcW w:w="1600" w:type="dxa"/>
            <w:vAlign w:val="bottom"/>
            <w:tcBorders>
              <w:right w:val="single" w:sz="8" w:color="7F7F7F"/>
            </w:tcBorders>
          </w:tcPr>
          <w:p>
            <w:pPr>
              <w:spacing w:after="0"/>
              <w:rPr>
                <w:sz w:val="8"/>
                <w:szCs w:val="8"/>
                <w:color w:val="auto"/>
              </w:rPr>
            </w:pPr>
          </w:p>
        </w:tc>
        <w:tc>
          <w:tcPr>
            <w:tcW w:w="1200" w:type="dxa"/>
            <w:vAlign w:val="bottom"/>
            <w:tcBorders>
              <w:right w:val="single" w:sz="8" w:color="7F7F7F"/>
            </w:tcBorders>
            <w:vMerge w:val="continue"/>
          </w:tcPr>
          <w:p>
            <w:pPr>
              <w:spacing w:after="0"/>
              <w:rPr>
                <w:sz w:val="8"/>
                <w:szCs w:val="8"/>
                <w:color w:val="auto"/>
              </w:rPr>
            </w:pPr>
          </w:p>
        </w:tc>
        <w:tc>
          <w:tcPr>
            <w:tcW w:w="2400" w:type="dxa"/>
            <w:vAlign w:val="bottom"/>
            <w:vMerge w:val="restart"/>
          </w:tcPr>
          <w:p>
            <w:pPr>
              <w:ind w:left="40"/>
              <w:spacing w:after="0" w:line="135" w:lineRule="exact"/>
              <w:rPr>
                <w:sz w:val="20"/>
                <w:szCs w:val="20"/>
                <w:color w:val="auto"/>
              </w:rPr>
            </w:pPr>
            <w:r>
              <w:rPr>
                <w:rFonts w:ascii="Arial" w:cs="Arial" w:eastAsia="Arial" w:hAnsi="Arial"/>
                <w:sz w:val="13"/>
                <w:szCs w:val="13"/>
                <w:color w:val="auto"/>
                <w:w w:val="99"/>
              </w:rPr>
              <w:t>in April 2021 and substation energization</w:t>
            </w:r>
          </w:p>
        </w:tc>
        <w:tc>
          <w:tcPr>
            <w:tcW w:w="60" w:type="dxa"/>
            <w:vAlign w:val="bottom"/>
            <w:tcBorders>
              <w:right w:val="single" w:sz="8" w:color="7F7F7F"/>
            </w:tcBorders>
          </w:tcPr>
          <w:p>
            <w:pPr>
              <w:spacing w:after="0"/>
              <w:rPr>
                <w:sz w:val="8"/>
                <w:szCs w:val="8"/>
                <w:color w:val="auto"/>
              </w:rPr>
            </w:pPr>
          </w:p>
        </w:tc>
        <w:tc>
          <w:tcPr>
            <w:tcW w:w="980" w:type="dxa"/>
            <w:vAlign w:val="bottom"/>
            <w:tcBorders>
              <w:right w:val="single" w:sz="8" w:color="7F7F7F"/>
            </w:tcBorders>
          </w:tcPr>
          <w:p>
            <w:pPr>
              <w:spacing w:after="0"/>
              <w:rPr>
                <w:sz w:val="8"/>
                <w:szCs w:val="8"/>
                <w:color w:val="auto"/>
              </w:rPr>
            </w:pPr>
          </w:p>
        </w:tc>
        <w:tc>
          <w:tcPr>
            <w:tcW w:w="1300" w:type="dxa"/>
            <w:vAlign w:val="bottom"/>
            <w:tcBorders>
              <w:right w:val="single" w:sz="8" w:color="7F7F7F"/>
            </w:tcBorders>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Borders>
              <w:right w:val="single" w:sz="8" w:color="7F7F7F"/>
            </w:tcBorders>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1440" w:type="dxa"/>
            <w:vAlign w:val="bottom"/>
            <w:tcBorders>
              <w:left w:val="single" w:sz="8" w:color="7F7F7F"/>
              <w:right w:val="single" w:sz="8" w:color="7F7F7F"/>
            </w:tcBorders>
          </w:tcPr>
          <w:p>
            <w:pPr>
              <w:spacing w:after="0"/>
              <w:rPr>
                <w:sz w:val="3"/>
                <w:szCs w:val="3"/>
                <w:color w:val="auto"/>
              </w:rPr>
            </w:pPr>
          </w:p>
        </w:tc>
        <w:tc>
          <w:tcPr>
            <w:tcW w:w="760" w:type="dxa"/>
            <w:vAlign w:val="bottom"/>
            <w:tcBorders>
              <w:right w:val="single" w:sz="8" w:color="7F7F7F"/>
            </w:tcBorders>
          </w:tcPr>
          <w:p>
            <w:pPr>
              <w:spacing w:after="0"/>
              <w:rPr>
                <w:sz w:val="3"/>
                <w:szCs w:val="3"/>
                <w:color w:val="auto"/>
              </w:rPr>
            </w:pPr>
          </w:p>
        </w:tc>
        <w:tc>
          <w:tcPr>
            <w:tcW w:w="1600" w:type="dxa"/>
            <w:vAlign w:val="bottom"/>
            <w:tcBorders>
              <w:right w:val="single" w:sz="8" w:color="7F7F7F"/>
            </w:tcBorders>
            <w:vMerge w:val="restart"/>
          </w:tcPr>
          <w:p>
            <w:pPr>
              <w:ind w:left="40"/>
              <w:spacing w:after="0"/>
              <w:rPr>
                <w:sz w:val="20"/>
                <w:szCs w:val="20"/>
                <w:color w:val="auto"/>
              </w:rPr>
            </w:pPr>
            <w:r>
              <w:rPr>
                <w:rFonts w:ascii="Arial" w:cs="Arial" w:eastAsia="Arial" w:hAnsi="Arial"/>
                <w:sz w:val="13"/>
                <w:szCs w:val="13"/>
                <w:color w:val="auto"/>
              </w:rPr>
              <w:t>Major milestones</w:t>
            </w:r>
          </w:p>
        </w:tc>
        <w:tc>
          <w:tcPr>
            <w:tcW w:w="1200" w:type="dxa"/>
            <w:vAlign w:val="bottom"/>
            <w:tcBorders>
              <w:right w:val="single" w:sz="8" w:color="7F7F7F"/>
            </w:tcBorders>
          </w:tcPr>
          <w:p>
            <w:pPr>
              <w:spacing w:after="0"/>
              <w:rPr>
                <w:sz w:val="3"/>
                <w:szCs w:val="3"/>
                <w:color w:val="auto"/>
              </w:rPr>
            </w:pPr>
          </w:p>
        </w:tc>
        <w:tc>
          <w:tcPr>
            <w:tcW w:w="2400" w:type="dxa"/>
            <w:vAlign w:val="bottom"/>
            <w:vMerge w:val="continue"/>
          </w:tcPr>
          <w:p>
            <w:pPr>
              <w:spacing w:after="0"/>
              <w:rPr>
                <w:sz w:val="3"/>
                <w:szCs w:val="3"/>
                <w:color w:val="auto"/>
              </w:rPr>
            </w:pPr>
          </w:p>
        </w:tc>
        <w:tc>
          <w:tcPr>
            <w:tcW w:w="60" w:type="dxa"/>
            <w:vAlign w:val="bottom"/>
            <w:tcBorders>
              <w:right w:val="single" w:sz="8" w:color="7F7F7F"/>
            </w:tcBorders>
          </w:tcPr>
          <w:p>
            <w:pPr>
              <w:spacing w:after="0"/>
              <w:rPr>
                <w:sz w:val="3"/>
                <w:szCs w:val="3"/>
                <w:color w:val="auto"/>
              </w:rPr>
            </w:pPr>
          </w:p>
        </w:tc>
        <w:tc>
          <w:tcPr>
            <w:tcW w:w="980" w:type="dxa"/>
            <w:vAlign w:val="bottom"/>
            <w:tcBorders>
              <w:right w:val="single" w:sz="8" w:color="7F7F7F"/>
            </w:tcBorders>
          </w:tcPr>
          <w:p>
            <w:pPr>
              <w:spacing w:after="0"/>
              <w:rPr>
                <w:sz w:val="3"/>
                <w:szCs w:val="3"/>
                <w:color w:val="auto"/>
              </w:rPr>
            </w:pPr>
          </w:p>
        </w:tc>
        <w:tc>
          <w:tcPr>
            <w:tcW w:w="1300" w:type="dxa"/>
            <w:vAlign w:val="bottom"/>
            <w:tcBorders>
              <w:right w:val="single" w:sz="8" w:color="7F7F7F"/>
            </w:tcBorders>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Borders>
              <w:right w:val="single" w:sz="8" w:color="7F7F7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1440" w:type="dxa"/>
            <w:vAlign w:val="bottom"/>
            <w:tcBorders>
              <w:left w:val="single" w:sz="8" w:color="7F7F7F"/>
              <w:right w:val="single" w:sz="8" w:color="7F7F7F"/>
            </w:tcBorders>
          </w:tcPr>
          <w:p>
            <w:pPr>
              <w:spacing w:after="0"/>
              <w:rPr>
                <w:sz w:val="11"/>
                <w:szCs w:val="11"/>
                <w:color w:val="auto"/>
              </w:rPr>
            </w:pPr>
          </w:p>
        </w:tc>
        <w:tc>
          <w:tcPr>
            <w:tcW w:w="760" w:type="dxa"/>
            <w:vAlign w:val="bottom"/>
            <w:tcBorders>
              <w:right w:val="single" w:sz="8" w:color="7F7F7F"/>
            </w:tcBorders>
          </w:tcPr>
          <w:p>
            <w:pPr>
              <w:spacing w:after="0"/>
              <w:rPr>
                <w:sz w:val="11"/>
                <w:szCs w:val="11"/>
                <w:color w:val="auto"/>
              </w:rPr>
            </w:pPr>
          </w:p>
        </w:tc>
        <w:tc>
          <w:tcPr>
            <w:tcW w:w="1600" w:type="dxa"/>
            <w:vAlign w:val="bottom"/>
            <w:tcBorders>
              <w:right w:val="single" w:sz="8" w:color="7F7F7F"/>
            </w:tcBorders>
            <w:vMerge w:val="continue"/>
          </w:tcPr>
          <w:p>
            <w:pPr>
              <w:spacing w:after="0"/>
              <w:rPr>
                <w:sz w:val="11"/>
                <w:szCs w:val="11"/>
                <w:color w:val="auto"/>
              </w:rPr>
            </w:pPr>
          </w:p>
        </w:tc>
        <w:tc>
          <w:tcPr>
            <w:tcW w:w="1200" w:type="dxa"/>
            <w:vAlign w:val="bottom"/>
            <w:tcBorders>
              <w:right w:val="single" w:sz="8" w:color="7F7F7F"/>
            </w:tcBorders>
          </w:tcPr>
          <w:p>
            <w:pPr>
              <w:jc w:val="center"/>
              <w:spacing w:after="0" w:line="135" w:lineRule="exact"/>
              <w:rPr>
                <w:sz w:val="20"/>
                <w:szCs w:val="20"/>
                <w:color w:val="auto"/>
              </w:rPr>
            </w:pPr>
            <w:r>
              <w:rPr>
                <w:rFonts w:ascii="Arial" w:cs="Arial" w:eastAsia="Arial" w:hAnsi="Arial"/>
                <w:sz w:val="13"/>
                <w:szCs w:val="13"/>
                <w:color w:val="auto"/>
                <w:w w:val="97"/>
              </w:rPr>
              <w:t>Substation 3Q</w:t>
            </w:r>
          </w:p>
        </w:tc>
        <w:tc>
          <w:tcPr>
            <w:tcW w:w="2400" w:type="dxa"/>
            <w:vAlign w:val="bottom"/>
          </w:tcPr>
          <w:p>
            <w:pPr>
              <w:ind w:left="40"/>
              <w:spacing w:after="0" w:line="135" w:lineRule="exact"/>
              <w:rPr>
                <w:sz w:val="20"/>
                <w:szCs w:val="20"/>
                <w:color w:val="auto"/>
              </w:rPr>
            </w:pPr>
            <w:r>
              <w:rPr>
                <w:rFonts w:ascii="Arial" w:cs="Arial" w:eastAsia="Arial" w:hAnsi="Arial"/>
                <w:sz w:val="13"/>
                <w:szCs w:val="13"/>
                <w:color w:val="auto"/>
              </w:rPr>
              <w:t>in December 2021, despite COVID</w:t>
            </w:r>
          </w:p>
        </w:tc>
        <w:tc>
          <w:tcPr>
            <w:tcW w:w="60" w:type="dxa"/>
            <w:vAlign w:val="bottom"/>
            <w:tcBorders>
              <w:right w:val="single" w:sz="8" w:color="7F7F7F"/>
            </w:tcBorders>
          </w:tcPr>
          <w:p>
            <w:pPr>
              <w:spacing w:after="0"/>
              <w:rPr>
                <w:sz w:val="11"/>
                <w:szCs w:val="11"/>
                <w:color w:val="auto"/>
              </w:rPr>
            </w:pPr>
          </w:p>
        </w:tc>
        <w:tc>
          <w:tcPr>
            <w:tcW w:w="980" w:type="dxa"/>
            <w:vAlign w:val="bottom"/>
            <w:tcBorders>
              <w:right w:val="single" w:sz="8" w:color="7F7F7F"/>
            </w:tcBorders>
          </w:tcPr>
          <w:p>
            <w:pPr>
              <w:spacing w:after="0"/>
              <w:rPr>
                <w:sz w:val="11"/>
                <w:szCs w:val="11"/>
                <w:color w:val="auto"/>
              </w:rPr>
            </w:pPr>
          </w:p>
        </w:tc>
        <w:tc>
          <w:tcPr>
            <w:tcW w:w="1300" w:type="dxa"/>
            <w:vAlign w:val="bottom"/>
            <w:tcBorders>
              <w:right w:val="single" w:sz="8" w:color="7F7F7F"/>
            </w:tcBorders>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Borders>
              <w:right w:val="single" w:sz="8" w:color="7F7F7F"/>
            </w:tcBorders>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440" w:type="dxa"/>
            <w:vAlign w:val="bottom"/>
            <w:tcBorders>
              <w:left w:val="single" w:sz="8" w:color="7F7F7F"/>
              <w:right w:val="single" w:sz="8" w:color="7F7F7F"/>
            </w:tcBorders>
          </w:tcPr>
          <w:p>
            <w:pPr>
              <w:spacing w:after="0"/>
              <w:rPr>
                <w:sz w:val="14"/>
                <w:szCs w:val="14"/>
                <w:color w:val="auto"/>
              </w:rPr>
            </w:pPr>
          </w:p>
        </w:tc>
        <w:tc>
          <w:tcPr>
            <w:tcW w:w="760" w:type="dxa"/>
            <w:vAlign w:val="bottom"/>
            <w:tcBorders>
              <w:right w:val="single" w:sz="8" w:color="7F7F7F"/>
            </w:tcBorders>
          </w:tcPr>
          <w:p>
            <w:pPr>
              <w:spacing w:after="0"/>
              <w:rPr>
                <w:sz w:val="14"/>
                <w:szCs w:val="14"/>
                <w:color w:val="auto"/>
              </w:rPr>
            </w:pPr>
          </w:p>
        </w:tc>
        <w:tc>
          <w:tcPr>
            <w:tcW w:w="1600" w:type="dxa"/>
            <w:vAlign w:val="bottom"/>
            <w:tcBorders>
              <w:right w:val="single" w:sz="8" w:color="7F7F7F"/>
            </w:tcBorders>
          </w:tcPr>
          <w:p>
            <w:pPr>
              <w:spacing w:after="0"/>
              <w:rPr>
                <w:sz w:val="14"/>
                <w:szCs w:val="14"/>
                <w:color w:val="auto"/>
              </w:rPr>
            </w:pPr>
          </w:p>
        </w:tc>
        <w:tc>
          <w:tcPr>
            <w:tcW w:w="1200" w:type="dxa"/>
            <w:vAlign w:val="bottom"/>
            <w:tcBorders>
              <w:right w:val="single" w:sz="8" w:color="7F7F7F"/>
            </w:tcBorders>
          </w:tcPr>
          <w:p>
            <w:pPr>
              <w:spacing w:after="0"/>
              <w:rPr>
                <w:sz w:val="14"/>
                <w:szCs w:val="14"/>
                <w:color w:val="auto"/>
              </w:rPr>
            </w:pPr>
          </w:p>
        </w:tc>
        <w:tc>
          <w:tcPr>
            <w:tcW w:w="2400" w:type="dxa"/>
            <w:vAlign w:val="bottom"/>
          </w:tcPr>
          <w:p>
            <w:pPr>
              <w:ind w:left="40"/>
              <w:spacing w:after="0"/>
              <w:rPr>
                <w:sz w:val="20"/>
                <w:szCs w:val="20"/>
                <w:color w:val="auto"/>
              </w:rPr>
            </w:pPr>
            <w:r>
              <w:rPr>
                <w:rFonts w:ascii="Arial" w:cs="Arial" w:eastAsia="Arial" w:hAnsi="Arial"/>
                <w:sz w:val="13"/>
                <w:szCs w:val="13"/>
                <w:color w:val="auto"/>
              </w:rPr>
              <w:t>impacts.</w:t>
            </w:r>
          </w:p>
        </w:tc>
        <w:tc>
          <w:tcPr>
            <w:tcW w:w="60" w:type="dxa"/>
            <w:vAlign w:val="bottom"/>
            <w:tcBorders>
              <w:right w:val="single" w:sz="8" w:color="7F7F7F"/>
            </w:tcBorders>
          </w:tcPr>
          <w:p>
            <w:pPr>
              <w:spacing w:after="0"/>
              <w:rPr>
                <w:sz w:val="14"/>
                <w:szCs w:val="14"/>
                <w:color w:val="auto"/>
              </w:rPr>
            </w:pPr>
          </w:p>
        </w:tc>
        <w:tc>
          <w:tcPr>
            <w:tcW w:w="980" w:type="dxa"/>
            <w:vAlign w:val="bottom"/>
            <w:tcBorders>
              <w:right w:val="single" w:sz="8" w:color="7F7F7F"/>
            </w:tcBorders>
          </w:tcPr>
          <w:p>
            <w:pPr>
              <w:spacing w:after="0"/>
              <w:rPr>
                <w:sz w:val="14"/>
                <w:szCs w:val="14"/>
                <w:color w:val="auto"/>
              </w:rPr>
            </w:pPr>
          </w:p>
        </w:tc>
        <w:tc>
          <w:tcPr>
            <w:tcW w:w="1300" w:type="dxa"/>
            <w:vAlign w:val="bottom"/>
            <w:tcBorders>
              <w:right w:val="single" w:sz="8" w:color="7F7F7F"/>
            </w:tcBorders>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Borders>
              <w:right w:val="single" w:sz="8" w:color="7F7F7F"/>
            </w:tcBorders>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1440" w:type="dxa"/>
            <w:vAlign w:val="bottom"/>
            <w:tcBorders>
              <w:left w:val="single" w:sz="8" w:color="7F7F7F"/>
              <w:right w:val="single" w:sz="8" w:color="7F7F7F"/>
            </w:tcBorders>
          </w:tcPr>
          <w:p>
            <w:pPr>
              <w:spacing w:after="0"/>
              <w:rPr>
                <w:sz w:val="4"/>
                <w:szCs w:val="4"/>
                <w:color w:val="auto"/>
              </w:rPr>
            </w:pPr>
          </w:p>
        </w:tc>
        <w:tc>
          <w:tcPr>
            <w:tcW w:w="760" w:type="dxa"/>
            <w:vAlign w:val="bottom"/>
            <w:tcBorders>
              <w:right w:val="single" w:sz="8" w:color="7F7F7F"/>
            </w:tcBorders>
          </w:tcPr>
          <w:p>
            <w:pPr>
              <w:spacing w:after="0"/>
              <w:rPr>
                <w:sz w:val="4"/>
                <w:szCs w:val="4"/>
                <w:color w:val="auto"/>
              </w:rPr>
            </w:pPr>
          </w:p>
        </w:tc>
        <w:tc>
          <w:tcPr>
            <w:tcW w:w="1600" w:type="dxa"/>
            <w:vAlign w:val="bottom"/>
            <w:tcBorders>
              <w:right w:val="single" w:sz="8" w:color="7F7F7F"/>
            </w:tcBorders>
          </w:tcPr>
          <w:p>
            <w:pPr>
              <w:spacing w:after="0"/>
              <w:rPr>
                <w:sz w:val="4"/>
                <w:szCs w:val="4"/>
                <w:color w:val="auto"/>
              </w:rPr>
            </w:pPr>
          </w:p>
        </w:tc>
        <w:tc>
          <w:tcPr>
            <w:tcW w:w="1200" w:type="dxa"/>
            <w:vAlign w:val="bottom"/>
            <w:tcBorders>
              <w:bottom w:val="single" w:sz="8" w:color="7F7F7F"/>
              <w:right w:val="single" w:sz="8" w:color="7F7F7F"/>
            </w:tcBorders>
          </w:tcPr>
          <w:p>
            <w:pPr>
              <w:spacing w:after="0"/>
              <w:rPr>
                <w:sz w:val="4"/>
                <w:szCs w:val="4"/>
                <w:color w:val="auto"/>
              </w:rPr>
            </w:pPr>
          </w:p>
        </w:tc>
        <w:tc>
          <w:tcPr>
            <w:tcW w:w="2400" w:type="dxa"/>
            <w:vAlign w:val="bottom"/>
            <w:tcBorders>
              <w:bottom w:val="single" w:sz="8" w:color="7F7F7F"/>
            </w:tcBorders>
          </w:tcPr>
          <w:p>
            <w:pPr>
              <w:spacing w:after="0"/>
              <w:rPr>
                <w:sz w:val="4"/>
                <w:szCs w:val="4"/>
                <w:color w:val="auto"/>
              </w:rPr>
            </w:pPr>
          </w:p>
        </w:tc>
        <w:tc>
          <w:tcPr>
            <w:tcW w:w="60" w:type="dxa"/>
            <w:vAlign w:val="bottom"/>
            <w:tcBorders>
              <w:bottom w:val="single" w:sz="8" w:color="7F7F7F"/>
              <w:right w:val="single" w:sz="8" w:color="7F7F7F"/>
            </w:tcBorders>
          </w:tcPr>
          <w:p>
            <w:pPr>
              <w:spacing w:after="0"/>
              <w:rPr>
                <w:sz w:val="4"/>
                <w:szCs w:val="4"/>
                <w:color w:val="auto"/>
              </w:rPr>
            </w:pPr>
          </w:p>
        </w:tc>
        <w:tc>
          <w:tcPr>
            <w:tcW w:w="980" w:type="dxa"/>
            <w:vAlign w:val="bottom"/>
            <w:tcBorders>
              <w:right w:val="single" w:sz="8" w:color="7F7F7F"/>
            </w:tcBorders>
          </w:tcPr>
          <w:p>
            <w:pPr>
              <w:spacing w:after="0"/>
              <w:rPr>
                <w:sz w:val="4"/>
                <w:szCs w:val="4"/>
                <w:color w:val="auto"/>
              </w:rPr>
            </w:pPr>
          </w:p>
        </w:tc>
        <w:tc>
          <w:tcPr>
            <w:tcW w:w="1300" w:type="dxa"/>
            <w:vAlign w:val="bottom"/>
            <w:tcBorders>
              <w:right w:val="single" w:sz="8" w:color="7F7F7F"/>
            </w:tcBorders>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Borders>
              <w:right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440" w:type="dxa"/>
            <w:vAlign w:val="bottom"/>
            <w:tcBorders>
              <w:left w:val="single" w:sz="8" w:color="7F7F7F"/>
              <w:right w:val="single" w:sz="8" w:color="7F7F7F"/>
            </w:tcBorders>
          </w:tcPr>
          <w:p>
            <w:pPr>
              <w:spacing w:after="0"/>
              <w:rPr>
                <w:sz w:val="15"/>
                <w:szCs w:val="15"/>
                <w:color w:val="auto"/>
              </w:rPr>
            </w:pPr>
          </w:p>
        </w:tc>
        <w:tc>
          <w:tcPr>
            <w:tcW w:w="760" w:type="dxa"/>
            <w:vAlign w:val="bottom"/>
            <w:tcBorders>
              <w:right w:val="single" w:sz="8" w:color="7F7F7F"/>
            </w:tcBorders>
          </w:tcPr>
          <w:p>
            <w:pPr>
              <w:spacing w:after="0"/>
              <w:rPr>
                <w:sz w:val="15"/>
                <w:szCs w:val="15"/>
                <w:color w:val="auto"/>
              </w:rPr>
            </w:pPr>
          </w:p>
        </w:tc>
        <w:tc>
          <w:tcPr>
            <w:tcW w:w="1600" w:type="dxa"/>
            <w:vAlign w:val="bottom"/>
            <w:tcBorders>
              <w:right w:val="single" w:sz="8" w:color="7F7F7F"/>
            </w:tcBorders>
          </w:tcPr>
          <w:p>
            <w:pPr>
              <w:spacing w:after="0"/>
              <w:rPr>
                <w:sz w:val="15"/>
                <w:szCs w:val="15"/>
                <w:color w:val="auto"/>
              </w:rPr>
            </w:pPr>
          </w:p>
        </w:tc>
        <w:tc>
          <w:tcPr>
            <w:tcW w:w="1200" w:type="dxa"/>
            <w:vAlign w:val="bottom"/>
            <w:tcBorders>
              <w:right w:val="single" w:sz="8" w:color="7F7F7F"/>
            </w:tcBorders>
            <w:vMerge w:val="restart"/>
          </w:tcPr>
          <w:p>
            <w:pPr>
              <w:jc w:val="center"/>
              <w:spacing w:after="0"/>
              <w:rPr>
                <w:sz w:val="20"/>
                <w:szCs w:val="20"/>
                <w:color w:val="auto"/>
              </w:rPr>
            </w:pPr>
            <w:r>
              <w:rPr>
                <w:rFonts w:ascii="Arial" w:cs="Arial" w:eastAsia="Arial" w:hAnsi="Arial"/>
                <w:sz w:val="13"/>
                <w:szCs w:val="13"/>
                <w:color w:val="auto"/>
                <w:w w:val="97"/>
              </w:rPr>
              <w:t>Start-Up 3Q</w:t>
            </w:r>
          </w:p>
        </w:tc>
        <w:tc>
          <w:tcPr>
            <w:tcW w:w="2400" w:type="dxa"/>
            <w:vAlign w:val="bottom"/>
          </w:tcPr>
          <w:p>
            <w:pPr>
              <w:ind w:left="40"/>
              <w:spacing w:after="0"/>
              <w:rPr>
                <w:sz w:val="20"/>
                <w:szCs w:val="20"/>
                <w:color w:val="auto"/>
              </w:rPr>
            </w:pPr>
            <w:r>
              <w:rPr>
                <w:rFonts w:ascii="Arial" w:cs="Arial" w:eastAsia="Arial" w:hAnsi="Arial"/>
                <w:sz w:val="13"/>
                <w:szCs w:val="13"/>
                <w:color w:val="auto"/>
              </w:rPr>
              <w:t>GSC - Completed Cracker start-up in</w:t>
            </w:r>
          </w:p>
        </w:tc>
        <w:tc>
          <w:tcPr>
            <w:tcW w:w="60" w:type="dxa"/>
            <w:vAlign w:val="bottom"/>
            <w:tcBorders>
              <w:right w:val="single" w:sz="8" w:color="7F7F7F"/>
            </w:tcBorders>
          </w:tcPr>
          <w:p>
            <w:pPr>
              <w:spacing w:after="0"/>
              <w:rPr>
                <w:sz w:val="15"/>
                <w:szCs w:val="15"/>
                <w:color w:val="auto"/>
              </w:rPr>
            </w:pPr>
          </w:p>
        </w:tc>
        <w:tc>
          <w:tcPr>
            <w:tcW w:w="980" w:type="dxa"/>
            <w:vAlign w:val="bottom"/>
            <w:tcBorders>
              <w:right w:val="single" w:sz="8" w:color="7F7F7F"/>
            </w:tcBorders>
          </w:tcPr>
          <w:p>
            <w:pPr>
              <w:spacing w:after="0"/>
              <w:rPr>
                <w:sz w:val="15"/>
                <w:szCs w:val="15"/>
                <w:color w:val="auto"/>
              </w:rPr>
            </w:pPr>
          </w:p>
        </w:tc>
        <w:tc>
          <w:tcPr>
            <w:tcW w:w="1300" w:type="dxa"/>
            <w:vAlign w:val="bottom"/>
            <w:tcBorders>
              <w:right w:val="single" w:sz="8" w:color="7F7F7F"/>
            </w:tcBorders>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Borders>
              <w:right w:val="single" w:sz="8" w:color="7F7F7F"/>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440" w:type="dxa"/>
            <w:vAlign w:val="bottom"/>
            <w:tcBorders>
              <w:left w:val="single" w:sz="8" w:color="7F7F7F"/>
              <w:right w:val="single" w:sz="8" w:color="7F7F7F"/>
            </w:tcBorders>
          </w:tcPr>
          <w:p>
            <w:pPr>
              <w:spacing w:after="0"/>
              <w:rPr>
                <w:sz w:val="11"/>
                <w:szCs w:val="11"/>
                <w:color w:val="auto"/>
              </w:rPr>
            </w:pPr>
          </w:p>
        </w:tc>
        <w:tc>
          <w:tcPr>
            <w:tcW w:w="760" w:type="dxa"/>
            <w:vAlign w:val="bottom"/>
            <w:tcBorders>
              <w:right w:val="single" w:sz="8" w:color="7F7F7F"/>
            </w:tcBorders>
          </w:tcPr>
          <w:p>
            <w:pPr>
              <w:spacing w:after="0"/>
              <w:rPr>
                <w:sz w:val="11"/>
                <w:szCs w:val="11"/>
                <w:color w:val="auto"/>
              </w:rPr>
            </w:pPr>
          </w:p>
        </w:tc>
        <w:tc>
          <w:tcPr>
            <w:tcW w:w="1600" w:type="dxa"/>
            <w:vAlign w:val="bottom"/>
            <w:tcBorders>
              <w:right w:val="single" w:sz="8" w:color="7F7F7F"/>
            </w:tcBorders>
          </w:tcPr>
          <w:p>
            <w:pPr>
              <w:spacing w:after="0"/>
              <w:rPr>
                <w:sz w:val="11"/>
                <w:szCs w:val="11"/>
                <w:color w:val="auto"/>
              </w:rPr>
            </w:pPr>
          </w:p>
        </w:tc>
        <w:tc>
          <w:tcPr>
            <w:tcW w:w="1200" w:type="dxa"/>
            <w:vAlign w:val="bottom"/>
            <w:tcBorders>
              <w:right w:val="single" w:sz="8" w:color="7F7F7F"/>
            </w:tcBorders>
            <w:vMerge w:val="continue"/>
          </w:tcPr>
          <w:p>
            <w:pPr>
              <w:spacing w:after="0"/>
              <w:rPr>
                <w:sz w:val="11"/>
                <w:szCs w:val="11"/>
                <w:color w:val="auto"/>
              </w:rPr>
            </w:pPr>
          </w:p>
        </w:tc>
        <w:tc>
          <w:tcPr>
            <w:tcW w:w="2400" w:type="dxa"/>
            <w:vAlign w:val="bottom"/>
          </w:tcPr>
          <w:p>
            <w:pPr>
              <w:ind w:left="40"/>
              <w:spacing w:after="0" w:line="135" w:lineRule="exact"/>
              <w:rPr>
                <w:sz w:val="20"/>
                <w:szCs w:val="20"/>
                <w:color w:val="auto"/>
              </w:rPr>
            </w:pPr>
            <w:r>
              <w:rPr>
                <w:rFonts w:ascii="Arial" w:cs="Arial" w:eastAsia="Arial" w:hAnsi="Arial"/>
                <w:sz w:val="13"/>
                <w:szCs w:val="13"/>
                <w:color w:val="auto"/>
              </w:rPr>
              <w:t>2Q21, ahead of schedule and under</w:t>
            </w:r>
          </w:p>
        </w:tc>
        <w:tc>
          <w:tcPr>
            <w:tcW w:w="60" w:type="dxa"/>
            <w:vAlign w:val="bottom"/>
            <w:tcBorders>
              <w:right w:val="single" w:sz="8" w:color="7F7F7F"/>
            </w:tcBorders>
          </w:tcPr>
          <w:p>
            <w:pPr>
              <w:spacing w:after="0"/>
              <w:rPr>
                <w:sz w:val="11"/>
                <w:szCs w:val="11"/>
                <w:color w:val="auto"/>
              </w:rPr>
            </w:pPr>
          </w:p>
        </w:tc>
        <w:tc>
          <w:tcPr>
            <w:tcW w:w="980" w:type="dxa"/>
            <w:vAlign w:val="bottom"/>
            <w:tcBorders>
              <w:right w:val="single" w:sz="8" w:color="7F7F7F"/>
            </w:tcBorders>
          </w:tcPr>
          <w:p>
            <w:pPr>
              <w:spacing w:after="0"/>
              <w:rPr>
                <w:sz w:val="11"/>
                <w:szCs w:val="11"/>
                <w:color w:val="auto"/>
              </w:rPr>
            </w:pPr>
          </w:p>
        </w:tc>
        <w:tc>
          <w:tcPr>
            <w:tcW w:w="1300" w:type="dxa"/>
            <w:vAlign w:val="bottom"/>
            <w:tcBorders>
              <w:right w:val="single" w:sz="8" w:color="7F7F7F"/>
            </w:tcBorders>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Borders>
              <w:right w:val="single" w:sz="8" w:color="7F7F7F"/>
            </w:tcBorders>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440" w:type="dxa"/>
            <w:vAlign w:val="bottom"/>
            <w:tcBorders>
              <w:left w:val="single" w:sz="8" w:color="7F7F7F"/>
              <w:right w:val="single" w:sz="8" w:color="7F7F7F"/>
            </w:tcBorders>
          </w:tcPr>
          <w:p>
            <w:pPr>
              <w:spacing w:after="0"/>
              <w:rPr>
                <w:sz w:val="14"/>
                <w:szCs w:val="14"/>
                <w:color w:val="auto"/>
              </w:rPr>
            </w:pPr>
          </w:p>
        </w:tc>
        <w:tc>
          <w:tcPr>
            <w:tcW w:w="760" w:type="dxa"/>
            <w:vAlign w:val="bottom"/>
            <w:tcBorders>
              <w:right w:val="single" w:sz="8" w:color="7F7F7F"/>
            </w:tcBorders>
          </w:tcPr>
          <w:p>
            <w:pPr>
              <w:spacing w:after="0"/>
              <w:rPr>
                <w:sz w:val="14"/>
                <w:szCs w:val="14"/>
                <w:color w:val="auto"/>
              </w:rPr>
            </w:pPr>
          </w:p>
        </w:tc>
        <w:tc>
          <w:tcPr>
            <w:tcW w:w="1600" w:type="dxa"/>
            <w:vAlign w:val="bottom"/>
            <w:tcBorders>
              <w:right w:val="single" w:sz="8" w:color="7F7F7F"/>
            </w:tcBorders>
          </w:tcPr>
          <w:p>
            <w:pPr>
              <w:spacing w:after="0"/>
              <w:rPr>
                <w:sz w:val="14"/>
                <w:szCs w:val="14"/>
                <w:color w:val="auto"/>
              </w:rPr>
            </w:pPr>
          </w:p>
        </w:tc>
        <w:tc>
          <w:tcPr>
            <w:tcW w:w="1200" w:type="dxa"/>
            <w:vAlign w:val="bottom"/>
            <w:tcBorders>
              <w:right w:val="single" w:sz="8" w:color="7F7F7F"/>
            </w:tcBorders>
          </w:tcPr>
          <w:p>
            <w:pPr>
              <w:spacing w:after="0"/>
              <w:rPr>
                <w:sz w:val="14"/>
                <w:szCs w:val="14"/>
                <w:color w:val="auto"/>
              </w:rPr>
            </w:pPr>
          </w:p>
        </w:tc>
        <w:tc>
          <w:tcPr>
            <w:tcW w:w="2400" w:type="dxa"/>
            <w:vAlign w:val="bottom"/>
          </w:tcPr>
          <w:p>
            <w:pPr>
              <w:ind w:left="40"/>
              <w:spacing w:after="0"/>
              <w:rPr>
                <w:sz w:val="20"/>
                <w:szCs w:val="20"/>
                <w:color w:val="auto"/>
              </w:rPr>
            </w:pPr>
            <w:r>
              <w:rPr>
                <w:rFonts w:ascii="Arial" w:cs="Arial" w:eastAsia="Arial" w:hAnsi="Arial"/>
                <w:sz w:val="13"/>
                <w:szCs w:val="13"/>
                <w:color w:val="auto"/>
              </w:rPr>
              <w:t>budget.</w:t>
            </w:r>
          </w:p>
        </w:tc>
        <w:tc>
          <w:tcPr>
            <w:tcW w:w="60" w:type="dxa"/>
            <w:vAlign w:val="bottom"/>
            <w:tcBorders>
              <w:right w:val="single" w:sz="8" w:color="7F7F7F"/>
            </w:tcBorders>
          </w:tcPr>
          <w:p>
            <w:pPr>
              <w:spacing w:after="0"/>
              <w:rPr>
                <w:sz w:val="14"/>
                <w:szCs w:val="14"/>
                <w:color w:val="auto"/>
              </w:rPr>
            </w:pPr>
          </w:p>
        </w:tc>
        <w:tc>
          <w:tcPr>
            <w:tcW w:w="980" w:type="dxa"/>
            <w:vAlign w:val="bottom"/>
            <w:tcBorders>
              <w:right w:val="single" w:sz="8" w:color="7F7F7F"/>
            </w:tcBorders>
          </w:tcPr>
          <w:p>
            <w:pPr>
              <w:spacing w:after="0"/>
              <w:rPr>
                <w:sz w:val="14"/>
                <w:szCs w:val="14"/>
                <w:color w:val="auto"/>
              </w:rPr>
            </w:pPr>
          </w:p>
        </w:tc>
        <w:tc>
          <w:tcPr>
            <w:tcW w:w="1300" w:type="dxa"/>
            <w:vAlign w:val="bottom"/>
            <w:tcBorders>
              <w:right w:val="single" w:sz="8" w:color="7F7F7F"/>
            </w:tcBorders>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Borders>
              <w:right w:val="single" w:sz="8" w:color="7F7F7F"/>
            </w:tcBorders>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1440" w:type="dxa"/>
            <w:vAlign w:val="bottom"/>
            <w:tcBorders>
              <w:left w:val="single" w:sz="8" w:color="7F7F7F"/>
              <w:bottom w:val="single" w:sz="8" w:color="7F7F7F"/>
              <w:right w:val="single" w:sz="8" w:color="7F7F7F"/>
            </w:tcBorders>
          </w:tcPr>
          <w:p>
            <w:pPr>
              <w:spacing w:after="0"/>
              <w:rPr>
                <w:sz w:val="4"/>
                <w:szCs w:val="4"/>
                <w:color w:val="auto"/>
              </w:rPr>
            </w:pPr>
          </w:p>
        </w:tc>
        <w:tc>
          <w:tcPr>
            <w:tcW w:w="760" w:type="dxa"/>
            <w:vAlign w:val="bottom"/>
            <w:tcBorders>
              <w:bottom w:val="single" w:sz="8" w:color="7F7F7F"/>
              <w:right w:val="single" w:sz="8" w:color="7F7F7F"/>
            </w:tcBorders>
          </w:tcPr>
          <w:p>
            <w:pPr>
              <w:spacing w:after="0"/>
              <w:rPr>
                <w:sz w:val="4"/>
                <w:szCs w:val="4"/>
                <w:color w:val="auto"/>
              </w:rPr>
            </w:pPr>
          </w:p>
        </w:tc>
        <w:tc>
          <w:tcPr>
            <w:tcW w:w="1600" w:type="dxa"/>
            <w:vAlign w:val="bottom"/>
            <w:tcBorders>
              <w:bottom w:val="single" w:sz="8" w:color="7F7F7F"/>
              <w:right w:val="single" w:sz="8" w:color="7F7F7F"/>
            </w:tcBorders>
          </w:tcPr>
          <w:p>
            <w:pPr>
              <w:spacing w:after="0"/>
              <w:rPr>
                <w:sz w:val="4"/>
                <w:szCs w:val="4"/>
                <w:color w:val="auto"/>
              </w:rPr>
            </w:pPr>
          </w:p>
        </w:tc>
        <w:tc>
          <w:tcPr>
            <w:tcW w:w="1200" w:type="dxa"/>
            <w:vAlign w:val="bottom"/>
            <w:tcBorders>
              <w:bottom w:val="single" w:sz="8" w:color="7F7F7F"/>
              <w:right w:val="single" w:sz="8" w:color="7F7F7F"/>
            </w:tcBorders>
          </w:tcPr>
          <w:p>
            <w:pPr>
              <w:spacing w:after="0"/>
              <w:rPr>
                <w:sz w:val="4"/>
                <w:szCs w:val="4"/>
                <w:color w:val="auto"/>
              </w:rPr>
            </w:pPr>
          </w:p>
        </w:tc>
        <w:tc>
          <w:tcPr>
            <w:tcW w:w="2400" w:type="dxa"/>
            <w:vAlign w:val="bottom"/>
            <w:tcBorders>
              <w:bottom w:val="single" w:sz="8" w:color="7F7F7F"/>
            </w:tcBorders>
          </w:tcPr>
          <w:p>
            <w:pPr>
              <w:spacing w:after="0"/>
              <w:rPr>
                <w:sz w:val="4"/>
                <w:szCs w:val="4"/>
                <w:color w:val="auto"/>
              </w:rPr>
            </w:pPr>
          </w:p>
        </w:tc>
        <w:tc>
          <w:tcPr>
            <w:tcW w:w="60" w:type="dxa"/>
            <w:vAlign w:val="bottom"/>
            <w:tcBorders>
              <w:bottom w:val="single" w:sz="8" w:color="7F7F7F"/>
              <w:right w:val="single" w:sz="8" w:color="7F7F7F"/>
            </w:tcBorders>
          </w:tcPr>
          <w:p>
            <w:pPr>
              <w:spacing w:after="0"/>
              <w:rPr>
                <w:sz w:val="4"/>
                <w:szCs w:val="4"/>
                <w:color w:val="auto"/>
              </w:rPr>
            </w:pPr>
          </w:p>
        </w:tc>
        <w:tc>
          <w:tcPr>
            <w:tcW w:w="980" w:type="dxa"/>
            <w:vAlign w:val="bottom"/>
            <w:tcBorders>
              <w:bottom w:val="single" w:sz="8" w:color="7F7F7F"/>
              <w:right w:val="single" w:sz="8" w:color="7F7F7F"/>
            </w:tcBorders>
          </w:tcPr>
          <w:p>
            <w:pPr>
              <w:spacing w:after="0"/>
              <w:rPr>
                <w:sz w:val="4"/>
                <w:szCs w:val="4"/>
                <w:color w:val="auto"/>
              </w:rPr>
            </w:pPr>
          </w:p>
        </w:tc>
        <w:tc>
          <w:tcPr>
            <w:tcW w:w="1300" w:type="dxa"/>
            <w:vAlign w:val="bottom"/>
            <w:tcBorders>
              <w:bottom w:val="single" w:sz="8" w:color="7F7F7F"/>
              <w:right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540" w:type="dxa"/>
            <w:vAlign w:val="bottom"/>
            <w:tcBorders>
              <w:bottom w:val="single" w:sz="8" w:color="7F7F7F"/>
              <w:right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1440" w:type="dxa"/>
            <w:vAlign w:val="bottom"/>
            <w:tcBorders>
              <w:left w:val="single" w:sz="8" w:color="7F7F7F"/>
              <w:right w:val="single" w:sz="8" w:color="7F7F7F"/>
            </w:tcBorders>
          </w:tcPr>
          <w:p>
            <w:pPr>
              <w:spacing w:after="0"/>
              <w:rPr>
                <w:sz w:val="13"/>
                <w:szCs w:val="13"/>
                <w:color w:val="auto"/>
              </w:rPr>
            </w:pPr>
          </w:p>
        </w:tc>
        <w:tc>
          <w:tcPr>
            <w:tcW w:w="760" w:type="dxa"/>
            <w:vAlign w:val="bottom"/>
            <w:tcBorders>
              <w:right w:val="single" w:sz="8" w:color="7F7F7F"/>
            </w:tcBorders>
          </w:tcPr>
          <w:p>
            <w:pPr>
              <w:spacing w:after="0"/>
              <w:rPr>
                <w:sz w:val="13"/>
                <w:szCs w:val="13"/>
                <w:color w:val="auto"/>
              </w:rPr>
            </w:pPr>
          </w:p>
        </w:tc>
        <w:tc>
          <w:tcPr>
            <w:tcW w:w="1600" w:type="dxa"/>
            <w:vAlign w:val="bottom"/>
            <w:tcBorders>
              <w:right w:val="single" w:sz="8" w:color="7F7F7F"/>
            </w:tcBorders>
          </w:tcPr>
          <w:p>
            <w:pPr>
              <w:ind w:left="40"/>
              <w:spacing w:after="0"/>
              <w:rPr>
                <w:sz w:val="20"/>
                <w:szCs w:val="20"/>
                <w:color w:val="auto"/>
              </w:rPr>
            </w:pPr>
            <w:r>
              <w:rPr>
                <w:rFonts w:ascii="Arial" w:cs="Arial" w:eastAsia="Arial" w:hAnsi="Arial"/>
                <w:sz w:val="13"/>
                <w:szCs w:val="13"/>
                <w:color w:val="auto"/>
              </w:rPr>
              <w:t>Net production, excluding</w:t>
            </w:r>
          </w:p>
        </w:tc>
        <w:tc>
          <w:tcPr>
            <w:tcW w:w="1200" w:type="dxa"/>
            <w:vAlign w:val="bottom"/>
            <w:tcBorders>
              <w:right w:val="single" w:sz="8" w:color="7F7F7F"/>
            </w:tcBorders>
          </w:tcPr>
          <w:p>
            <w:pPr>
              <w:jc w:val="center"/>
              <w:spacing w:after="0"/>
              <w:rPr>
                <w:sz w:val="20"/>
                <w:szCs w:val="20"/>
                <w:color w:val="auto"/>
              </w:rPr>
            </w:pPr>
            <w:r>
              <w:rPr>
                <w:rFonts w:ascii="Arial" w:cs="Arial" w:eastAsia="Arial" w:hAnsi="Arial"/>
                <w:sz w:val="13"/>
                <w:szCs w:val="13"/>
                <w:color w:val="auto"/>
                <w:w w:val="96"/>
              </w:rPr>
              <w:t>3,083 - 3,175</w:t>
            </w:r>
          </w:p>
        </w:tc>
        <w:tc>
          <w:tcPr>
            <w:tcW w:w="2400" w:type="dxa"/>
            <w:vAlign w:val="bottom"/>
            <w:vMerge w:val="restart"/>
          </w:tcPr>
          <w:p>
            <w:pPr>
              <w:ind w:left="40"/>
              <w:spacing w:after="0"/>
              <w:rPr>
                <w:sz w:val="20"/>
                <w:szCs w:val="20"/>
                <w:color w:val="auto"/>
              </w:rPr>
            </w:pPr>
            <w:r>
              <w:rPr>
                <w:rFonts w:ascii="Arial" w:cs="Arial" w:eastAsia="Arial" w:hAnsi="Arial"/>
                <w:sz w:val="13"/>
                <w:szCs w:val="13"/>
                <w:color w:val="auto"/>
              </w:rPr>
              <w:t>At lower end of 0-3% guidance range.</w:t>
            </w:r>
          </w:p>
        </w:tc>
        <w:tc>
          <w:tcPr>
            <w:tcW w:w="60" w:type="dxa"/>
            <w:vAlign w:val="bottom"/>
            <w:tcBorders>
              <w:right w:val="single" w:sz="8" w:color="7F7F7F"/>
            </w:tcBorders>
          </w:tcPr>
          <w:p>
            <w:pPr>
              <w:spacing w:after="0"/>
              <w:rPr>
                <w:sz w:val="13"/>
                <w:szCs w:val="13"/>
                <w:color w:val="auto"/>
              </w:rPr>
            </w:pPr>
          </w:p>
        </w:tc>
        <w:tc>
          <w:tcPr>
            <w:tcW w:w="980" w:type="dxa"/>
            <w:vAlign w:val="bottom"/>
            <w:tcBorders>
              <w:right w:val="single" w:sz="8" w:color="7F7F7F"/>
            </w:tcBorders>
          </w:tcPr>
          <w:p>
            <w:pPr>
              <w:spacing w:after="0"/>
              <w:rPr>
                <w:sz w:val="13"/>
                <w:szCs w:val="13"/>
                <w:color w:val="auto"/>
              </w:rPr>
            </w:pPr>
          </w:p>
        </w:tc>
        <w:tc>
          <w:tcPr>
            <w:tcW w:w="1300" w:type="dxa"/>
            <w:vAlign w:val="bottom"/>
            <w:tcBorders>
              <w:right w:val="single" w:sz="8" w:color="7F7F7F"/>
            </w:tcBorders>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Borders>
              <w:right w:val="single" w:sz="8" w:color="7F7F7F"/>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440" w:type="dxa"/>
            <w:vAlign w:val="bottom"/>
            <w:tcBorders>
              <w:left w:val="single" w:sz="8" w:color="7F7F7F"/>
              <w:right w:val="single" w:sz="8" w:color="7F7F7F"/>
            </w:tcBorders>
          </w:tcPr>
          <w:p>
            <w:pPr>
              <w:spacing w:after="0"/>
              <w:rPr>
                <w:sz w:val="14"/>
                <w:szCs w:val="14"/>
                <w:color w:val="auto"/>
              </w:rPr>
            </w:pPr>
          </w:p>
        </w:tc>
        <w:tc>
          <w:tcPr>
            <w:tcW w:w="760" w:type="dxa"/>
            <w:vAlign w:val="bottom"/>
            <w:tcBorders>
              <w:right w:val="single" w:sz="8" w:color="7F7F7F"/>
            </w:tcBorders>
          </w:tcPr>
          <w:p>
            <w:pPr>
              <w:spacing w:after="0"/>
              <w:rPr>
                <w:sz w:val="14"/>
                <w:szCs w:val="14"/>
                <w:color w:val="auto"/>
              </w:rPr>
            </w:pPr>
          </w:p>
        </w:tc>
        <w:tc>
          <w:tcPr>
            <w:tcW w:w="1600" w:type="dxa"/>
            <w:vAlign w:val="bottom"/>
            <w:tcBorders>
              <w:right w:val="single" w:sz="8" w:color="7F7F7F"/>
            </w:tcBorders>
          </w:tcPr>
          <w:p>
            <w:pPr>
              <w:ind w:left="40"/>
              <w:spacing w:after="0"/>
              <w:rPr>
                <w:sz w:val="20"/>
                <w:szCs w:val="20"/>
                <w:color w:val="auto"/>
              </w:rPr>
            </w:pPr>
            <w:r>
              <w:rPr>
                <w:rFonts w:ascii="Arial" w:cs="Arial" w:eastAsia="Arial" w:hAnsi="Arial"/>
                <w:sz w:val="13"/>
                <w:szCs w:val="13"/>
                <w:color w:val="auto"/>
              </w:rPr>
              <w:t>impact of divestments</w:t>
            </w:r>
          </w:p>
        </w:tc>
        <w:tc>
          <w:tcPr>
            <w:tcW w:w="1200" w:type="dxa"/>
            <w:vAlign w:val="bottom"/>
            <w:tcBorders>
              <w:right w:val="single" w:sz="8" w:color="7F7F7F"/>
            </w:tcBorders>
          </w:tcPr>
          <w:p>
            <w:pPr>
              <w:jc w:val="center"/>
              <w:spacing w:after="0"/>
              <w:rPr>
                <w:sz w:val="20"/>
                <w:szCs w:val="20"/>
                <w:color w:val="auto"/>
              </w:rPr>
            </w:pPr>
            <w:r>
              <w:rPr>
                <w:rFonts w:ascii="Arial" w:cs="Arial" w:eastAsia="Arial" w:hAnsi="Arial"/>
                <w:sz w:val="13"/>
                <w:szCs w:val="13"/>
                <w:color w:val="auto"/>
                <w:w w:val="96"/>
              </w:rPr>
              <w:t>MBOED</w:t>
            </w:r>
          </w:p>
        </w:tc>
        <w:tc>
          <w:tcPr>
            <w:tcW w:w="2400" w:type="dxa"/>
            <w:vAlign w:val="bottom"/>
            <w:vMerge w:val="continue"/>
          </w:tcPr>
          <w:p>
            <w:pPr>
              <w:spacing w:after="0"/>
              <w:rPr>
                <w:sz w:val="14"/>
                <w:szCs w:val="14"/>
                <w:color w:val="auto"/>
              </w:rPr>
            </w:pPr>
          </w:p>
        </w:tc>
        <w:tc>
          <w:tcPr>
            <w:tcW w:w="60" w:type="dxa"/>
            <w:vAlign w:val="bottom"/>
            <w:tcBorders>
              <w:right w:val="single" w:sz="8" w:color="7F7F7F"/>
            </w:tcBorders>
          </w:tcPr>
          <w:p>
            <w:pPr>
              <w:spacing w:after="0"/>
              <w:rPr>
                <w:sz w:val="14"/>
                <w:szCs w:val="14"/>
                <w:color w:val="auto"/>
              </w:rPr>
            </w:pPr>
          </w:p>
        </w:tc>
        <w:tc>
          <w:tcPr>
            <w:tcW w:w="980" w:type="dxa"/>
            <w:vAlign w:val="bottom"/>
            <w:tcBorders>
              <w:right w:val="single" w:sz="8" w:color="7F7F7F"/>
            </w:tcBorders>
          </w:tcPr>
          <w:p>
            <w:pPr>
              <w:spacing w:after="0"/>
              <w:rPr>
                <w:sz w:val="14"/>
                <w:szCs w:val="14"/>
                <w:color w:val="auto"/>
              </w:rPr>
            </w:pPr>
          </w:p>
        </w:tc>
        <w:tc>
          <w:tcPr>
            <w:tcW w:w="1300" w:type="dxa"/>
            <w:vAlign w:val="bottom"/>
            <w:tcBorders>
              <w:right w:val="single" w:sz="8" w:color="7F7F7F"/>
            </w:tcBorders>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Borders>
              <w:right w:val="single" w:sz="8" w:color="7F7F7F"/>
            </w:tcBorders>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1440" w:type="dxa"/>
            <w:vAlign w:val="bottom"/>
            <w:tcBorders>
              <w:left w:val="single" w:sz="8" w:color="7F7F7F"/>
              <w:right w:val="single" w:sz="8" w:color="7F7F7F"/>
            </w:tcBorders>
          </w:tcPr>
          <w:p>
            <w:pPr>
              <w:spacing w:after="0"/>
              <w:rPr>
                <w:sz w:val="4"/>
                <w:szCs w:val="4"/>
                <w:color w:val="auto"/>
              </w:rPr>
            </w:pPr>
          </w:p>
        </w:tc>
        <w:tc>
          <w:tcPr>
            <w:tcW w:w="760" w:type="dxa"/>
            <w:vAlign w:val="bottom"/>
            <w:tcBorders>
              <w:right w:val="single" w:sz="8" w:color="7F7F7F"/>
            </w:tcBorders>
          </w:tcPr>
          <w:p>
            <w:pPr>
              <w:spacing w:after="0"/>
              <w:rPr>
                <w:sz w:val="4"/>
                <w:szCs w:val="4"/>
                <w:color w:val="auto"/>
              </w:rPr>
            </w:pPr>
          </w:p>
        </w:tc>
        <w:tc>
          <w:tcPr>
            <w:tcW w:w="1600" w:type="dxa"/>
            <w:vAlign w:val="bottom"/>
            <w:tcBorders>
              <w:bottom w:val="single" w:sz="8" w:color="7F7F7F"/>
              <w:right w:val="single" w:sz="8" w:color="7F7F7F"/>
            </w:tcBorders>
          </w:tcPr>
          <w:p>
            <w:pPr>
              <w:spacing w:after="0"/>
              <w:rPr>
                <w:sz w:val="4"/>
                <w:szCs w:val="4"/>
                <w:color w:val="auto"/>
              </w:rPr>
            </w:pPr>
          </w:p>
        </w:tc>
        <w:tc>
          <w:tcPr>
            <w:tcW w:w="1200" w:type="dxa"/>
            <w:vAlign w:val="bottom"/>
            <w:tcBorders>
              <w:bottom w:val="single" w:sz="8" w:color="7F7F7F"/>
              <w:right w:val="single" w:sz="8" w:color="7F7F7F"/>
            </w:tcBorders>
          </w:tcPr>
          <w:p>
            <w:pPr>
              <w:spacing w:after="0"/>
              <w:rPr>
                <w:sz w:val="4"/>
                <w:szCs w:val="4"/>
                <w:color w:val="auto"/>
              </w:rPr>
            </w:pPr>
          </w:p>
        </w:tc>
        <w:tc>
          <w:tcPr>
            <w:tcW w:w="2400" w:type="dxa"/>
            <w:vAlign w:val="bottom"/>
            <w:tcBorders>
              <w:bottom w:val="single" w:sz="8" w:color="7F7F7F"/>
            </w:tcBorders>
          </w:tcPr>
          <w:p>
            <w:pPr>
              <w:spacing w:after="0"/>
              <w:rPr>
                <w:sz w:val="4"/>
                <w:szCs w:val="4"/>
                <w:color w:val="auto"/>
              </w:rPr>
            </w:pPr>
          </w:p>
        </w:tc>
        <w:tc>
          <w:tcPr>
            <w:tcW w:w="60" w:type="dxa"/>
            <w:vAlign w:val="bottom"/>
            <w:tcBorders>
              <w:bottom w:val="single" w:sz="8" w:color="7F7F7F"/>
              <w:right w:val="single" w:sz="8" w:color="7F7F7F"/>
            </w:tcBorders>
          </w:tcPr>
          <w:p>
            <w:pPr>
              <w:spacing w:after="0"/>
              <w:rPr>
                <w:sz w:val="4"/>
                <w:szCs w:val="4"/>
                <w:color w:val="auto"/>
              </w:rPr>
            </w:pPr>
          </w:p>
        </w:tc>
        <w:tc>
          <w:tcPr>
            <w:tcW w:w="980" w:type="dxa"/>
            <w:vAlign w:val="bottom"/>
            <w:tcBorders>
              <w:bottom w:val="single" w:sz="8" w:color="7F7F7F"/>
              <w:right w:val="single" w:sz="8" w:color="7F7F7F"/>
            </w:tcBorders>
          </w:tcPr>
          <w:p>
            <w:pPr>
              <w:spacing w:after="0"/>
              <w:rPr>
                <w:sz w:val="4"/>
                <w:szCs w:val="4"/>
                <w:color w:val="auto"/>
              </w:rPr>
            </w:pPr>
          </w:p>
        </w:tc>
        <w:tc>
          <w:tcPr>
            <w:tcW w:w="1300" w:type="dxa"/>
            <w:vAlign w:val="bottom"/>
            <w:tcBorders>
              <w:right w:val="single" w:sz="8" w:color="7F7F7F"/>
            </w:tcBorders>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Borders>
              <w:right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1440" w:type="dxa"/>
            <w:vAlign w:val="bottom"/>
            <w:tcBorders>
              <w:left w:val="single" w:sz="8" w:color="7F7F7F"/>
              <w:right w:val="single" w:sz="8" w:color="7F7F7F"/>
            </w:tcBorders>
          </w:tcPr>
          <w:p>
            <w:pPr>
              <w:spacing w:after="0"/>
              <w:rPr>
                <w:sz w:val="9"/>
                <w:szCs w:val="9"/>
                <w:color w:val="auto"/>
              </w:rPr>
            </w:pPr>
          </w:p>
        </w:tc>
        <w:tc>
          <w:tcPr>
            <w:tcW w:w="760" w:type="dxa"/>
            <w:vAlign w:val="bottom"/>
            <w:tcBorders>
              <w:right w:val="single" w:sz="8" w:color="7F7F7F"/>
            </w:tcBorders>
          </w:tcPr>
          <w:p>
            <w:pPr>
              <w:spacing w:after="0"/>
              <w:rPr>
                <w:sz w:val="9"/>
                <w:szCs w:val="9"/>
                <w:color w:val="auto"/>
              </w:rPr>
            </w:pPr>
          </w:p>
        </w:tc>
        <w:tc>
          <w:tcPr>
            <w:tcW w:w="1600" w:type="dxa"/>
            <w:vAlign w:val="bottom"/>
            <w:tcBorders>
              <w:right w:val="single" w:sz="8" w:color="7F7F7F"/>
            </w:tcBorders>
          </w:tcPr>
          <w:p>
            <w:pPr>
              <w:ind w:left="40"/>
              <w:spacing w:after="0" w:line="111" w:lineRule="exact"/>
              <w:rPr>
                <w:sz w:val="20"/>
                <w:szCs w:val="20"/>
                <w:color w:val="auto"/>
              </w:rPr>
            </w:pPr>
            <w:r>
              <w:rPr>
                <w:rFonts w:ascii="Arial" w:cs="Arial" w:eastAsia="Arial" w:hAnsi="Arial"/>
                <w:sz w:val="12"/>
                <w:szCs w:val="12"/>
                <w:color w:val="auto"/>
              </w:rPr>
              <w:t>Refining reliability,</w:t>
            </w:r>
          </w:p>
        </w:tc>
        <w:tc>
          <w:tcPr>
            <w:tcW w:w="1200" w:type="dxa"/>
            <w:vAlign w:val="bottom"/>
            <w:tcBorders>
              <w:right w:val="single" w:sz="8" w:color="7F7F7F"/>
            </w:tcBorders>
          </w:tcPr>
          <w:p>
            <w:pPr>
              <w:spacing w:after="0"/>
              <w:rPr>
                <w:sz w:val="9"/>
                <w:szCs w:val="9"/>
                <w:color w:val="auto"/>
              </w:rPr>
            </w:pPr>
          </w:p>
        </w:tc>
        <w:tc>
          <w:tcPr>
            <w:tcW w:w="2400" w:type="dxa"/>
            <w:vAlign w:val="bottom"/>
          </w:tcPr>
          <w:p>
            <w:pPr>
              <w:spacing w:after="0"/>
              <w:rPr>
                <w:sz w:val="9"/>
                <w:szCs w:val="9"/>
                <w:color w:val="auto"/>
              </w:rPr>
            </w:pPr>
          </w:p>
        </w:tc>
        <w:tc>
          <w:tcPr>
            <w:tcW w:w="60" w:type="dxa"/>
            <w:vAlign w:val="bottom"/>
            <w:tcBorders>
              <w:right w:val="single" w:sz="8" w:color="7F7F7F"/>
            </w:tcBorders>
          </w:tcPr>
          <w:p>
            <w:pPr>
              <w:spacing w:after="0"/>
              <w:rPr>
                <w:sz w:val="9"/>
                <w:szCs w:val="9"/>
                <w:color w:val="auto"/>
              </w:rPr>
            </w:pPr>
          </w:p>
        </w:tc>
        <w:tc>
          <w:tcPr>
            <w:tcW w:w="980" w:type="dxa"/>
            <w:vAlign w:val="bottom"/>
            <w:tcBorders>
              <w:right w:val="single" w:sz="8" w:color="7F7F7F"/>
            </w:tcBorders>
          </w:tcPr>
          <w:p>
            <w:pPr>
              <w:spacing w:after="0"/>
              <w:rPr>
                <w:sz w:val="9"/>
                <w:szCs w:val="9"/>
                <w:color w:val="auto"/>
              </w:rPr>
            </w:pPr>
          </w:p>
        </w:tc>
        <w:tc>
          <w:tcPr>
            <w:tcW w:w="1300" w:type="dxa"/>
            <w:vAlign w:val="bottom"/>
            <w:tcBorders>
              <w:right w:val="single" w:sz="8" w:color="7F7F7F"/>
            </w:tcBorders>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Borders>
              <w:right w:val="single" w:sz="8" w:color="7F7F7F"/>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40" w:type="dxa"/>
            <w:vAlign w:val="bottom"/>
            <w:tcBorders>
              <w:left w:val="single" w:sz="8" w:color="7F7F7F"/>
              <w:right w:val="single" w:sz="8" w:color="7F7F7F"/>
            </w:tcBorders>
          </w:tcPr>
          <w:p>
            <w:pPr>
              <w:spacing w:after="0"/>
              <w:rPr>
                <w:sz w:val="11"/>
                <w:szCs w:val="11"/>
                <w:color w:val="auto"/>
              </w:rPr>
            </w:pPr>
          </w:p>
        </w:tc>
        <w:tc>
          <w:tcPr>
            <w:tcW w:w="760" w:type="dxa"/>
            <w:vAlign w:val="bottom"/>
            <w:tcBorders>
              <w:right w:val="single" w:sz="8" w:color="7F7F7F"/>
            </w:tcBorders>
          </w:tcPr>
          <w:p>
            <w:pPr>
              <w:spacing w:after="0"/>
              <w:rPr>
                <w:sz w:val="11"/>
                <w:szCs w:val="11"/>
                <w:color w:val="auto"/>
              </w:rPr>
            </w:pPr>
          </w:p>
        </w:tc>
        <w:tc>
          <w:tcPr>
            <w:tcW w:w="1600" w:type="dxa"/>
            <w:vAlign w:val="bottom"/>
            <w:tcBorders>
              <w:right w:val="single" w:sz="8" w:color="7F7F7F"/>
            </w:tcBorders>
          </w:tcPr>
          <w:p>
            <w:pPr>
              <w:ind w:left="40"/>
              <w:spacing w:after="0" w:line="135" w:lineRule="exact"/>
              <w:rPr>
                <w:sz w:val="20"/>
                <w:szCs w:val="20"/>
                <w:color w:val="auto"/>
              </w:rPr>
            </w:pPr>
            <w:r>
              <w:rPr>
                <w:rFonts w:ascii="Arial" w:cs="Arial" w:eastAsia="Arial" w:hAnsi="Arial"/>
                <w:sz w:val="13"/>
                <w:szCs w:val="13"/>
                <w:color w:val="auto"/>
              </w:rPr>
              <w:t>including joint ventures</w:t>
            </w:r>
          </w:p>
        </w:tc>
        <w:tc>
          <w:tcPr>
            <w:tcW w:w="1200" w:type="dxa"/>
            <w:vAlign w:val="bottom"/>
            <w:tcBorders>
              <w:right w:val="single" w:sz="8" w:color="7F7F7F"/>
            </w:tcBorders>
          </w:tcPr>
          <w:p>
            <w:pPr>
              <w:jc w:val="center"/>
              <w:spacing w:after="0" w:line="135" w:lineRule="exact"/>
              <w:rPr>
                <w:sz w:val="20"/>
                <w:szCs w:val="20"/>
                <w:color w:val="auto"/>
              </w:rPr>
            </w:pPr>
            <w:r>
              <w:rPr>
                <w:rFonts w:ascii="Arial" w:cs="Arial" w:eastAsia="Arial" w:hAnsi="Arial"/>
                <w:sz w:val="13"/>
                <w:szCs w:val="13"/>
                <w:color w:val="auto"/>
                <w:w w:val="97"/>
              </w:rPr>
              <w:t>96.6%</w:t>
            </w:r>
          </w:p>
        </w:tc>
        <w:tc>
          <w:tcPr>
            <w:tcW w:w="2400" w:type="dxa"/>
            <w:vAlign w:val="bottom"/>
          </w:tcPr>
          <w:p>
            <w:pPr>
              <w:ind w:left="40"/>
              <w:spacing w:after="0" w:line="135" w:lineRule="exact"/>
              <w:rPr>
                <w:sz w:val="20"/>
                <w:szCs w:val="20"/>
                <w:color w:val="auto"/>
              </w:rPr>
            </w:pPr>
            <w:r>
              <w:rPr>
                <w:rFonts w:ascii="Arial" w:cs="Arial" w:eastAsia="Arial" w:hAnsi="Arial"/>
                <w:sz w:val="13"/>
                <w:szCs w:val="13"/>
                <w:color w:val="auto"/>
              </w:rPr>
              <w:t>Operational availability in-line with Plan.</w:t>
            </w:r>
          </w:p>
        </w:tc>
        <w:tc>
          <w:tcPr>
            <w:tcW w:w="60" w:type="dxa"/>
            <w:vAlign w:val="bottom"/>
            <w:tcBorders>
              <w:right w:val="single" w:sz="8" w:color="7F7F7F"/>
            </w:tcBorders>
          </w:tcPr>
          <w:p>
            <w:pPr>
              <w:spacing w:after="0"/>
              <w:rPr>
                <w:sz w:val="11"/>
                <w:szCs w:val="11"/>
                <w:color w:val="auto"/>
              </w:rPr>
            </w:pPr>
          </w:p>
        </w:tc>
        <w:tc>
          <w:tcPr>
            <w:tcW w:w="980" w:type="dxa"/>
            <w:vAlign w:val="bottom"/>
            <w:tcBorders>
              <w:right w:val="single" w:sz="8" w:color="7F7F7F"/>
            </w:tcBorders>
          </w:tcPr>
          <w:p>
            <w:pPr>
              <w:spacing w:after="0"/>
              <w:rPr>
                <w:sz w:val="11"/>
                <w:szCs w:val="11"/>
                <w:color w:val="auto"/>
              </w:rPr>
            </w:pPr>
          </w:p>
        </w:tc>
        <w:tc>
          <w:tcPr>
            <w:tcW w:w="1300" w:type="dxa"/>
            <w:vAlign w:val="bottom"/>
            <w:tcBorders>
              <w:right w:val="single" w:sz="8" w:color="7F7F7F"/>
            </w:tcBorders>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Borders>
              <w:right w:val="single" w:sz="8" w:color="7F7F7F"/>
            </w:tcBorders>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440" w:type="dxa"/>
            <w:vAlign w:val="bottom"/>
            <w:tcBorders>
              <w:left w:val="single" w:sz="8" w:color="7F7F7F"/>
              <w:right w:val="single" w:sz="8" w:color="7F7F7F"/>
            </w:tcBorders>
          </w:tcPr>
          <w:p>
            <w:pPr>
              <w:spacing w:after="0"/>
              <w:rPr>
                <w:sz w:val="14"/>
                <w:szCs w:val="14"/>
                <w:color w:val="auto"/>
              </w:rPr>
            </w:pPr>
          </w:p>
        </w:tc>
        <w:tc>
          <w:tcPr>
            <w:tcW w:w="760" w:type="dxa"/>
            <w:vAlign w:val="bottom"/>
            <w:tcBorders>
              <w:right w:val="single" w:sz="8" w:color="7F7F7F"/>
            </w:tcBorders>
          </w:tcPr>
          <w:p>
            <w:pPr>
              <w:spacing w:after="0"/>
              <w:rPr>
                <w:sz w:val="14"/>
                <w:szCs w:val="14"/>
                <w:color w:val="auto"/>
              </w:rPr>
            </w:pPr>
          </w:p>
        </w:tc>
        <w:tc>
          <w:tcPr>
            <w:tcW w:w="1600" w:type="dxa"/>
            <w:vAlign w:val="bottom"/>
            <w:tcBorders>
              <w:right w:val="single" w:sz="8" w:color="7F7F7F"/>
            </w:tcBorders>
          </w:tcPr>
          <w:p>
            <w:pPr>
              <w:ind w:left="40"/>
              <w:spacing w:after="0"/>
              <w:rPr>
                <w:sz w:val="20"/>
                <w:szCs w:val="20"/>
                <w:color w:val="auto"/>
              </w:rPr>
            </w:pPr>
            <w:r>
              <w:rPr>
                <w:rFonts w:ascii="Arial" w:cs="Arial" w:eastAsia="Arial" w:hAnsi="Arial"/>
                <w:sz w:val="13"/>
                <w:szCs w:val="13"/>
                <w:color w:val="auto"/>
              </w:rPr>
              <w:t>and affiliates</w:t>
            </w:r>
          </w:p>
        </w:tc>
        <w:tc>
          <w:tcPr>
            <w:tcW w:w="1200" w:type="dxa"/>
            <w:vAlign w:val="bottom"/>
            <w:tcBorders>
              <w:right w:val="single" w:sz="8" w:color="7F7F7F"/>
            </w:tcBorders>
          </w:tcPr>
          <w:p>
            <w:pPr>
              <w:spacing w:after="0"/>
              <w:rPr>
                <w:sz w:val="14"/>
                <w:szCs w:val="14"/>
                <w:color w:val="auto"/>
              </w:rPr>
            </w:pPr>
          </w:p>
        </w:tc>
        <w:tc>
          <w:tcPr>
            <w:tcW w:w="2400" w:type="dxa"/>
            <w:vAlign w:val="bottom"/>
          </w:tcPr>
          <w:p>
            <w:pPr>
              <w:spacing w:after="0"/>
              <w:rPr>
                <w:sz w:val="14"/>
                <w:szCs w:val="14"/>
                <w:color w:val="auto"/>
              </w:rPr>
            </w:pPr>
          </w:p>
        </w:tc>
        <w:tc>
          <w:tcPr>
            <w:tcW w:w="60" w:type="dxa"/>
            <w:vAlign w:val="bottom"/>
            <w:tcBorders>
              <w:right w:val="single" w:sz="8" w:color="7F7F7F"/>
            </w:tcBorders>
          </w:tcPr>
          <w:p>
            <w:pPr>
              <w:spacing w:after="0"/>
              <w:rPr>
                <w:sz w:val="14"/>
                <w:szCs w:val="14"/>
                <w:color w:val="auto"/>
              </w:rPr>
            </w:pPr>
          </w:p>
        </w:tc>
        <w:tc>
          <w:tcPr>
            <w:tcW w:w="980" w:type="dxa"/>
            <w:vAlign w:val="bottom"/>
            <w:tcBorders>
              <w:right w:val="single" w:sz="8" w:color="7F7F7F"/>
            </w:tcBorders>
          </w:tcPr>
          <w:p>
            <w:pPr>
              <w:spacing w:after="0"/>
              <w:rPr>
                <w:sz w:val="14"/>
                <w:szCs w:val="14"/>
                <w:color w:val="auto"/>
              </w:rPr>
            </w:pPr>
          </w:p>
        </w:tc>
        <w:tc>
          <w:tcPr>
            <w:tcW w:w="1300" w:type="dxa"/>
            <w:vAlign w:val="bottom"/>
            <w:tcBorders>
              <w:right w:val="single" w:sz="8" w:color="7F7F7F"/>
            </w:tcBorders>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Borders>
              <w:right w:val="single" w:sz="8" w:color="7F7F7F"/>
            </w:tcBorders>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1440" w:type="dxa"/>
            <w:vAlign w:val="bottom"/>
            <w:tcBorders>
              <w:left w:val="single" w:sz="8" w:color="7F7F7F"/>
              <w:right w:val="single" w:sz="8" w:color="7F7F7F"/>
            </w:tcBorders>
          </w:tcPr>
          <w:p>
            <w:pPr>
              <w:spacing w:after="0"/>
              <w:rPr>
                <w:sz w:val="4"/>
                <w:szCs w:val="4"/>
                <w:color w:val="auto"/>
              </w:rPr>
            </w:pPr>
          </w:p>
        </w:tc>
        <w:tc>
          <w:tcPr>
            <w:tcW w:w="760" w:type="dxa"/>
            <w:vAlign w:val="bottom"/>
            <w:tcBorders>
              <w:right w:val="single" w:sz="8" w:color="7F7F7F"/>
            </w:tcBorders>
          </w:tcPr>
          <w:p>
            <w:pPr>
              <w:spacing w:after="0"/>
              <w:rPr>
                <w:sz w:val="4"/>
                <w:szCs w:val="4"/>
                <w:color w:val="auto"/>
              </w:rPr>
            </w:pPr>
          </w:p>
        </w:tc>
        <w:tc>
          <w:tcPr>
            <w:tcW w:w="1600" w:type="dxa"/>
            <w:vAlign w:val="bottom"/>
            <w:tcBorders>
              <w:bottom w:val="single" w:sz="8" w:color="7F7F7F"/>
              <w:right w:val="single" w:sz="8" w:color="7F7F7F"/>
            </w:tcBorders>
          </w:tcPr>
          <w:p>
            <w:pPr>
              <w:spacing w:after="0"/>
              <w:rPr>
                <w:sz w:val="4"/>
                <w:szCs w:val="4"/>
                <w:color w:val="auto"/>
              </w:rPr>
            </w:pPr>
          </w:p>
        </w:tc>
        <w:tc>
          <w:tcPr>
            <w:tcW w:w="1200" w:type="dxa"/>
            <w:vAlign w:val="bottom"/>
            <w:tcBorders>
              <w:bottom w:val="single" w:sz="8" w:color="7F7F7F"/>
              <w:right w:val="single" w:sz="8" w:color="7F7F7F"/>
            </w:tcBorders>
          </w:tcPr>
          <w:p>
            <w:pPr>
              <w:spacing w:after="0"/>
              <w:rPr>
                <w:sz w:val="4"/>
                <w:szCs w:val="4"/>
                <w:color w:val="auto"/>
              </w:rPr>
            </w:pPr>
          </w:p>
        </w:tc>
        <w:tc>
          <w:tcPr>
            <w:tcW w:w="2400" w:type="dxa"/>
            <w:vAlign w:val="bottom"/>
            <w:tcBorders>
              <w:bottom w:val="single" w:sz="8" w:color="7F7F7F"/>
            </w:tcBorders>
          </w:tcPr>
          <w:p>
            <w:pPr>
              <w:spacing w:after="0"/>
              <w:rPr>
                <w:sz w:val="4"/>
                <w:szCs w:val="4"/>
                <w:color w:val="auto"/>
              </w:rPr>
            </w:pPr>
          </w:p>
        </w:tc>
        <w:tc>
          <w:tcPr>
            <w:tcW w:w="60" w:type="dxa"/>
            <w:vAlign w:val="bottom"/>
            <w:tcBorders>
              <w:bottom w:val="single" w:sz="8" w:color="7F7F7F"/>
              <w:right w:val="single" w:sz="8" w:color="7F7F7F"/>
            </w:tcBorders>
          </w:tcPr>
          <w:p>
            <w:pPr>
              <w:spacing w:after="0"/>
              <w:rPr>
                <w:sz w:val="4"/>
                <w:szCs w:val="4"/>
                <w:color w:val="auto"/>
              </w:rPr>
            </w:pPr>
          </w:p>
        </w:tc>
        <w:tc>
          <w:tcPr>
            <w:tcW w:w="980" w:type="dxa"/>
            <w:vAlign w:val="bottom"/>
            <w:tcBorders>
              <w:bottom w:val="single" w:sz="8" w:color="7F7F7F"/>
              <w:right w:val="single" w:sz="8" w:color="7F7F7F"/>
            </w:tcBorders>
          </w:tcPr>
          <w:p>
            <w:pPr>
              <w:spacing w:after="0"/>
              <w:rPr>
                <w:sz w:val="4"/>
                <w:szCs w:val="4"/>
                <w:color w:val="auto"/>
              </w:rPr>
            </w:pPr>
          </w:p>
        </w:tc>
        <w:tc>
          <w:tcPr>
            <w:tcW w:w="1300" w:type="dxa"/>
            <w:vAlign w:val="bottom"/>
            <w:tcBorders>
              <w:right w:val="single" w:sz="8" w:color="7F7F7F"/>
            </w:tcBorders>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Borders>
              <w:right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440" w:type="dxa"/>
            <w:vAlign w:val="bottom"/>
            <w:tcBorders>
              <w:left w:val="single" w:sz="8" w:color="7F7F7F"/>
              <w:right w:val="single" w:sz="8" w:color="7F7F7F"/>
            </w:tcBorders>
          </w:tcPr>
          <w:p>
            <w:pPr>
              <w:spacing w:after="0"/>
              <w:rPr>
                <w:sz w:val="15"/>
                <w:szCs w:val="15"/>
                <w:color w:val="auto"/>
              </w:rPr>
            </w:pPr>
          </w:p>
        </w:tc>
        <w:tc>
          <w:tcPr>
            <w:tcW w:w="760" w:type="dxa"/>
            <w:vAlign w:val="bottom"/>
            <w:tcBorders>
              <w:right w:val="single" w:sz="8" w:color="7F7F7F"/>
            </w:tcBorders>
          </w:tcPr>
          <w:p>
            <w:pPr>
              <w:spacing w:after="0"/>
              <w:rPr>
                <w:sz w:val="15"/>
                <w:szCs w:val="15"/>
                <w:color w:val="auto"/>
              </w:rPr>
            </w:pPr>
          </w:p>
        </w:tc>
        <w:tc>
          <w:tcPr>
            <w:tcW w:w="1600" w:type="dxa"/>
            <w:vAlign w:val="bottom"/>
            <w:tcBorders>
              <w:right w:val="single" w:sz="8" w:color="7F7F7F"/>
            </w:tcBorders>
          </w:tcPr>
          <w:p>
            <w:pPr>
              <w:spacing w:after="0"/>
              <w:rPr>
                <w:sz w:val="15"/>
                <w:szCs w:val="15"/>
                <w:color w:val="auto"/>
              </w:rPr>
            </w:pPr>
          </w:p>
        </w:tc>
        <w:tc>
          <w:tcPr>
            <w:tcW w:w="1200" w:type="dxa"/>
            <w:vAlign w:val="bottom"/>
            <w:tcBorders>
              <w:right w:val="single" w:sz="8" w:color="7F7F7F"/>
            </w:tcBorders>
          </w:tcPr>
          <w:p>
            <w:pPr>
              <w:jc w:val="center"/>
              <w:spacing w:after="0"/>
              <w:rPr>
                <w:sz w:val="20"/>
                <w:szCs w:val="20"/>
                <w:color w:val="auto"/>
              </w:rPr>
            </w:pPr>
            <w:r>
              <w:rPr>
                <w:rFonts w:ascii="Arial" w:cs="Arial" w:eastAsia="Arial" w:hAnsi="Arial"/>
                <w:sz w:val="13"/>
                <w:szCs w:val="13"/>
                <w:color w:val="auto"/>
                <w:w w:val="97"/>
              </w:rPr>
              <w:t>Eliminate</w:t>
            </w:r>
          </w:p>
        </w:tc>
        <w:tc>
          <w:tcPr>
            <w:tcW w:w="2400" w:type="dxa"/>
            <w:vAlign w:val="bottom"/>
          </w:tcPr>
          <w:p>
            <w:pPr>
              <w:spacing w:after="0"/>
              <w:rPr>
                <w:sz w:val="15"/>
                <w:szCs w:val="15"/>
                <w:color w:val="auto"/>
              </w:rPr>
            </w:pPr>
          </w:p>
        </w:tc>
        <w:tc>
          <w:tcPr>
            <w:tcW w:w="60" w:type="dxa"/>
            <w:vAlign w:val="bottom"/>
            <w:tcBorders>
              <w:right w:val="single" w:sz="8" w:color="7F7F7F"/>
            </w:tcBorders>
          </w:tcPr>
          <w:p>
            <w:pPr>
              <w:spacing w:after="0"/>
              <w:rPr>
                <w:sz w:val="15"/>
                <w:szCs w:val="15"/>
                <w:color w:val="auto"/>
              </w:rPr>
            </w:pPr>
          </w:p>
        </w:tc>
        <w:tc>
          <w:tcPr>
            <w:tcW w:w="980" w:type="dxa"/>
            <w:vAlign w:val="bottom"/>
            <w:tcBorders>
              <w:right w:val="single" w:sz="8" w:color="7F7F7F"/>
            </w:tcBorders>
          </w:tcPr>
          <w:p>
            <w:pPr>
              <w:spacing w:after="0"/>
              <w:rPr>
                <w:sz w:val="15"/>
                <w:szCs w:val="15"/>
                <w:color w:val="auto"/>
              </w:rPr>
            </w:pPr>
          </w:p>
        </w:tc>
        <w:tc>
          <w:tcPr>
            <w:tcW w:w="1300" w:type="dxa"/>
            <w:vAlign w:val="bottom"/>
            <w:tcBorders>
              <w:right w:val="single" w:sz="8" w:color="7F7F7F"/>
            </w:tcBorders>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Borders>
              <w:right w:val="single" w:sz="8" w:color="7F7F7F"/>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440" w:type="dxa"/>
            <w:vAlign w:val="bottom"/>
            <w:tcBorders>
              <w:left w:val="single" w:sz="8" w:color="7F7F7F"/>
              <w:right w:val="single" w:sz="8" w:color="7F7F7F"/>
            </w:tcBorders>
          </w:tcPr>
          <w:p>
            <w:pPr>
              <w:spacing w:after="0"/>
              <w:rPr>
                <w:sz w:val="11"/>
                <w:szCs w:val="11"/>
                <w:color w:val="auto"/>
              </w:rPr>
            </w:pPr>
          </w:p>
        </w:tc>
        <w:tc>
          <w:tcPr>
            <w:tcW w:w="760" w:type="dxa"/>
            <w:vAlign w:val="bottom"/>
            <w:tcBorders>
              <w:right w:val="single" w:sz="8" w:color="7F7F7F"/>
            </w:tcBorders>
          </w:tcPr>
          <w:p>
            <w:pPr>
              <w:spacing w:after="0"/>
              <w:rPr>
                <w:sz w:val="11"/>
                <w:szCs w:val="11"/>
                <w:color w:val="auto"/>
              </w:rPr>
            </w:pPr>
          </w:p>
        </w:tc>
        <w:tc>
          <w:tcPr>
            <w:tcW w:w="1600" w:type="dxa"/>
            <w:vAlign w:val="bottom"/>
            <w:tcBorders>
              <w:right w:val="single" w:sz="8" w:color="7F7F7F"/>
            </w:tcBorders>
          </w:tcPr>
          <w:p>
            <w:pPr>
              <w:spacing w:after="0"/>
              <w:rPr>
                <w:sz w:val="11"/>
                <w:szCs w:val="11"/>
                <w:color w:val="auto"/>
              </w:rPr>
            </w:pPr>
          </w:p>
        </w:tc>
        <w:tc>
          <w:tcPr>
            <w:tcW w:w="1200" w:type="dxa"/>
            <w:vAlign w:val="bottom"/>
            <w:tcBorders>
              <w:right w:val="single" w:sz="8" w:color="7F7F7F"/>
            </w:tcBorders>
          </w:tcPr>
          <w:p>
            <w:pPr>
              <w:jc w:val="center"/>
              <w:spacing w:after="0" w:line="135" w:lineRule="exact"/>
              <w:rPr>
                <w:sz w:val="20"/>
                <w:szCs w:val="20"/>
                <w:color w:val="auto"/>
              </w:rPr>
            </w:pPr>
            <w:r>
              <w:rPr>
                <w:rFonts w:ascii="Arial" w:cs="Arial" w:eastAsia="Arial" w:hAnsi="Arial"/>
                <w:sz w:val="13"/>
                <w:szCs w:val="13"/>
                <w:color w:val="auto"/>
                <w:w w:val="95"/>
              </w:rPr>
              <w:t>fatalities and</w:t>
            </w:r>
          </w:p>
        </w:tc>
        <w:tc>
          <w:tcPr>
            <w:tcW w:w="2400" w:type="dxa"/>
            <w:vAlign w:val="bottom"/>
            <w:vMerge w:val="restart"/>
          </w:tcPr>
          <w:p>
            <w:pPr>
              <w:ind w:left="40"/>
              <w:spacing w:after="0"/>
              <w:rPr>
                <w:sz w:val="20"/>
                <w:szCs w:val="20"/>
                <w:color w:val="auto"/>
              </w:rPr>
            </w:pPr>
            <w:r>
              <w:rPr>
                <w:rFonts w:ascii="Arial" w:cs="Arial" w:eastAsia="Arial" w:hAnsi="Arial"/>
                <w:sz w:val="13"/>
                <w:szCs w:val="13"/>
                <w:color w:val="auto"/>
              </w:rPr>
              <w:t>Serious Injury count slightly better than</w:t>
            </w:r>
          </w:p>
        </w:tc>
        <w:tc>
          <w:tcPr>
            <w:tcW w:w="60" w:type="dxa"/>
            <w:vAlign w:val="bottom"/>
            <w:tcBorders>
              <w:right w:val="single" w:sz="8" w:color="7F7F7F"/>
            </w:tcBorders>
          </w:tcPr>
          <w:p>
            <w:pPr>
              <w:spacing w:after="0"/>
              <w:rPr>
                <w:sz w:val="11"/>
                <w:szCs w:val="11"/>
                <w:color w:val="auto"/>
              </w:rPr>
            </w:pPr>
          </w:p>
        </w:tc>
        <w:tc>
          <w:tcPr>
            <w:tcW w:w="980" w:type="dxa"/>
            <w:vAlign w:val="bottom"/>
            <w:tcBorders>
              <w:right w:val="single" w:sz="8" w:color="7F7F7F"/>
            </w:tcBorders>
          </w:tcPr>
          <w:p>
            <w:pPr>
              <w:spacing w:after="0"/>
              <w:rPr>
                <w:sz w:val="11"/>
                <w:szCs w:val="11"/>
                <w:color w:val="auto"/>
              </w:rPr>
            </w:pPr>
          </w:p>
        </w:tc>
        <w:tc>
          <w:tcPr>
            <w:tcW w:w="1300" w:type="dxa"/>
            <w:vAlign w:val="bottom"/>
            <w:tcBorders>
              <w:right w:val="single" w:sz="8" w:color="7F7F7F"/>
            </w:tcBorders>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Borders>
              <w:right w:val="single" w:sz="8" w:color="7F7F7F"/>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440" w:type="dxa"/>
            <w:vAlign w:val="bottom"/>
            <w:tcBorders>
              <w:left w:val="single" w:sz="8" w:color="7F7F7F"/>
              <w:right w:val="single" w:sz="8" w:color="7F7F7F"/>
            </w:tcBorders>
          </w:tcPr>
          <w:p>
            <w:pPr>
              <w:spacing w:after="0"/>
              <w:rPr>
                <w:sz w:val="5"/>
                <w:szCs w:val="5"/>
                <w:color w:val="auto"/>
              </w:rPr>
            </w:pPr>
          </w:p>
        </w:tc>
        <w:tc>
          <w:tcPr>
            <w:tcW w:w="760" w:type="dxa"/>
            <w:vAlign w:val="bottom"/>
            <w:tcBorders>
              <w:right w:val="single" w:sz="8" w:color="7F7F7F"/>
            </w:tcBorders>
          </w:tcPr>
          <w:p>
            <w:pPr>
              <w:spacing w:after="0"/>
              <w:rPr>
                <w:sz w:val="5"/>
                <w:szCs w:val="5"/>
                <w:color w:val="auto"/>
              </w:rPr>
            </w:pPr>
          </w:p>
        </w:tc>
        <w:tc>
          <w:tcPr>
            <w:tcW w:w="1600" w:type="dxa"/>
            <w:vAlign w:val="bottom"/>
            <w:tcBorders>
              <w:right w:val="single" w:sz="8" w:color="7F7F7F"/>
            </w:tcBorders>
            <w:vMerge w:val="restart"/>
          </w:tcPr>
          <w:p>
            <w:pPr>
              <w:ind w:left="40"/>
              <w:spacing w:after="0" w:line="135" w:lineRule="exact"/>
              <w:rPr>
                <w:sz w:val="20"/>
                <w:szCs w:val="20"/>
                <w:color w:val="auto"/>
              </w:rPr>
            </w:pPr>
            <w:r>
              <w:rPr>
                <w:rFonts w:ascii="Arial" w:cs="Arial" w:eastAsia="Arial" w:hAnsi="Arial"/>
                <w:sz w:val="13"/>
                <w:szCs w:val="13"/>
                <w:color w:val="auto"/>
              </w:rPr>
              <w:t xml:space="preserve">Personal safety </w:t>
            </w:r>
            <w:r>
              <w:rPr>
                <w:rFonts w:ascii="Arial" w:cs="Arial" w:eastAsia="Arial" w:hAnsi="Arial"/>
                <w:sz w:val="10"/>
                <w:szCs w:val="10"/>
                <w:color w:val="auto"/>
              </w:rPr>
              <w:t>(9)</w:t>
            </w:r>
          </w:p>
        </w:tc>
        <w:tc>
          <w:tcPr>
            <w:tcW w:w="1200" w:type="dxa"/>
            <w:vAlign w:val="bottom"/>
            <w:tcBorders>
              <w:right w:val="single" w:sz="8" w:color="7F7F7F"/>
            </w:tcBorders>
            <w:vMerge w:val="restart"/>
          </w:tcPr>
          <w:p>
            <w:pPr>
              <w:jc w:val="center"/>
              <w:spacing w:after="0" w:line="135" w:lineRule="exact"/>
              <w:rPr>
                <w:sz w:val="20"/>
                <w:szCs w:val="20"/>
                <w:color w:val="auto"/>
              </w:rPr>
            </w:pPr>
            <w:r>
              <w:rPr>
                <w:rFonts w:ascii="Arial" w:cs="Arial" w:eastAsia="Arial" w:hAnsi="Arial"/>
                <w:sz w:val="13"/>
                <w:szCs w:val="13"/>
                <w:color w:val="auto"/>
                <w:w w:val="96"/>
              </w:rPr>
              <w:t>prevent</w:t>
            </w:r>
          </w:p>
        </w:tc>
        <w:tc>
          <w:tcPr>
            <w:tcW w:w="2400" w:type="dxa"/>
            <w:vAlign w:val="bottom"/>
            <w:vMerge w:val="continue"/>
          </w:tcPr>
          <w:p>
            <w:pPr>
              <w:spacing w:after="0"/>
              <w:rPr>
                <w:sz w:val="5"/>
                <w:szCs w:val="5"/>
                <w:color w:val="auto"/>
              </w:rPr>
            </w:pPr>
          </w:p>
        </w:tc>
        <w:tc>
          <w:tcPr>
            <w:tcW w:w="60" w:type="dxa"/>
            <w:vAlign w:val="bottom"/>
            <w:tcBorders>
              <w:right w:val="single" w:sz="8" w:color="7F7F7F"/>
            </w:tcBorders>
          </w:tcPr>
          <w:p>
            <w:pPr>
              <w:spacing w:after="0"/>
              <w:rPr>
                <w:sz w:val="5"/>
                <w:szCs w:val="5"/>
                <w:color w:val="auto"/>
              </w:rPr>
            </w:pPr>
          </w:p>
        </w:tc>
        <w:tc>
          <w:tcPr>
            <w:tcW w:w="980" w:type="dxa"/>
            <w:vAlign w:val="bottom"/>
            <w:tcBorders>
              <w:right w:val="single" w:sz="8" w:color="7F7F7F"/>
            </w:tcBorders>
          </w:tcPr>
          <w:p>
            <w:pPr>
              <w:spacing w:after="0"/>
              <w:rPr>
                <w:sz w:val="5"/>
                <w:szCs w:val="5"/>
                <w:color w:val="auto"/>
              </w:rPr>
            </w:pPr>
          </w:p>
        </w:tc>
        <w:tc>
          <w:tcPr>
            <w:tcW w:w="1300" w:type="dxa"/>
            <w:vAlign w:val="bottom"/>
            <w:tcBorders>
              <w:right w:val="single" w:sz="8" w:color="7F7F7F"/>
            </w:tcBorders>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Borders>
              <w:right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440" w:type="dxa"/>
            <w:vAlign w:val="bottom"/>
            <w:tcBorders>
              <w:left w:val="single" w:sz="8" w:color="7F7F7F"/>
              <w:right w:val="single" w:sz="8" w:color="7F7F7F"/>
            </w:tcBorders>
          </w:tcPr>
          <w:p>
            <w:pPr>
              <w:spacing w:after="0"/>
              <w:rPr>
                <w:sz w:val="5"/>
                <w:szCs w:val="5"/>
                <w:color w:val="auto"/>
              </w:rPr>
            </w:pPr>
          </w:p>
        </w:tc>
        <w:tc>
          <w:tcPr>
            <w:tcW w:w="760" w:type="dxa"/>
            <w:vAlign w:val="bottom"/>
            <w:tcBorders>
              <w:right w:val="single" w:sz="8" w:color="7F7F7F"/>
            </w:tcBorders>
          </w:tcPr>
          <w:p>
            <w:pPr>
              <w:spacing w:after="0"/>
              <w:rPr>
                <w:sz w:val="5"/>
                <w:szCs w:val="5"/>
                <w:color w:val="auto"/>
              </w:rPr>
            </w:pPr>
          </w:p>
        </w:tc>
        <w:tc>
          <w:tcPr>
            <w:tcW w:w="1600" w:type="dxa"/>
            <w:vAlign w:val="bottom"/>
            <w:tcBorders>
              <w:right w:val="single" w:sz="8" w:color="7F7F7F"/>
            </w:tcBorders>
            <w:vMerge w:val="continue"/>
          </w:tcPr>
          <w:p>
            <w:pPr>
              <w:spacing w:after="0"/>
              <w:rPr>
                <w:sz w:val="5"/>
                <w:szCs w:val="5"/>
                <w:color w:val="auto"/>
              </w:rPr>
            </w:pPr>
          </w:p>
        </w:tc>
        <w:tc>
          <w:tcPr>
            <w:tcW w:w="1200" w:type="dxa"/>
            <w:vAlign w:val="bottom"/>
            <w:tcBorders>
              <w:right w:val="single" w:sz="8" w:color="7F7F7F"/>
            </w:tcBorders>
            <w:vMerge w:val="continue"/>
          </w:tcPr>
          <w:p>
            <w:pPr>
              <w:spacing w:after="0"/>
              <w:rPr>
                <w:sz w:val="5"/>
                <w:szCs w:val="5"/>
                <w:color w:val="auto"/>
              </w:rPr>
            </w:pPr>
          </w:p>
        </w:tc>
        <w:tc>
          <w:tcPr>
            <w:tcW w:w="2400" w:type="dxa"/>
            <w:vAlign w:val="bottom"/>
            <w:vMerge w:val="restart"/>
          </w:tcPr>
          <w:p>
            <w:pPr>
              <w:ind w:left="40"/>
              <w:spacing w:after="0"/>
              <w:rPr>
                <w:sz w:val="20"/>
                <w:szCs w:val="20"/>
                <w:color w:val="auto"/>
              </w:rPr>
            </w:pPr>
            <w:r>
              <w:rPr>
                <w:rFonts w:ascii="Arial" w:cs="Arial" w:eastAsia="Arial" w:hAnsi="Arial"/>
                <w:sz w:val="13"/>
                <w:szCs w:val="13"/>
                <w:color w:val="auto"/>
              </w:rPr>
              <w:t>Plan. Two fatal injuries.</w:t>
            </w:r>
          </w:p>
        </w:tc>
        <w:tc>
          <w:tcPr>
            <w:tcW w:w="60" w:type="dxa"/>
            <w:vAlign w:val="bottom"/>
            <w:tcBorders>
              <w:right w:val="single" w:sz="8" w:color="7F7F7F"/>
            </w:tcBorders>
          </w:tcPr>
          <w:p>
            <w:pPr>
              <w:spacing w:after="0"/>
              <w:rPr>
                <w:sz w:val="5"/>
                <w:szCs w:val="5"/>
                <w:color w:val="auto"/>
              </w:rPr>
            </w:pPr>
          </w:p>
        </w:tc>
        <w:tc>
          <w:tcPr>
            <w:tcW w:w="980" w:type="dxa"/>
            <w:vAlign w:val="bottom"/>
            <w:tcBorders>
              <w:right w:val="single" w:sz="8" w:color="7F7F7F"/>
            </w:tcBorders>
          </w:tcPr>
          <w:p>
            <w:pPr>
              <w:spacing w:after="0"/>
              <w:rPr>
                <w:sz w:val="5"/>
                <w:szCs w:val="5"/>
                <w:color w:val="auto"/>
              </w:rPr>
            </w:pPr>
          </w:p>
        </w:tc>
        <w:tc>
          <w:tcPr>
            <w:tcW w:w="1300" w:type="dxa"/>
            <w:vAlign w:val="bottom"/>
            <w:tcBorders>
              <w:right w:val="single" w:sz="8" w:color="7F7F7F"/>
            </w:tcBorders>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Borders>
              <w:right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440" w:type="dxa"/>
            <w:vAlign w:val="bottom"/>
            <w:tcBorders>
              <w:left w:val="single" w:sz="8" w:color="7F7F7F"/>
              <w:right w:val="single" w:sz="8" w:color="7F7F7F"/>
            </w:tcBorders>
          </w:tcPr>
          <w:p>
            <w:pPr>
              <w:spacing w:after="0"/>
              <w:rPr>
                <w:sz w:val="8"/>
                <w:szCs w:val="8"/>
                <w:color w:val="auto"/>
              </w:rPr>
            </w:pPr>
          </w:p>
        </w:tc>
        <w:tc>
          <w:tcPr>
            <w:tcW w:w="760" w:type="dxa"/>
            <w:vAlign w:val="bottom"/>
            <w:tcBorders>
              <w:right w:val="single" w:sz="8" w:color="7F7F7F"/>
            </w:tcBorders>
          </w:tcPr>
          <w:p>
            <w:pPr>
              <w:spacing w:after="0"/>
              <w:rPr>
                <w:sz w:val="8"/>
                <w:szCs w:val="8"/>
                <w:color w:val="auto"/>
              </w:rPr>
            </w:pPr>
          </w:p>
        </w:tc>
        <w:tc>
          <w:tcPr>
            <w:tcW w:w="1600" w:type="dxa"/>
            <w:vAlign w:val="bottom"/>
            <w:tcBorders>
              <w:right w:val="single" w:sz="8" w:color="7F7F7F"/>
            </w:tcBorders>
          </w:tcPr>
          <w:p>
            <w:pPr>
              <w:spacing w:after="0"/>
              <w:rPr>
                <w:sz w:val="8"/>
                <w:szCs w:val="8"/>
                <w:color w:val="auto"/>
              </w:rPr>
            </w:pPr>
          </w:p>
        </w:tc>
        <w:tc>
          <w:tcPr>
            <w:tcW w:w="1200" w:type="dxa"/>
            <w:vAlign w:val="bottom"/>
            <w:tcBorders>
              <w:right w:val="single" w:sz="8" w:color="7F7F7F"/>
            </w:tcBorders>
            <w:vMerge w:val="restart"/>
          </w:tcPr>
          <w:p>
            <w:pPr>
              <w:jc w:val="center"/>
              <w:spacing w:after="0" w:line="135" w:lineRule="exact"/>
              <w:rPr>
                <w:sz w:val="20"/>
                <w:szCs w:val="20"/>
                <w:color w:val="auto"/>
              </w:rPr>
            </w:pPr>
            <w:r>
              <w:rPr>
                <w:rFonts w:ascii="Arial" w:cs="Arial" w:eastAsia="Arial" w:hAnsi="Arial"/>
                <w:sz w:val="13"/>
                <w:szCs w:val="13"/>
                <w:color w:val="auto"/>
                <w:w w:val="95"/>
              </w:rPr>
              <w:t>serious</w:t>
            </w:r>
          </w:p>
        </w:tc>
        <w:tc>
          <w:tcPr>
            <w:tcW w:w="2400" w:type="dxa"/>
            <w:vAlign w:val="bottom"/>
            <w:vMerge w:val="continue"/>
          </w:tcPr>
          <w:p>
            <w:pPr>
              <w:spacing w:after="0"/>
              <w:rPr>
                <w:sz w:val="8"/>
                <w:szCs w:val="8"/>
                <w:color w:val="auto"/>
              </w:rPr>
            </w:pPr>
          </w:p>
        </w:tc>
        <w:tc>
          <w:tcPr>
            <w:tcW w:w="60" w:type="dxa"/>
            <w:vAlign w:val="bottom"/>
            <w:tcBorders>
              <w:right w:val="single" w:sz="8" w:color="7F7F7F"/>
            </w:tcBorders>
          </w:tcPr>
          <w:p>
            <w:pPr>
              <w:spacing w:after="0"/>
              <w:rPr>
                <w:sz w:val="8"/>
                <w:szCs w:val="8"/>
                <w:color w:val="auto"/>
              </w:rPr>
            </w:pPr>
          </w:p>
        </w:tc>
        <w:tc>
          <w:tcPr>
            <w:tcW w:w="980" w:type="dxa"/>
            <w:vAlign w:val="bottom"/>
            <w:tcBorders>
              <w:right w:val="single" w:sz="8" w:color="7F7F7F"/>
            </w:tcBorders>
          </w:tcPr>
          <w:p>
            <w:pPr>
              <w:spacing w:after="0"/>
              <w:rPr>
                <w:sz w:val="8"/>
                <w:szCs w:val="8"/>
                <w:color w:val="auto"/>
              </w:rPr>
            </w:pPr>
          </w:p>
        </w:tc>
        <w:tc>
          <w:tcPr>
            <w:tcW w:w="1300" w:type="dxa"/>
            <w:vAlign w:val="bottom"/>
            <w:tcBorders>
              <w:right w:val="single" w:sz="8" w:color="7F7F7F"/>
            </w:tcBorders>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Borders>
              <w:right w:val="single" w:sz="8" w:color="7F7F7F"/>
            </w:tcBorders>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1440" w:type="dxa"/>
            <w:vAlign w:val="bottom"/>
            <w:tcBorders>
              <w:left w:val="single" w:sz="8" w:color="7F7F7F"/>
              <w:right w:val="single" w:sz="8" w:color="7F7F7F"/>
            </w:tcBorders>
          </w:tcPr>
          <w:p>
            <w:pPr>
              <w:spacing w:after="0"/>
              <w:rPr>
                <w:sz w:val="3"/>
                <w:szCs w:val="3"/>
                <w:color w:val="auto"/>
              </w:rPr>
            </w:pPr>
          </w:p>
        </w:tc>
        <w:tc>
          <w:tcPr>
            <w:tcW w:w="760" w:type="dxa"/>
            <w:vAlign w:val="bottom"/>
            <w:tcBorders>
              <w:right w:val="single" w:sz="8" w:color="7F7F7F"/>
            </w:tcBorders>
          </w:tcPr>
          <w:p>
            <w:pPr>
              <w:spacing w:after="0"/>
              <w:rPr>
                <w:sz w:val="3"/>
                <w:szCs w:val="3"/>
                <w:color w:val="auto"/>
              </w:rPr>
            </w:pPr>
          </w:p>
        </w:tc>
        <w:tc>
          <w:tcPr>
            <w:tcW w:w="1600" w:type="dxa"/>
            <w:vAlign w:val="bottom"/>
            <w:tcBorders>
              <w:right w:val="single" w:sz="8" w:color="7F7F7F"/>
            </w:tcBorders>
          </w:tcPr>
          <w:p>
            <w:pPr>
              <w:spacing w:after="0"/>
              <w:rPr>
                <w:sz w:val="3"/>
                <w:szCs w:val="3"/>
                <w:color w:val="auto"/>
              </w:rPr>
            </w:pPr>
          </w:p>
        </w:tc>
        <w:tc>
          <w:tcPr>
            <w:tcW w:w="1200" w:type="dxa"/>
            <w:vAlign w:val="bottom"/>
            <w:tcBorders>
              <w:right w:val="single" w:sz="8" w:color="7F7F7F"/>
            </w:tcBorders>
            <w:vMerge w:val="continue"/>
          </w:tcPr>
          <w:p>
            <w:pPr>
              <w:spacing w:after="0"/>
              <w:rPr>
                <w:sz w:val="3"/>
                <w:szCs w:val="3"/>
                <w:color w:val="auto"/>
              </w:rPr>
            </w:pPr>
          </w:p>
        </w:tc>
        <w:tc>
          <w:tcPr>
            <w:tcW w:w="2400" w:type="dxa"/>
            <w:vAlign w:val="bottom"/>
          </w:tcPr>
          <w:p>
            <w:pPr>
              <w:spacing w:after="0"/>
              <w:rPr>
                <w:sz w:val="3"/>
                <w:szCs w:val="3"/>
                <w:color w:val="auto"/>
              </w:rPr>
            </w:pPr>
          </w:p>
        </w:tc>
        <w:tc>
          <w:tcPr>
            <w:tcW w:w="60" w:type="dxa"/>
            <w:vAlign w:val="bottom"/>
            <w:tcBorders>
              <w:right w:val="single" w:sz="8" w:color="7F7F7F"/>
            </w:tcBorders>
          </w:tcPr>
          <w:p>
            <w:pPr>
              <w:spacing w:after="0"/>
              <w:rPr>
                <w:sz w:val="3"/>
                <w:szCs w:val="3"/>
                <w:color w:val="auto"/>
              </w:rPr>
            </w:pPr>
          </w:p>
        </w:tc>
        <w:tc>
          <w:tcPr>
            <w:tcW w:w="980" w:type="dxa"/>
            <w:vAlign w:val="bottom"/>
            <w:tcBorders>
              <w:right w:val="single" w:sz="8" w:color="7F7F7F"/>
            </w:tcBorders>
          </w:tcPr>
          <w:p>
            <w:pPr>
              <w:spacing w:after="0"/>
              <w:rPr>
                <w:sz w:val="3"/>
                <w:szCs w:val="3"/>
                <w:color w:val="auto"/>
              </w:rPr>
            </w:pPr>
          </w:p>
        </w:tc>
        <w:tc>
          <w:tcPr>
            <w:tcW w:w="1300" w:type="dxa"/>
            <w:vAlign w:val="bottom"/>
            <w:tcBorders>
              <w:right w:val="single" w:sz="8" w:color="7F7F7F"/>
            </w:tcBorders>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Borders>
              <w:right w:val="single" w:sz="8" w:color="7F7F7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440" w:type="dxa"/>
            <w:vAlign w:val="bottom"/>
            <w:tcBorders>
              <w:left w:val="single" w:sz="8" w:color="7F7F7F"/>
              <w:right w:val="single" w:sz="8" w:color="7F7F7F"/>
            </w:tcBorders>
            <w:vMerge w:val="restart"/>
          </w:tcPr>
          <w:p>
            <w:pPr>
              <w:jc w:val="center"/>
              <w:spacing w:after="0"/>
              <w:rPr>
                <w:sz w:val="20"/>
                <w:szCs w:val="20"/>
                <w:color w:val="auto"/>
              </w:rPr>
            </w:pPr>
            <w:r>
              <w:rPr>
                <w:rFonts w:ascii="Arial" w:cs="Arial" w:eastAsia="Arial" w:hAnsi="Arial"/>
                <w:sz w:val="13"/>
                <w:szCs w:val="13"/>
                <w:b w:val="1"/>
                <w:bCs w:val="1"/>
                <w:color w:val="auto"/>
                <w:w w:val="97"/>
              </w:rPr>
              <w:t>Operating &amp; Safety</w:t>
            </w:r>
          </w:p>
        </w:tc>
        <w:tc>
          <w:tcPr>
            <w:tcW w:w="760" w:type="dxa"/>
            <w:vAlign w:val="bottom"/>
            <w:tcBorders>
              <w:right w:val="single" w:sz="8" w:color="7F7F7F"/>
            </w:tcBorders>
            <w:vMerge w:val="restart"/>
          </w:tcPr>
          <w:p>
            <w:pPr>
              <w:jc w:val="right"/>
              <w:ind w:right="177"/>
              <w:spacing w:after="0"/>
              <w:rPr>
                <w:sz w:val="20"/>
                <w:szCs w:val="20"/>
                <w:color w:val="auto"/>
              </w:rPr>
            </w:pPr>
            <w:r>
              <w:rPr>
                <w:rFonts w:ascii="Arial" w:cs="Arial" w:eastAsia="Arial" w:hAnsi="Arial"/>
                <w:sz w:val="13"/>
                <w:szCs w:val="13"/>
                <w:color w:val="auto"/>
              </w:rPr>
              <w:t>25%</w:t>
            </w:r>
          </w:p>
        </w:tc>
        <w:tc>
          <w:tcPr>
            <w:tcW w:w="1600" w:type="dxa"/>
            <w:vAlign w:val="bottom"/>
            <w:tcBorders>
              <w:right w:val="single" w:sz="8" w:color="7F7F7F"/>
            </w:tcBorders>
          </w:tcPr>
          <w:p>
            <w:pPr>
              <w:spacing w:after="0"/>
              <w:rPr>
                <w:sz w:val="14"/>
                <w:szCs w:val="14"/>
                <w:color w:val="auto"/>
              </w:rPr>
            </w:pPr>
          </w:p>
        </w:tc>
        <w:tc>
          <w:tcPr>
            <w:tcW w:w="1200" w:type="dxa"/>
            <w:vAlign w:val="bottom"/>
            <w:tcBorders>
              <w:right w:val="single" w:sz="8" w:color="7F7F7F"/>
            </w:tcBorders>
          </w:tcPr>
          <w:p>
            <w:pPr>
              <w:jc w:val="center"/>
              <w:spacing w:after="0"/>
              <w:rPr>
                <w:sz w:val="20"/>
                <w:szCs w:val="20"/>
                <w:color w:val="auto"/>
              </w:rPr>
            </w:pPr>
            <w:r>
              <w:rPr>
                <w:rFonts w:ascii="Arial" w:cs="Arial" w:eastAsia="Arial" w:hAnsi="Arial"/>
                <w:sz w:val="13"/>
                <w:szCs w:val="13"/>
                <w:color w:val="auto"/>
                <w:w w:val="99"/>
              </w:rPr>
              <w:t xml:space="preserve">injuries </w:t>
            </w:r>
            <w:r>
              <w:rPr>
                <w:rFonts w:ascii="Arial" w:cs="Arial" w:eastAsia="Arial" w:hAnsi="Arial"/>
                <w:sz w:val="10"/>
                <w:szCs w:val="10"/>
                <w:color w:val="auto"/>
                <w:w w:val="99"/>
              </w:rPr>
              <w:t>(10)</w:t>
            </w:r>
          </w:p>
        </w:tc>
        <w:tc>
          <w:tcPr>
            <w:tcW w:w="2400" w:type="dxa"/>
            <w:vAlign w:val="bottom"/>
          </w:tcPr>
          <w:p>
            <w:pPr>
              <w:spacing w:after="0"/>
              <w:rPr>
                <w:sz w:val="14"/>
                <w:szCs w:val="14"/>
                <w:color w:val="auto"/>
              </w:rPr>
            </w:pPr>
          </w:p>
        </w:tc>
        <w:tc>
          <w:tcPr>
            <w:tcW w:w="60" w:type="dxa"/>
            <w:vAlign w:val="bottom"/>
            <w:tcBorders>
              <w:right w:val="single" w:sz="8" w:color="7F7F7F"/>
            </w:tcBorders>
          </w:tcPr>
          <w:p>
            <w:pPr>
              <w:spacing w:after="0"/>
              <w:rPr>
                <w:sz w:val="14"/>
                <w:szCs w:val="14"/>
                <w:color w:val="auto"/>
              </w:rPr>
            </w:pPr>
          </w:p>
        </w:tc>
        <w:tc>
          <w:tcPr>
            <w:tcW w:w="980" w:type="dxa"/>
            <w:vAlign w:val="bottom"/>
            <w:tcBorders>
              <w:right w:val="single" w:sz="8" w:color="7F7F7F"/>
            </w:tcBorders>
          </w:tcPr>
          <w:p>
            <w:pPr>
              <w:spacing w:after="0"/>
              <w:rPr>
                <w:sz w:val="14"/>
                <w:szCs w:val="14"/>
                <w:color w:val="auto"/>
              </w:rPr>
            </w:pPr>
          </w:p>
        </w:tc>
        <w:tc>
          <w:tcPr>
            <w:tcW w:w="1300" w:type="dxa"/>
            <w:vAlign w:val="bottom"/>
            <w:tcBorders>
              <w:right w:val="single" w:sz="8" w:color="7F7F7F"/>
            </w:tcBorders>
            <w:vMerge w:val="restart"/>
          </w:tcPr>
          <w:p>
            <w:pPr>
              <w:jc w:val="right"/>
              <w:ind w:right="277"/>
              <w:spacing w:after="0"/>
              <w:rPr>
                <w:sz w:val="20"/>
                <w:szCs w:val="20"/>
                <w:color w:val="auto"/>
              </w:rPr>
            </w:pPr>
            <w:r>
              <w:rPr>
                <w:rFonts w:ascii="Arial" w:cs="Arial" w:eastAsia="Arial" w:hAnsi="Arial"/>
                <w:sz w:val="13"/>
                <w:szCs w:val="13"/>
                <w:b w:val="1"/>
                <w:bCs w:val="1"/>
                <w:color w:val="auto"/>
              </w:rPr>
              <w:t>0.90 - 1.00</w:t>
            </w:r>
          </w:p>
        </w:tc>
        <w:tc>
          <w:tcPr>
            <w:tcW w:w="1220" w:type="dxa"/>
            <w:vAlign w:val="bottom"/>
            <w:tcBorders>
              <w:right w:val="single" w:sz="8" w:color="7F7F7F"/>
            </w:tcBorders>
            <w:gridSpan w:val="2"/>
            <w:vMerge w:val="restart"/>
          </w:tcPr>
          <w:p>
            <w:pPr>
              <w:ind w:left="320"/>
              <w:spacing w:after="0"/>
              <w:rPr>
                <w:sz w:val="20"/>
                <w:szCs w:val="20"/>
                <w:color w:val="auto"/>
              </w:rPr>
            </w:pPr>
            <w:r>
              <w:rPr>
                <w:rFonts w:ascii="Arial" w:cs="Arial" w:eastAsia="Arial" w:hAnsi="Arial"/>
                <w:sz w:val="13"/>
                <w:szCs w:val="13"/>
                <w:b w:val="1"/>
                <w:bCs w:val="1"/>
                <w:color w:val="auto"/>
              </w:rPr>
              <w:t>0.23 - 0.25</w:t>
            </w:r>
          </w:p>
        </w:tc>
        <w:tc>
          <w:tcPr>
            <w:tcW w:w="0" w:type="dxa"/>
            <w:vAlign w:val="bottom"/>
          </w:tcPr>
          <w:p>
            <w:pPr>
              <w:spacing w:after="0"/>
              <w:rPr>
                <w:sz w:val="1"/>
                <w:szCs w:val="1"/>
                <w:color w:val="auto"/>
              </w:rPr>
            </w:pPr>
          </w:p>
        </w:tc>
      </w:tr>
      <w:tr>
        <w:trPr>
          <w:trHeight w:val="23"/>
        </w:trPr>
        <w:tc>
          <w:tcPr>
            <w:tcW w:w="1440" w:type="dxa"/>
            <w:vAlign w:val="bottom"/>
            <w:tcBorders>
              <w:left w:val="single" w:sz="8" w:color="7F7F7F"/>
              <w:right w:val="single" w:sz="8" w:color="7F7F7F"/>
            </w:tcBorders>
            <w:vMerge w:val="continue"/>
          </w:tcPr>
          <w:p>
            <w:pPr>
              <w:spacing w:after="0"/>
              <w:rPr>
                <w:sz w:val="2"/>
                <w:szCs w:val="2"/>
                <w:color w:val="auto"/>
              </w:rPr>
            </w:pPr>
          </w:p>
        </w:tc>
        <w:tc>
          <w:tcPr>
            <w:tcW w:w="760" w:type="dxa"/>
            <w:vAlign w:val="bottom"/>
            <w:tcBorders>
              <w:right w:val="single" w:sz="8" w:color="7F7F7F"/>
            </w:tcBorders>
            <w:vMerge w:val="continue"/>
          </w:tcPr>
          <w:p>
            <w:pPr>
              <w:spacing w:after="0"/>
              <w:rPr>
                <w:sz w:val="2"/>
                <w:szCs w:val="2"/>
                <w:color w:val="auto"/>
              </w:rPr>
            </w:pPr>
          </w:p>
        </w:tc>
        <w:tc>
          <w:tcPr>
            <w:tcW w:w="1600" w:type="dxa"/>
            <w:vAlign w:val="bottom"/>
            <w:tcBorders>
              <w:right w:val="single" w:sz="8" w:color="7F7F7F"/>
            </w:tcBorders>
          </w:tcPr>
          <w:p>
            <w:pPr>
              <w:spacing w:after="0"/>
              <w:rPr>
                <w:sz w:val="2"/>
                <w:szCs w:val="2"/>
                <w:color w:val="auto"/>
              </w:rPr>
            </w:pPr>
          </w:p>
        </w:tc>
        <w:tc>
          <w:tcPr>
            <w:tcW w:w="1200" w:type="dxa"/>
            <w:vAlign w:val="bottom"/>
            <w:tcBorders>
              <w:right w:val="single" w:sz="8" w:color="7F7F7F"/>
            </w:tcBorders>
          </w:tcPr>
          <w:p>
            <w:pPr>
              <w:spacing w:after="0"/>
              <w:rPr>
                <w:sz w:val="2"/>
                <w:szCs w:val="2"/>
                <w:color w:val="auto"/>
              </w:rPr>
            </w:pPr>
          </w:p>
        </w:tc>
        <w:tc>
          <w:tcPr>
            <w:tcW w:w="2400" w:type="dxa"/>
            <w:vAlign w:val="bottom"/>
          </w:tcPr>
          <w:p>
            <w:pPr>
              <w:spacing w:after="0"/>
              <w:rPr>
                <w:sz w:val="2"/>
                <w:szCs w:val="2"/>
                <w:color w:val="auto"/>
              </w:rPr>
            </w:pPr>
          </w:p>
        </w:tc>
        <w:tc>
          <w:tcPr>
            <w:tcW w:w="60" w:type="dxa"/>
            <w:vAlign w:val="bottom"/>
            <w:tcBorders>
              <w:right w:val="single" w:sz="8" w:color="7F7F7F"/>
            </w:tcBorders>
          </w:tcPr>
          <w:p>
            <w:pPr>
              <w:spacing w:after="0"/>
              <w:rPr>
                <w:sz w:val="2"/>
                <w:szCs w:val="2"/>
                <w:color w:val="auto"/>
              </w:rPr>
            </w:pPr>
          </w:p>
        </w:tc>
        <w:tc>
          <w:tcPr>
            <w:tcW w:w="980" w:type="dxa"/>
            <w:vAlign w:val="bottom"/>
            <w:tcBorders>
              <w:right w:val="single" w:sz="8" w:color="7F7F7F"/>
            </w:tcBorders>
          </w:tcPr>
          <w:p>
            <w:pPr>
              <w:spacing w:after="0"/>
              <w:rPr>
                <w:sz w:val="2"/>
                <w:szCs w:val="2"/>
                <w:color w:val="auto"/>
              </w:rPr>
            </w:pPr>
          </w:p>
        </w:tc>
        <w:tc>
          <w:tcPr>
            <w:tcW w:w="1300" w:type="dxa"/>
            <w:vAlign w:val="bottom"/>
            <w:tcBorders>
              <w:right w:val="single" w:sz="8" w:color="7F7F7F"/>
            </w:tcBorders>
            <w:vMerge w:val="continue"/>
          </w:tcPr>
          <w:p>
            <w:pPr>
              <w:spacing w:after="0"/>
              <w:rPr>
                <w:sz w:val="2"/>
                <w:szCs w:val="2"/>
                <w:color w:val="auto"/>
              </w:rPr>
            </w:pPr>
          </w:p>
        </w:tc>
        <w:tc>
          <w:tcPr>
            <w:tcW w:w="1220" w:type="dxa"/>
            <w:vAlign w:val="bottom"/>
            <w:tcBorders>
              <w:right w:val="single" w:sz="8" w:color="7F7F7F"/>
            </w:tcBorders>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
        </w:trPr>
        <w:tc>
          <w:tcPr>
            <w:tcW w:w="1440" w:type="dxa"/>
            <w:vAlign w:val="bottom"/>
            <w:tcBorders>
              <w:left w:val="single" w:sz="8" w:color="7F7F7F"/>
              <w:right w:val="single" w:sz="8" w:color="7F7F7F"/>
            </w:tcBorders>
            <w:vMerge w:val="restart"/>
          </w:tcPr>
          <w:p>
            <w:pPr>
              <w:jc w:val="center"/>
              <w:ind w:left="57"/>
              <w:spacing w:after="0"/>
              <w:rPr>
                <w:sz w:val="20"/>
                <w:szCs w:val="20"/>
                <w:color w:val="auto"/>
              </w:rPr>
            </w:pPr>
            <w:r>
              <w:rPr>
                <w:rFonts w:ascii="Arial" w:cs="Arial" w:eastAsia="Arial" w:hAnsi="Arial"/>
                <w:sz w:val="13"/>
                <w:szCs w:val="13"/>
                <w:b w:val="1"/>
                <w:bCs w:val="1"/>
                <w:color w:val="auto"/>
                <w:w w:val="95"/>
              </w:rPr>
              <w:t>Performance</w:t>
            </w:r>
          </w:p>
        </w:tc>
        <w:tc>
          <w:tcPr>
            <w:tcW w:w="760" w:type="dxa"/>
            <w:vAlign w:val="bottom"/>
            <w:tcBorders>
              <w:right w:val="single" w:sz="8" w:color="7F7F7F"/>
            </w:tcBorders>
            <w:vMerge w:val="continue"/>
          </w:tcPr>
          <w:p>
            <w:pPr>
              <w:spacing w:after="0"/>
              <w:rPr>
                <w:sz w:val="2"/>
                <w:szCs w:val="2"/>
                <w:color w:val="auto"/>
              </w:rPr>
            </w:pPr>
          </w:p>
        </w:tc>
        <w:tc>
          <w:tcPr>
            <w:tcW w:w="1600" w:type="dxa"/>
            <w:vAlign w:val="bottom"/>
            <w:tcBorders>
              <w:bottom w:val="single" w:sz="8" w:color="7F7F7F"/>
              <w:right w:val="single" w:sz="8" w:color="7F7F7F"/>
            </w:tcBorders>
          </w:tcPr>
          <w:p>
            <w:pPr>
              <w:spacing w:after="0"/>
              <w:rPr>
                <w:sz w:val="2"/>
                <w:szCs w:val="2"/>
                <w:color w:val="auto"/>
              </w:rPr>
            </w:pPr>
          </w:p>
        </w:tc>
        <w:tc>
          <w:tcPr>
            <w:tcW w:w="1200" w:type="dxa"/>
            <w:vAlign w:val="bottom"/>
            <w:tcBorders>
              <w:bottom w:val="single" w:sz="8" w:color="7F7F7F"/>
              <w:right w:val="single" w:sz="8" w:color="7F7F7F"/>
            </w:tcBorders>
          </w:tcPr>
          <w:p>
            <w:pPr>
              <w:spacing w:after="0"/>
              <w:rPr>
                <w:sz w:val="2"/>
                <w:szCs w:val="2"/>
                <w:color w:val="auto"/>
              </w:rPr>
            </w:pPr>
          </w:p>
        </w:tc>
        <w:tc>
          <w:tcPr>
            <w:tcW w:w="2400" w:type="dxa"/>
            <w:vAlign w:val="bottom"/>
            <w:tcBorders>
              <w:bottom w:val="single" w:sz="8" w:color="7F7F7F"/>
            </w:tcBorders>
          </w:tcPr>
          <w:p>
            <w:pPr>
              <w:spacing w:after="0"/>
              <w:rPr>
                <w:sz w:val="2"/>
                <w:szCs w:val="2"/>
                <w:color w:val="auto"/>
              </w:rPr>
            </w:pPr>
          </w:p>
        </w:tc>
        <w:tc>
          <w:tcPr>
            <w:tcW w:w="60" w:type="dxa"/>
            <w:vAlign w:val="bottom"/>
            <w:tcBorders>
              <w:bottom w:val="single" w:sz="8" w:color="7F7F7F"/>
              <w:right w:val="single" w:sz="8" w:color="7F7F7F"/>
            </w:tcBorders>
          </w:tcPr>
          <w:p>
            <w:pPr>
              <w:spacing w:after="0"/>
              <w:rPr>
                <w:sz w:val="2"/>
                <w:szCs w:val="2"/>
                <w:color w:val="auto"/>
              </w:rPr>
            </w:pPr>
          </w:p>
        </w:tc>
        <w:tc>
          <w:tcPr>
            <w:tcW w:w="980" w:type="dxa"/>
            <w:vAlign w:val="bottom"/>
            <w:tcBorders>
              <w:bottom w:val="single" w:sz="8" w:color="7F7F7F"/>
              <w:right w:val="single" w:sz="8" w:color="7F7F7F"/>
            </w:tcBorders>
          </w:tcPr>
          <w:p>
            <w:pPr>
              <w:spacing w:after="0"/>
              <w:rPr>
                <w:sz w:val="2"/>
                <w:szCs w:val="2"/>
                <w:color w:val="auto"/>
              </w:rPr>
            </w:pPr>
          </w:p>
        </w:tc>
        <w:tc>
          <w:tcPr>
            <w:tcW w:w="1300" w:type="dxa"/>
            <w:vAlign w:val="bottom"/>
            <w:tcBorders>
              <w:right w:val="single" w:sz="8" w:color="7F7F7F"/>
            </w:tcBorders>
            <w:vMerge w:val="continue"/>
          </w:tcPr>
          <w:p>
            <w:pPr>
              <w:spacing w:after="0"/>
              <w:rPr>
                <w:sz w:val="2"/>
                <w:szCs w:val="2"/>
                <w:color w:val="auto"/>
              </w:rPr>
            </w:pPr>
          </w:p>
        </w:tc>
        <w:tc>
          <w:tcPr>
            <w:tcW w:w="1220" w:type="dxa"/>
            <w:vAlign w:val="bottom"/>
            <w:tcBorders>
              <w:right w:val="single" w:sz="8" w:color="7F7F7F"/>
            </w:tcBorders>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1440" w:type="dxa"/>
            <w:vAlign w:val="bottom"/>
            <w:tcBorders>
              <w:left w:val="single" w:sz="8" w:color="7F7F7F"/>
              <w:right w:val="single" w:sz="8" w:color="7F7F7F"/>
            </w:tcBorders>
            <w:vMerge w:val="continue"/>
          </w:tcPr>
          <w:p>
            <w:pPr>
              <w:spacing w:after="0"/>
              <w:rPr>
                <w:sz w:val="5"/>
                <w:szCs w:val="5"/>
                <w:color w:val="auto"/>
              </w:rPr>
            </w:pPr>
          </w:p>
        </w:tc>
        <w:tc>
          <w:tcPr>
            <w:tcW w:w="760" w:type="dxa"/>
            <w:vAlign w:val="bottom"/>
            <w:tcBorders>
              <w:right w:val="single" w:sz="8" w:color="7F7F7F"/>
            </w:tcBorders>
            <w:vMerge w:val="continue"/>
          </w:tcPr>
          <w:p>
            <w:pPr>
              <w:spacing w:after="0"/>
              <w:rPr>
                <w:sz w:val="5"/>
                <w:szCs w:val="5"/>
                <w:color w:val="auto"/>
              </w:rPr>
            </w:pPr>
          </w:p>
        </w:tc>
        <w:tc>
          <w:tcPr>
            <w:tcW w:w="1600" w:type="dxa"/>
            <w:vAlign w:val="bottom"/>
            <w:tcBorders>
              <w:right w:val="single" w:sz="8" w:color="7F7F7F"/>
            </w:tcBorders>
          </w:tcPr>
          <w:p>
            <w:pPr>
              <w:spacing w:after="0"/>
              <w:rPr>
                <w:sz w:val="5"/>
                <w:szCs w:val="5"/>
                <w:color w:val="auto"/>
              </w:rPr>
            </w:pPr>
          </w:p>
        </w:tc>
        <w:tc>
          <w:tcPr>
            <w:tcW w:w="1200" w:type="dxa"/>
            <w:vAlign w:val="bottom"/>
            <w:tcBorders>
              <w:right w:val="single" w:sz="8" w:color="7F7F7F"/>
            </w:tcBorders>
            <w:vMerge w:val="restart"/>
          </w:tcPr>
          <w:p>
            <w:pPr>
              <w:jc w:val="center"/>
              <w:spacing w:after="0" w:line="111" w:lineRule="exact"/>
              <w:rPr>
                <w:sz w:val="20"/>
                <w:szCs w:val="20"/>
                <w:color w:val="auto"/>
              </w:rPr>
            </w:pPr>
            <w:r>
              <w:rPr>
                <w:rFonts w:ascii="Arial" w:cs="Arial" w:eastAsia="Arial" w:hAnsi="Arial"/>
                <w:sz w:val="12"/>
                <w:szCs w:val="12"/>
                <w:color w:val="auto"/>
              </w:rPr>
              <w:t>Zero severe</w:t>
            </w:r>
          </w:p>
        </w:tc>
        <w:tc>
          <w:tcPr>
            <w:tcW w:w="2400" w:type="dxa"/>
            <w:vAlign w:val="bottom"/>
          </w:tcPr>
          <w:p>
            <w:pPr>
              <w:spacing w:after="0"/>
              <w:rPr>
                <w:sz w:val="5"/>
                <w:szCs w:val="5"/>
                <w:color w:val="auto"/>
              </w:rPr>
            </w:pPr>
          </w:p>
        </w:tc>
        <w:tc>
          <w:tcPr>
            <w:tcW w:w="60" w:type="dxa"/>
            <w:vAlign w:val="bottom"/>
            <w:tcBorders>
              <w:right w:val="single" w:sz="8" w:color="7F7F7F"/>
            </w:tcBorders>
          </w:tcPr>
          <w:p>
            <w:pPr>
              <w:spacing w:after="0"/>
              <w:rPr>
                <w:sz w:val="5"/>
                <w:szCs w:val="5"/>
                <w:color w:val="auto"/>
              </w:rPr>
            </w:pPr>
          </w:p>
        </w:tc>
        <w:tc>
          <w:tcPr>
            <w:tcW w:w="980" w:type="dxa"/>
            <w:vAlign w:val="bottom"/>
            <w:tcBorders>
              <w:right w:val="single" w:sz="8" w:color="7F7F7F"/>
            </w:tcBorders>
          </w:tcPr>
          <w:p>
            <w:pPr>
              <w:spacing w:after="0"/>
              <w:rPr>
                <w:sz w:val="5"/>
                <w:szCs w:val="5"/>
                <w:color w:val="auto"/>
              </w:rPr>
            </w:pPr>
          </w:p>
        </w:tc>
        <w:tc>
          <w:tcPr>
            <w:tcW w:w="1300" w:type="dxa"/>
            <w:vAlign w:val="bottom"/>
            <w:tcBorders>
              <w:right w:val="single" w:sz="8" w:color="7F7F7F"/>
            </w:tcBorders>
            <w:vMerge w:val="continue"/>
          </w:tcPr>
          <w:p>
            <w:pPr>
              <w:spacing w:after="0"/>
              <w:rPr>
                <w:sz w:val="5"/>
                <w:szCs w:val="5"/>
                <w:color w:val="auto"/>
              </w:rPr>
            </w:pPr>
          </w:p>
        </w:tc>
        <w:tc>
          <w:tcPr>
            <w:tcW w:w="1220" w:type="dxa"/>
            <w:vAlign w:val="bottom"/>
            <w:tcBorders>
              <w:right w:val="single" w:sz="8" w:color="7F7F7F"/>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1440" w:type="dxa"/>
            <w:vAlign w:val="bottom"/>
            <w:tcBorders>
              <w:left w:val="single" w:sz="8" w:color="7F7F7F"/>
              <w:right w:val="single" w:sz="8" w:color="7F7F7F"/>
            </w:tcBorders>
            <w:vMerge w:val="continue"/>
          </w:tcPr>
          <w:p>
            <w:pPr>
              <w:spacing w:after="0"/>
              <w:rPr>
                <w:sz w:val="3"/>
                <w:szCs w:val="3"/>
                <w:color w:val="auto"/>
              </w:rPr>
            </w:pPr>
          </w:p>
        </w:tc>
        <w:tc>
          <w:tcPr>
            <w:tcW w:w="760" w:type="dxa"/>
            <w:vAlign w:val="bottom"/>
            <w:tcBorders>
              <w:right w:val="single" w:sz="8" w:color="7F7F7F"/>
            </w:tcBorders>
          </w:tcPr>
          <w:p>
            <w:pPr>
              <w:spacing w:after="0"/>
              <w:rPr>
                <w:sz w:val="3"/>
                <w:szCs w:val="3"/>
                <w:color w:val="auto"/>
              </w:rPr>
            </w:pPr>
          </w:p>
        </w:tc>
        <w:tc>
          <w:tcPr>
            <w:tcW w:w="1600" w:type="dxa"/>
            <w:vAlign w:val="bottom"/>
            <w:tcBorders>
              <w:right w:val="single" w:sz="8" w:color="7F7F7F"/>
            </w:tcBorders>
          </w:tcPr>
          <w:p>
            <w:pPr>
              <w:spacing w:after="0"/>
              <w:rPr>
                <w:sz w:val="3"/>
                <w:szCs w:val="3"/>
                <w:color w:val="auto"/>
              </w:rPr>
            </w:pPr>
          </w:p>
        </w:tc>
        <w:tc>
          <w:tcPr>
            <w:tcW w:w="1200" w:type="dxa"/>
            <w:vAlign w:val="bottom"/>
            <w:tcBorders>
              <w:right w:val="single" w:sz="8" w:color="7F7F7F"/>
            </w:tcBorders>
            <w:vMerge w:val="continue"/>
          </w:tcPr>
          <w:p>
            <w:pPr>
              <w:spacing w:after="0"/>
              <w:rPr>
                <w:sz w:val="3"/>
                <w:szCs w:val="3"/>
                <w:color w:val="auto"/>
              </w:rPr>
            </w:pPr>
          </w:p>
        </w:tc>
        <w:tc>
          <w:tcPr>
            <w:tcW w:w="2400" w:type="dxa"/>
            <w:vAlign w:val="bottom"/>
          </w:tcPr>
          <w:p>
            <w:pPr>
              <w:spacing w:after="0"/>
              <w:rPr>
                <w:sz w:val="3"/>
                <w:szCs w:val="3"/>
                <w:color w:val="auto"/>
              </w:rPr>
            </w:pPr>
          </w:p>
        </w:tc>
        <w:tc>
          <w:tcPr>
            <w:tcW w:w="60" w:type="dxa"/>
            <w:vAlign w:val="bottom"/>
            <w:tcBorders>
              <w:right w:val="single" w:sz="8" w:color="7F7F7F"/>
            </w:tcBorders>
          </w:tcPr>
          <w:p>
            <w:pPr>
              <w:spacing w:after="0"/>
              <w:rPr>
                <w:sz w:val="3"/>
                <w:szCs w:val="3"/>
                <w:color w:val="auto"/>
              </w:rPr>
            </w:pPr>
          </w:p>
        </w:tc>
        <w:tc>
          <w:tcPr>
            <w:tcW w:w="980" w:type="dxa"/>
            <w:vAlign w:val="bottom"/>
            <w:tcBorders>
              <w:right w:val="single" w:sz="8" w:color="7F7F7F"/>
            </w:tcBorders>
          </w:tcPr>
          <w:p>
            <w:pPr>
              <w:spacing w:after="0"/>
              <w:rPr>
                <w:sz w:val="3"/>
                <w:szCs w:val="3"/>
                <w:color w:val="auto"/>
              </w:rPr>
            </w:pPr>
          </w:p>
        </w:tc>
        <w:tc>
          <w:tcPr>
            <w:tcW w:w="1300" w:type="dxa"/>
            <w:vAlign w:val="bottom"/>
            <w:tcBorders>
              <w:right w:val="single" w:sz="8" w:color="7F7F7F"/>
            </w:tcBorders>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Borders>
              <w:right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440" w:type="dxa"/>
            <w:vAlign w:val="bottom"/>
            <w:tcBorders>
              <w:left w:val="single" w:sz="8" w:color="7F7F7F"/>
              <w:right w:val="single" w:sz="8" w:color="7F7F7F"/>
            </w:tcBorders>
          </w:tcPr>
          <w:p>
            <w:pPr>
              <w:spacing w:after="0"/>
              <w:rPr>
                <w:sz w:val="11"/>
                <w:szCs w:val="11"/>
                <w:color w:val="auto"/>
              </w:rPr>
            </w:pPr>
          </w:p>
        </w:tc>
        <w:tc>
          <w:tcPr>
            <w:tcW w:w="760" w:type="dxa"/>
            <w:vAlign w:val="bottom"/>
            <w:tcBorders>
              <w:right w:val="single" w:sz="8" w:color="7F7F7F"/>
            </w:tcBorders>
          </w:tcPr>
          <w:p>
            <w:pPr>
              <w:spacing w:after="0"/>
              <w:rPr>
                <w:sz w:val="11"/>
                <w:szCs w:val="11"/>
                <w:color w:val="auto"/>
              </w:rPr>
            </w:pPr>
          </w:p>
        </w:tc>
        <w:tc>
          <w:tcPr>
            <w:tcW w:w="1600" w:type="dxa"/>
            <w:vAlign w:val="bottom"/>
            <w:tcBorders>
              <w:right w:val="single" w:sz="8" w:color="7F7F7F"/>
            </w:tcBorders>
          </w:tcPr>
          <w:p>
            <w:pPr>
              <w:spacing w:after="0"/>
              <w:rPr>
                <w:sz w:val="11"/>
                <w:szCs w:val="11"/>
                <w:color w:val="auto"/>
              </w:rPr>
            </w:pPr>
          </w:p>
        </w:tc>
        <w:tc>
          <w:tcPr>
            <w:tcW w:w="1200" w:type="dxa"/>
            <w:vAlign w:val="bottom"/>
            <w:tcBorders>
              <w:right w:val="single" w:sz="8" w:color="7F7F7F"/>
            </w:tcBorders>
          </w:tcPr>
          <w:p>
            <w:pPr>
              <w:jc w:val="center"/>
              <w:spacing w:after="0" w:line="135" w:lineRule="exact"/>
              <w:rPr>
                <w:sz w:val="20"/>
                <w:szCs w:val="20"/>
                <w:color w:val="auto"/>
              </w:rPr>
            </w:pPr>
            <w:r>
              <w:rPr>
                <w:rFonts w:ascii="Arial" w:cs="Arial" w:eastAsia="Arial" w:hAnsi="Arial"/>
                <w:sz w:val="13"/>
                <w:szCs w:val="13"/>
                <w:color w:val="auto"/>
                <w:w w:val="96"/>
              </w:rPr>
              <w:t>tier 1 loss of</w:t>
            </w:r>
          </w:p>
        </w:tc>
        <w:tc>
          <w:tcPr>
            <w:tcW w:w="2400" w:type="dxa"/>
            <w:vAlign w:val="bottom"/>
            <w:vMerge w:val="restart"/>
          </w:tcPr>
          <w:p>
            <w:pPr>
              <w:ind w:left="40"/>
              <w:spacing w:after="0"/>
              <w:rPr>
                <w:sz w:val="20"/>
                <w:szCs w:val="20"/>
                <w:color w:val="auto"/>
              </w:rPr>
            </w:pPr>
            <w:r>
              <w:rPr>
                <w:rFonts w:ascii="Arial" w:cs="Arial" w:eastAsia="Arial" w:hAnsi="Arial"/>
                <w:sz w:val="13"/>
                <w:szCs w:val="13"/>
                <w:color w:val="auto"/>
              </w:rPr>
              <w:t>One Severe Tier 1 event</w:t>
            </w:r>
          </w:p>
        </w:tc>
        <w:tc>
          <w:tcPr>
            <w:tcW w:w="60" w:type="dxa"/>
            <w:vAlign w:val="bottom"/>
            <w:tcBorders>
              <w:right w:val="single" w:sz="8" w:color="7F7F7F"/>
            </w:tcBorders>
          </w:tcPr>
          <w:p>
            <w:pPr>
              <w:spacing w:after="0"/>
              <w:rPr>
                <w:sz w:val="11"/>
                <w:szCs w:val="11"/>
                <w:color w:val="auto"/>
              </w:rPr>
            </w:pPr>
          </w:p>
        </w:tc>
        <w:tc>
          <w:tcPr>
            <w:tcW w:w="980" w:type="dxa"/>
            <w:vAlign w:val="bottom"/>
            <w:tcBorders>
              <w:right w:val="single" w:sz="8" w:color="7F7F7F"/>
            </w:tcBorders>
          </w:tcPr>
          <w:p>
            <w:pPr>
              <w:spacing w:after="0"/>
              <w:rPr>
                <w:sz w:val="11"/>
                <w:szCs w:val="11"/>
                <w:color w:val="auto"/>
              </w:rPr>
            </w:pPr>
          </w:p>
        </w:tc>
        <w:tc>
          <w:tcPr>
            <w:tcW w:w="1300" w:type="dxa"/>
            <w:vAlign w:val="bottom"/>
            <w:tcBorders>
              <w:right w:val="single" w:sz="8" w:color="7F7F7F"/>
            </w:tcBorders>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Borders>
              <w:right w:val="single" w:sz="8" w:color="7F7F7F"/>
            </w:tcBorders>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440" w:type="dxa"/>
            <w:vAlign w:val="bottom"/>
            <w:tcBorders>
              <w:left w:val="single" w:sz="8" w:color="7F7F7F"/>
              <w:right w:val="single" w:sz="8" w:color="7F7F7F"/>
            </w:tcBorders>
          </w:tcPr>
          <w:p>
            <w:pPr>
              <w:spacing w:after="0"/>
              <w:rPr>
                <w:sz w:val="8"/>
                <w:szCs w:val="8"/>
                <w:color w:val="auto"/>
              </w:rPr>
            </w:pPr>
          </w:p>
        </w:tc>
        <w:tc>
          <w:tcPr>
            <w:tcW w:w="760" w:type="dxa"/>
            <w:vAlign w:val="bottom"/>
            <w:tcBorders>
              <w:right w:val="single" w:sz="8" w:color="7F7F7F"/>
            </w:tcBorders>
          </w:tcPr>
          <w:p>
            <w:pPr>
              <w:spacing w:after="0"/>
              <w:rPr>
                <w:sz w:val="8"/>
                <w:szCs w:val="8"/>
                <w:color w:val="auto"/>
              </w:rPr>
            </w:pPr>
          </w:p>
        </w:tc>
        <w:tc>
          <w:tcPr>
            <w:tcW w:w="1600" w:type="dxa"/>
            <w:vAlign w:val="bottom"/>
            <w:tcBorders>
              <w:right w:val="single" w:sz="8" w:color="7F7F7F"/>
            </w:tcBorders>
          </w:tcPr>
          <w:p>
            <w:pPr>
              <w:spacing w:after="0"/>
              <w:rPr>
                <w:sz w:val="8"/>
                <w:szCs w:val="8"/>
                <w:color w:val="auto"/>
              </w:rPr>
            </w:pPr>
          </w:p>
        </w:tc>
        <w:tc>
          <w:tcPr>
            <w:tcW w:w="1200" w:type="dxa"/>
            <w:vAlign w:val="bottom"/>
            <w:tcBorders>
              <w:right w:val="single" w:sz="8" w:color="7F7F7F"/>
            </w:tcBorders>
            <w:vMerge w:val="restart"/>
          </w:tcPr>
          <w:p>
            <w:pPr>
              <w:jc w:val="center"/>
              <w:spacing w:after="0" w:line="135" w:lineRule="exact"/>
              <w:rPr>
                <w:sz w:val="20"/>
                <w:szCs w:val="20"/>
                <w:color w:val="auto"/>
              </w:rPr>
            </w:pPr>
            <w:r>
              <w:rPr>
                <w:rFonts w:ascii="Arial" w:cs="Arial" w:eastAsia="Arial" w:hAnsi="Arial"/>
                <w:sz w:val="13"/>
                <w:szCs w:val="13"/>
                <w:color w:val="auto"/>
                <w:w w:val="95"/>
              </w:rPr>
              <w:t>containment</w:t>
            </w:r>
          </w:p>
        </w:tc>
        <w:tc>
          <w:tcPr>
            <w:tcW w:w="2400" w:type="dxa"/>
            <w:vAlign w:val="bottom"/>
            <w:vMerge w:val="continue"/>
          </w:tcPr>
          <w:p>
            <w:pPr>
              <w:spacing w:after="0"/>
              <w:rPr>
                <w:sz w:val="8"/>
                <w:szCs w:val="8"/>
                <w:color w:val="auto"/>
              </w:rPr>
            </w:pPr>
          </w:p>
        </w:tc>
        <w:tc>
          <w:tcPr>
            <w:tcW w:w="60" w:type="dxa"/>
            <w:vAlign w:val="bottom"/>
            <w:tcBorders>
              <w:right w:val="single" w:sz="8" w:color="7F7F7F"/>
            </w:tcBorders>
          </w:tcPr>
          <w:p>
            <w:pPr>
              <w:spacing w:after="0"/>
              <w:rPr>
                <w:sz w:val="8"/>
                <w:szCs w:val="8"/>
                <w:color w:val="auto"/>
              </w:rPr>
            </w:pPr>
          </w:p>
        </w:tc>
        <w:tc>
          <w:tcPr>
            <w:tcW w:w="980" w:type="dxa"/>
            <w:vAlign w:val="bottom"/>
            <w:tcBorders>
              <w:right w:val="single" w:sz="8" w:color="7F7F7F"/>
            </w:tcBorders>
          </w:tcPr>
          <w:p>
            <w:pPr>
              <w:spacing w:after="0"/>
              <w:rPr>
                <w:sz w:val="8"/>
                <w:szCs w:val="8"/>
                <w:color w:val="auto"/>
              </w:rPr>
            </w:pPr>
          </w:p>
        </w:tc>
        <w:tc>
          <w:tcPr>
            <w:tcW w:w="1300" w:type="dxa"/>
            <w:vAlign w:val="bottom"/>
            <w:tcBorders>
              <w:right w:val="single" w:sz="8" w:color="7F7F7F"/>
            </w:tcBorders>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Borders>
              <w:right w:val="single" w:sz="8" w:color="7F7F7F"/>
            </w:tcBorders>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1440" w:type="dxa"/>
            <w:vAlign w:val="bottom"/>
            <w:tcBorders>
              <w:left w:val="single" w:sz="8" w:color="7F7F7F"/>
              <w:right w:val="single" w:sz="8" w:color="7F7F7F"/>
            </w:tcBorders>
          </w:tcPr>
          <w:p>
            <w:pPr>
              <w:spacing w:after="0"/>
              <w:rPr>
                <w:sz w:val="3"/>
                <w:szCs w:val="3"/>
                <w:color w:val="auto"/>
              </w:rPr>
            </w:pPr>
          </w:p>
        </w:tc>
        <w:tc>
          <w:tcPr>
            <w:tcW w:w="760" w:type="dxa"/>
            <w:vAlign w:val="bottom"/>
            <w:tcBorders>
              <w:right w:val="single" w:sz="8" w:color="7F7F7F"/>
            </w:tcBorders>
          </w:tcPr>
          <w:p>
            <w:pPr>
              <w:spacing w:after="0"/>
              <w:rPr>
                <w:sz w:val="3"/>
                <w:szCs w:val="3"/>
                <w:color w:val="auto"/>
              </w:rPr>
            </w:pPr>
          </w:p>
        </w:tc>
        <w:tc>
          <w:tcPr>
            <w:tcW w:w="1600" w:type="dxa"/>
            <w:vAlign w:val="bottom"/>
            <w:tcBorders>
              <w:right w:val="single" w:sz="8" w:color="7F7F7F"/>
            </w:tcBorders>
          </w:tcPr>
          <w:p>
            <w:pPr>
              <w:spacing w:after="0"/>
              <w:rPr>
                <w:sz w:val="3"/>
                <w:szCs w:val="3"/>
                <w:color w:val="auto"/>
              </w:rPr>
            </w:pPr>
          </w:p>
        </w:tc>
        <w:tc>
          <w:tcPr>
            <w:tcW w:w="1200" w:type="dxa"/>
            <w:vAlign w:val="bottom"/>
            <w:tcBorders>
              <w:right w:val="single" w:sz="8" w:color="7F7F7F"/>
            </w:tcBorders>
            <w:vMerge w:val="continue"/>
          </w:tcPr>
          <w:p>
            <w:pPr>
              <w:spacing w:after="0"/>
              <w:rPr>
                <w:sz w:val="3"/>
                <w:szCs w:val="3"/>
                <w:color w:val="auto"/>
              </w:rPr>
            </w:pPr>
          </w:p>
        </w:tc>
        <w:tc>
          <w:tcPr>
            <w:tcW w:w="2400" w:type="dxa"/>
            <w:vAlign w:val="bottom"/>
          </w:tcPr>
          <w:p>
            <w:pPr>
              <w:spacing w:after="0"/>
              <w:rPr>
                <w:sz w:val="3"/>
                <w:szCs w:val="3"/>
                <w:color w:val="auto"/>
              </w:rPr>
            </w:pPr>
          </w:p>
        </w:tc>
        <w:tc>
          <w:tcPr>
            <w:tcW w:w="60" w:type="dxa"/>
            <w:vAlign w:val="bottom"/>
            <w:tcBorders>
              <w:right w:val="single" w:sz="8" w:color="7F7F7F"/>
            </w:tcBorders>
          </w:tcPr>
          <w:p>
            <w:pPr>
              <w:spacing w:after="0"/>
              <w:rPr>
                <w:sz w:val="3"/>
                <w:szCs w:val="3"/>
                <w:color w:val="auto"/>
              </w:rPr>
            </w:pPr>
          </w:p>
        </w:tc>
        <w:tc>
          <w:tcPr>
            <w:tcW w:w="980" w:type="dxa"/>
            <w:vAlign w:val="bottom"/>
            <w:tcBorders>
              <w:right w:val="single" w:sz="8" w:color="7F7F7F"/>
            </w:tcBorders>
          </w:tcPr>
          <w:p>
            <w:pPr>
              <w:spacing w:after="0"/>
              <w:rPr>
                <w:sz w:val="3"/>
                <w:szCs w:val="3"/>
                <w:color w:val="auto"/>
              </w:rPr>
            </w:pPr>
          </w:p>
        </w:tc>
        <w:tc>
          <w:tcPr>
            <w:tcW w:w="1300" w:type="dxa"/>
            <w:vAlign w:val="bottom"/>
            <w:tcBorders>
              <w:right w:val="single" w:sz="8" w:color="7F7F7F"/>
            </w:tcBorders>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Borders>
              <w:right w:val="single" w:sz="8" w:color="7F7F7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440" w:type="dxa"/>
            <w:vAlign w:val="bottom"/>
            <w:tcBorders>
              <w:left w:val="single" w:sz="8" w:color="7F7F7F"/>
              <w:right w:val="single" w:sz="8" w:color="7F7F7F"/>
            </w:tcBorders>
          </w:tcPr>
          <w:p>
            <w:pPr>
              <w:spacing w:after="0"/>
              <w:rPr>
                <w:sz w:val="14"/>
                <w:szCs w:val="14"/>
                <w:color w:val="auto"/>
              </w:rPr>
            </w:pPr>
          </w:p>
        </w:tc>
        <w:tc>
          <w:tcPr>
            <w:tcW w:w="760" w:type="dxa"/>
            <w:vAlign w:val="bottom"/>
            <w:tcBorders>
              <w:right w:val="single" w:sz="8" w:color="7F7F7F"/>
            </w:tcBorders>
          </w:tcPr>
          <w:p>
            <w:pPr>
              <w:spacing w:after="0"/>
              <w:rPr>
                <w:sz w:val="14"/>
                <w:szCs w:val="14"/>
                <w:color w:val="auto"/>
              </w:rPr>
            </w:pPr>
          </w:p>
        </w:tc>
        <w:tc>
          <w:tcPr>
            <w:tcW w:w="1600" w:type="dxa"/>
            <w:vAlign w:val="bottom"/>
            <w:tcBorders>
              <w:right w:val="single" w:sz="8" w:color="7F7F7F"/>
            </w:tcBorders>
          </w:tcPr>
          <w:p>
            <w:pPr>
              <w:spacing w:after="0"/>
              <w:rPr>
                <w:sz w:val="14"/>
                <w:szCs w:val="14"/>
                <w:color w:val="auto"/>
              </w:rPr>
            </w:pPr>
          </w:p>
        </w:tc>
        <w:tc>
          <w:tcPr>
            <w:tcW w:w="1200" w:type="dxa"/>
            <w:vAlign w:val="bottom"/>
            <w:tcBorders>
              <w:right w:val="single" w:sz="8" w:color="7F7F7F"/>
            </w:tcBorders>
          </w:tcPr>
          <w:p>
            <w:pPr>
              <w:jc w:val="center"/>
              <w:spacing w:after="0"/>
              <w:rPr>
                <w:sz w:val="20"/>
                <w:szCs w:val="20"/>
                <w:color w:val="auto"/>
              </w:rPr>
            </w:pPr>
            <w:r>
              <w:rPr>
                <w:rFonts w:ascii="Arial" w:cs="Arial" w:eastAsia="Arial" w:hAnsi="Arial"/>
                <w:sz w:val="13"/>
                <w:szCs w:val="13"/>
                <w:color w:val="auto"/>
                <w:w w:val="98"/>
              </w:rPr>
              <w:t xml:space="preserve">(LOC) </w:t>
            </w:r>
            <w:r>
              <w:rPr>
                <w:rFonts w:ascii="Arial" w:cs="Arial" w:eastAsia="Arial" w:hAnsi="Arial"/>
                <w:sz w:val="10"/>
                <w:szCs w:val="10"/>
                <w:color w:val="auto"/>
                <w:w w:val="98"/>
              </w:rPr>
              <w:t>(11)</w:t>
            </w:r>
          </w:p>
        </w:tc>
        <w:tc>
          <w:tcPr>
            <w:tcW w:w="2400" w:type="dxa"/>
            <w:vAlign w:val="bottom"/>
          </w:tcPr>
          <w:p>
            <w:pPr>
              <w:spacing w:after="0"/>
              <w:rPr>
                <w:sz w:val="14"/>
                <w:szCs w:val="14"/>
                <w:color w:val="auto"/>
              </w:rPr>
            </w:pPr>
          </w:p>
        </w:tc>
        <w:tc>
          <w:tcPr>
            <w:tcW w:w="60" w:type="dxa"/>
            <w:vAlign w:val="bottom"/>
            <w:tcBorders>
              <w:right w:val="single" w:sz="8" w:color="7F7F7F"/>
            </w:tcBorders>
          </w:tcPr>
          <w:p>
            <w:pPr>
              <w:spacing w:after="0"/>
              <w:rPr>
                <w:sz w:val="14"/>
                <w:szCs w:val="14"/>
                <w:color w:val="auto"/>
              </w:rPr>
            </w:pPr>
          </w:p>
        </w:tc>
        <w:tc>
          <w:tcPr>
            <w:tcW w:w="980" w:type="dxa"/>
            <w:vAlign w:val="bottom"/>
            <w:tcBorders>
              <w:right w:val="single" w:sz="8" w:color="7F7F7F"/>
            </w:tcBorders>
          </w:tcPr>
          <w:p>
            <w:pPr>
              <w:spacing w:after="0"/>
              <w:rPr>
                <w:sz w:val="14"/>
                <w:szCs w:val="14"/>
                <w:color w:val="auto"/>
              </w:rPr>
            </w:pPr>
          </w:p>
        </w:tc>
        <w:tc>
          <w:tcPr>
            <w:tcW w:w="1300" w:type="dxa"/>
            <w:vAlign w:val="bottom"/>
            <w:tcBorders>
              <w:right w:val="single" w:sz="8" w:color="7F7F7F"/>
            </w:tcBorders>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Borders>
              <w:right w:val="single" w:sz="8" w:color="7F7F7F"/>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7F7F7F"/>
              <w:right w:val="single" w:sz="8" w:color="7F7F7F"/>
            </w:tcBorders>
          </w:tcPr>
          <w:p>
            <w:pPr>
              <w:spacing w:after="0"/>
              <w:rPr>
                <w:sz w:val="4"/>
                <w:szCs w:val="4"/>
                <w:color w:val="auto"/>
              </w:rPr>
            </w:pPr>
          </w:p>
        </w:tc>
        <w:tc>
          <w:tcPr>
            <w:tcW w:w="760" w:type="dxa"/>
            <w:vAlign w:val="bottom"/>
            <w:tcBorders>
              <w:right w:val="single" w:sz="8" w:color="7F7F7F"/>
            </w:tcBorders>
          </w:tcPr>
          <w:p>
            <w:pPr>
              <w:spacing w:after="0"/>
              <w:rPr>
                <w:sz w:val="4"/>
                <w:szCs w:val="4"/>
                <w:color w:val="auto"/>
              </w:rPr>
            </w:pPr>
          </w:p>
        </w:tc>
        <w:tc>
          <w:tcPr>
            <w:tcW w:w="1600" w:type="dxa"/>
            <w:vAlign w:val="bottom"/>
            <w:tcBorders>
              <w:right w:val="single" w:sz="8" w:color="7F7F7F"/>
            </w:tcBorders>
          </w:tcPr>
          <w:p>
            <w:pPr>
              <w:spacing w:after="0"/>
              <w:rPr>
                <w:sz w:val="4"/>
                <w:szCs w:val="4"/>
                <w:color w:val="auto"/>
              </w:rPr>
            </w:pPr>
          </w:p>
        </w:tc>
        <w:tc>
          <w:tcPr>
            <w:tcW w:w="1200" w:type="dxa"/>
            <w:vAlign w:val="bottom"/>
            <w:tcBorders>
              <w:bottom w:val="single" w:sz="8" w:color="7F7F7F"/>
              <w:right w:val="single" w:sz="8" w:color="7F7F7F"/>
            </w:tcBorders>
          </w:tcPr>
          <w:p>
            <w:pPr>
              <w:spacing w:after="0"/>
              <w:rPr>
                <w:sz w:val="4"/>
                <w:szCs w:val="4"/>
                <w:color w:val="auto"/>
              </w:rPr>
            </w:pPr>
          </w:p>
        </w:tc>
        <w:tc>
          <w:tcPr>
            <w:tcW w:w="2400" w:type="dxa"/>
            <w:vAlign w:val="bottom"/>
            <w:tcBorders>
              <w:bottom w:val="single" w:sz="8" w:color="7F7F7F"/>
            </w:tcBorders>
          </w:tcPr>
          <w:p>
            <w:pPr>
              <w:spacing w:after="0"/>
              <w:rPr>
                <w:sz w:val="4"/>
                <w:szCs w:val="4"/>
                <w:color w:val="auto"/>
              </w:rPr>
            </w:pPr>
          </w:p>
        </w:tc>
        <w:tc>
          <w:tcPr>
            <w:tcW w:w="60" w:type="dxa"/>
            <w:vAlign w:val="bottom"/>
            <w:tcBorders>
              <w:bottom w:val="single" w:sz="8" w:color="7F7F7F"/>
              <w:right w:val="single" w:sz="8" w:color="7F7F7F"/>
            </w:tcBorders>
          </w:tcPr>
          <w:p>
            <w:pPr>
              <w:spacing w:after="0"/>
              <w:rPr>
                <w:sz w:val="4"/>
                <w:szCs w:val="4"/>
                <w:color w:val="auto"/>
              </w:rPr>
            </w:pPr>
          </w:p>
        </w:tc>
        <w:tc>
          <w:tcPr>
            <w:tcW w:w="980" w:type="dxa"/>
            <w:vAlign w:val="bottom"/>
            <w:tcBorders>
              <w:right w:val="single" w:sz="8" w:color="7F7F7F"/>
            </w:tcBorders>
          </w:tcPr>
          <w:p>
            <w:pPr>
              <w:spacing w:after="0"/>
              <w:rPr>
                <w:sz w:val="4"/>
                <w:szCs w:val="4"/>
                <w:color w:val="auto"/>
              </w:rPr>
            </w:pPr>
          </w:p>
        </w:tc>
        <w:tc>
          <w:tcPr>
            <w:tcW w:w="1300" w:type="dxa"/>
            <w:vAlign w:val="bottom"/>
            <w:tcBorders>
              <w:right w:val="single" w:sz="8" w:color="7F7F7F"/>
            </w:tcBorders>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Borders>
              <w:right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440" w:type="dxa"/>
            <w:vAlign w:val="bottom"/>
            <w:tcBorders>
              <w:left w:val="single" w:sz="8" w:color="7F7F7F"/>
              <w:right w:val="single" w:sz="8" w:color="7F7F7F"/>
            </w:tcBorders>
          </w:tcPr>
          <w:p>
            <w:pPr>
              <w:spacing w:after="0"/>
              <w:rPr>
                <w:sz w:val="13"/>
                <w:szCs w:val="13"/>
                <w:color w:val="auto"/>
              </w:rPr>
            </w:pPr>
          </w:p>
        </w:tc>
        <w:tc>
          <w:tcPr>
            <w:tcW w:w="760" w:type="dxa"/>
            <w:vAlign w:val="bottom"/>
            <w:tcBorders>
              <w:right w:val="single" w:sz="8" w:color="7F7F7F"/>
            </w:tcBorders>
          </w:tcPr>
          <w:p>
            <w:pPr>
              <w:spacing w:after="0"/>
              <w:rPr>
                <w:sz w:val="13"/>
                <w:szCs w:val="13"/>
                <w:color w:val="auto"/>
              </w:rPr>
            </w:pPr>
          </w:p>
        </w:tc>
        <w:tc>
          <w:tcPr>
            <w:tcW w:w="1600" w:type="dxa"/>
            <w:vAlign w:val="bottom"/>
            <w:tcBorders>
              <w:right w:val="single" w:sz="8" w:color="7F7F7F"/>
            </w:tcBorders>
            <w:vMerge w:val="restart"/>
          </w:tcPr>
          <w:p>
            <w:pPr>
              <w:ind w:left="40"/>
              <w:spacing w:after="0"/>
              <w:rPr>
                <w:sz w:val="20"/>
                <w:szCs w:val="20"/>
                <w:color w:val="auto"/>
              </w:rPr>
            </w:pPr>
            <w:r>
              <w:rPr>
                <w:rFonts w:ascii="Arial" w:cs="Arial" w:eastAsia="Arial" w:hAnsi="Arial"/>
                <w:sz w:val="13"/>
                <w:szCs w:val="13"/>
                <w:color w:val="auto"/>
              </w:rPr>
              <w:t>Process safety and</w:t>
            </w:r>
          </w:p>
        </w:tc>
        <w:tc>
          <w:tcPr>
            <w:tcW w:w="1200" w:type="dxa"/>
            <w:vAlign w:val="bottom"/>
            <w:tcBorders>
              <w:right w:val="single" w:sz="8" w:color="7F7F7F"/>
            </w:tcBorders>
            <w:vMerge w:val="restart"/>
          </w:tcPr>
          <w:p>
            <w:pPr>
              <w:jc w:val="center"/>
              <w:spacing w:after="0"/>
              <w:rPr>
                <w:sz w:val="20"/>
                <w:szCs w:val="20"/>
                <w:color w:val="auto"/>
              </w:rPr>
            </w:pPr>
            <w:r>
              <w:rPr>
                <w:rFonts w:ascii="Arial" w:cs="Arial" w:eastAsia="Arial" w:hAnsi="Arial"/>
                <w:sz w:val="13"/>
                <w:szCs w:val="13"/>
                <w:color w:val="auto"/>
                <w:w w:val="96"/>
              </w:rPr>
              <w:t>Tier 1+2 LOCs</w:t>
            </w:r>
          </w:p>
        </w:tc>
        <w:tc>
          <w:tcPr>
            <w:tcW w:w="2400" w:type="dxa"/>
            <w:vAlign w:val="bottom"/>
          </w:tcPr>
          <w:p>
            <w:pPr>
              <w:ind w:left="40"/>
              <w:spacing w:after="0"/>
              <w:rPr>
                <w:sz w:val="20"/>
                <w:szCs w:val="20"/>
                <w:color w:val="auto"/>
              </w:rPr>
            </w:pPr>
            <w:r>
              <w:rPr>
                <w:rFonts w:ascii="Arial" w:cs="Arial" w:eastAsia="Arial" w:hAnsi="Arial"/>
                <w:sz w:val="13"/>
                <w:szCs w:val="13"/>
                <w:color w:val="auto"/>
              </w:rPr>
              <w:t>101 Tier 1 + Tier 2 LOCs</w:t>
            </w:r>
          </w:p>
        </w:tc>
        <w:tc>
          <w:tcPr>
            <w:tcW w:w="60" w:type="dxa"/>
            <w:vAlign w:val="bottom"/>
            <w:tcBorders>
              <w:right w:val="single" w:sz="8" w:color="7F7F7F"/>
            </w:tcBorders>
          </w:tcPr>
          <w:p>
            <w:pPr>
              <w:spacing w:after="0"/>
              <w:rPr>
                <w:sz w:val="13"/>
                <w:szCs w:val="13"/>
                <w:color w:val="auto"/>
              </w:rPr>
            </w:pPr>
          </w:p>
        </w:tc>
        <w:tc>
          <w:tcPr>
            <w:tcW w:w="980" w:type="dxa"/>
            <w:vAlign w:val="bottom"/>
            <w:tcBorders>
              <w:right w:val="single" w:sz="8" w:color="7F7F7F"/>
            </w:tcBorders>
          </w:tcPr>
          <w:p>
            <w:pPr>
              <w:spacing w:after="0"/>
              <w:rPr>
                <w:sz w:val="13"/>
                <w:szCs w:val="13"/>
                <w:color w:val="auto"/>
              </w:rPr>
            </w:pPr>
          </w:p>
        </w:tc>
        <w:tc>
          <w:tcPr>
            <w:tcW w:w="1300" w:type="dxa"/>
            <w:vAlign w:val="bottom"/>
            <w:tcBorders>
              <w:right w:val="single" w:sz="8" w:color="7F7F7F"/>
            </w:tcBorders>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Borders>
              <w:right w:val="single" w:sz="8" w:color="7F7F7F"/>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1440" w:type="dxa"/>
            <w:vAlign w:val="bottom"/>
            <w:tcBorders>
              <w:left w:val="single" w:sz="8" w:color="7F7F7F"/>
              <w:right w:val="single" w:sz="8" w:color="7F7F7F"/>
            </w:tcBorders>
          </w:tcPr>
          <w:p>
            <w:pPr>
              <w:spacing w:after="0"/>
              <w:rPr>
                <w:sz w:val="2"/>
                <w:szCs w:val="2"/>
                <w:color w:val="auto"/>
              </w:rPr>
            </w:pPr>
          </w:p>
        </w:tc>
        <w:tc>
          <w:tcPr>
            <w:tcW w:w="760" w:type="dxa"/>
            <w:vAlign w:val="bottom"/>
            <w:tcBorders>
              <w:right w:val="single" w:sz="8" w:color="7F7F7F"/>
            </w:tcBorders>
          </w:tcPr>
          <w:p>
            <w:pPr>
              <w:spacing w:after="0"/>
              <w:rPr>
                <w:sz w:val="2"/>
                <w:szCs w:val="2"/>
                <w:color w:val="auto"/>
              </w:rPr>
            </w:pPr>
          </w:p>
        </w:tc>
        <w:tc>
          <w:tcPr>
            <w:tcW w:w="1600" w:type="dxa"/>
            <w:vAlign w:val="bottom"/>
            <w:tcBorders>
              <w:right w:val="single" w:sz="8" w:color="7F7F7F"/>
            </w:tcBorders>
            <w:vMerge w:val="continue"/>
          </w:tcPr>
          <w:p>
            <w:pPr>
              <w:spacing w:after="0"/>
              <w:rPr>
                <w:sz w:val="2"/>
                <w:szCs w:val="2"/>
                <w:color w:val="auto"/>
              </w:rPr>
            </w:pPr>
          </w:p>
        </w:tc>
        <w:tc>
          <w:tcPr>
            <w:tcW w:w="1200" w:type="dxa"/>
            <w:vAlign w:val="bottom"/>
            <w:tcBorders>
              <w:right w:val="single" w:sz="8" w:color="7F7F7F"/>
            </w:tcBorders>
            <w:vMerge w:val="continue"/>
          </w:tcPr>
          <w:p>
            <w:pPr>
              <w:spacing w:after="0"/>
              <w:rPr>
                <w:sz w:val="2"/>
                <w:szCs w:val="2"/>
                <w:color w:val="auto"/>
              </w:rPr>
            </w:pPr>
          </w:p>
        </w:tc>
        <w:tc>
          <w:tcPr>
            <w:tcW w:w="2400" w:type="dxa"/>
            <w:vAlign w:val="bottom"/>
          </w:tcPr>
          <w:p>
            <w:pPr>
              <w:spacing w:after="0"/>
              <w:rPr>
                <w:sz w:val="2"/>
                <w:szCs w:val="2"/>
                <w:color w:val="auto"/>
              </w:rPr>
            </w:pPr>
          </w:p>
        </w:tc>
        <w:tc>
          <w:tcPr>
            <w:tcW w:w="60" w:type="dxa"/>
            <w:vAlign w:val="bottom"/>
            <w:tcBorders>
              <w:right w:val="single" w:sz="8" w:color="7F7F7F"/>
            </w:tcBorders>
          </w:tcPr>
          <w:p>
            <w:pPr>
              <w:spacing w:after="0"/>
              <w:rPr>
                <w:sz w:val="2"/>
                <w:szCs w:val="2"/>
                <w:color w:val="auto"/>
              </w:rPr>
            </w:pPr>
          </w:p>
        </w:tc>
        <w:tc>
          <w:tcPr>
            <w:tcW w:w="980" w:type="dxa"/>
            <w:vAlign w:val="bottom"/>
            <w:tcBorders>
              <w:right w:val="single" w:sz="8" w:color="7F7F7F"/>
            </w:tcBorders>
          </w:tcPr>
          <w:p>
            <w:pPr>
              <w:spacing w:after="0"/>
              <w:rPr>
                <w:sz w:val="2"/>
                <w:szCs w:val="2"/>
                <w:color w:val="auto"/>
              </w:rPr>
            </w:pPr>
          </w:p>
        </w:tc>
        <w:tc>
          <w:tcPr>
            <w:tcW w:w="1300" w:type="dxa"/>
            <w:vAlign w:val="bottom"/>
            <w:tcBorders>
              <w:right w:val="single" w:sz="8" w:color="7F7F7F"/>
            </w:tcBorders>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Borders>
              <w:right w:val="single" w:sz="8" w:color="7F7F7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440" w:type="dxa"/>
            <w:vAlign w:val="bottom"/>
            <w:tcBorders>
              <w:left w:val="single" w:sz="8" w:color="7F7F7F"/>
              <w:right w:val="single" w:sz="8" w:color="7F7F7F"/>
            </w:tcBorders>
          </w:tcPr>
          <w:p>
            <w:pPr>
              <w:spacing w:after="0"/>
              <w:rPr>
                <w:sz w:val="15"/>
                <w:szCs w:val="15"/>
                <w:color w:val="auto"/>
              </w:rPr>
            </w:pPr>
          </w:p>
        </w:tc>
        <w:tc>
          <w:tcPr>
            <w:tcW w:w="760" w:type="dxa"/>
            <w:vAlign w:val="bottom"/>
            <w:tcBorders>
              <w:right w:val="single" w:sz="8" w:color="7F7F7F"/>
            </w:tcBorders>
          </w:tcPr>
          <w:p>
            <w:pPr>
              <w:spacing w:after="0"/>
              <w:rPr>
                <w:sz w:val="15"/>
                <w:szCs w:val="15"/>
                <w:color w:val="auto"/>
              </w:rPr>
            </w:pPr>
          </w:p>
        </w:tc>
        <w:tc>
          <w:tcPr>
            <w:tcW w:w="1600" w:type="dxa"/>
            <w:vAlign w:val="bottom"/>
            <w:tcBorders>
              <w:right w:val="single" w:sz="8" w:color="7F7F7F"/>
            </w:tcBorders>
          </w:tcPr>
          <w:p>
            <w:pPr>
              <w:ind w:left="40"/>
              <w:spacing w:after="0"/>
              <w:rPr>
                <w:sz w:val="20"/>
                <w:szCs w:val="20"/>
                <w:color w:val="auto"/>
              </w:rPr>
            </w:pPr>
            <w:r>
              <w:rPr>
                <w:rFonts w:ascii="Arial" w:cs="Arial" w:eastAsia="Arial" w:hAnsi="Arial"/>
                <w:sz w:val="13"/>
                <w:szCs w:val="13"/>
                <w:color w:val="auto"/>
              </w:rPr>
              <w:t xml:space="preserve">environmental </w:t>
            </w:r>
            <w:r>
              <w:rPr>
                <w:rFonts w:ascii="Arial" w:cs="Arial" w:eastAsia="Arial" w:hAnsi="Arial"/>
                <w:sz w:val="10"/>
                <w:szCs w:val="10"/>
                <w:color w:val="auto"/>
              </w:rPr>
              <w:t>(9)</w:t>
            </w:r>
          </w:p>
        </w:tc>
        <w:tc>
          <w:tcPr>
            <w:tcW w:w="1200" w:type="dxa"/>
            <w:vAlign w:val="bottom"/>
            <w:tcBorders>
              <w:right w:val="single" w:sz="8" w:color="7F7F7F"/>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r>
              <w:rPr>
                <w:rFonts w:ascii="Arial" w:cs="Arial" w:eastAsia="Arial" w:hAnsi="Arial"/>
                <w:sz w:val="13"/>
                <w:szCs w:val="13"/>
                <w:color w:val="auto"/>
                <w:w w:val="92"/>
              </w:rPr>
              <w:t>59</w:t>
            </w:r>
          </w:p>
        </w:tc>
        <w:tc>
          <w:tcPr>
            <w:tcW w:w="2400" w:type="dxa"/>
            <w:vAlign w:val="bottom"/>
          </w:tcPr>
          <w:p>
            <w:pPr>
              <w:spacing w:after="0"/>
              <w:rPr>
                <w:sz w:val="15"/>
                <w:szCs w:val="15"/>
                <w:color w:val="auto"/>
              </w:rPr>
            </w:pPr>
          </w:p>
        </w:tc>
        <w:tc>
          <w:tcPr>
            <w:tcW w:w="60" w:type="dxa"/>
            <w:vAlign w:val="bottom"/>
            <w:tcBorders>
              <w:right w:val="single" w:sz="8" w:color="7F7F7F"/>
            </w:tcBorders>
          </w:tcPr>
          <w:p>
            <w:pPr>
              <w:spacing w:after="0"/>
              <w:rPr>
                <w:sz w:val="15"/>
                <w:szCs w:val="15"/>
                <w:color w:val="auto"/>
              </w:rPr>
            </w:pPr>
          </w:p>
        </w:tc>
        <w:tc>
          <w:tcPr>
            <w:tcW w:w="980" w:type="dxa"/>
            <w:vAlign w:val="bottom"/>
            <w:tcBorders>
              <w:right w:val="single" w:sz="8" w:color="7F7F7F"/>
            </w:tcBorders>
          </w:tcPr>
          <w:p>
            <w:pPr>
              <w:spacing w:after="0"/>
              <w:rPr>
                <w:sz w:val="15"/>
                <w:szCs w:val="15"/>
                <w:color w:val="auto"/>
              </w:rPr>
            </w:pPr>
          </w:p>
        </w:tc>
        <w:tc>
          <w:tcPr>
            <w:tcW w:w="1300" w:type="dxa"/>
            <w:vAlign w:val="bottom"/>
            <w:tcBorders>
              <w:right w:val="single" w:sz="8" w:color="7F7F7F"/>
            </w:tcBorders>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Borders>
              <w:right w:val="single" w:sz="8" w:color="7F7F7F"/>
            </w:tcBorders>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440" w:type="dxa"/>
            <w:vAlign w:val="bottom"/>
            <w:tcBorders>
              <w:left w:val="single" w:sz="8" w:color="7F7F7F"/>
              <w:right w:val="single" w:sz="8" w:color="7F7F7F"/>
            </w:tcBorders>
          </w:tcPr>
          <w:p>
            <w:pPr>
              <w:spacing w:after="0"/>
              <w:rPr>
                <w:sz w:val="2"/>
                <w:szCs w:val="2"/>
                <w:color w:val="auto"/>
              </w:rPr>
            </w:pPr>
          </w:p>
        </w:tc>
        <w:tc>
          <w:tcPr>
            <w:tcW w:w="760" w:type="dxa"/>
            <w:vAlign w:val="bottom"/>
            <w:tcBorders>
              <w:right w:val="single" w:sz="8" w:color="7F7F7F"/>
            </w:tcBorders>
          </w:tcPr>
          <w:p>
            <w:pPr>
              <w:spacing w:after="0"/>
              <w:rPr>
                <w:sz w:val="2"/>
                <w:szCs w:val="2"/>
                <w:color w:val="auto"/>
              </w:rPr>
            </w:pPr>
          </w:p>
        </w:tc>
        <w:tc>
          <w:tcPr>
            <w:tcW w:w="1600" w:type="dxa"/>
            <w:vAlign w:val="bottom"/>
            <w:tcBorders>
              <w:right w:val="single" w:sz="8" w:color="7F7F7F"/>
            </w:tcBorders>
          </w:tcPr>
          <w:p>
            <w:pPr>
              <w:spacing w:after="0"/>
              <w:rPr>
                <w:sz w:val="2"/>
                <w:szCs w:val="2"/>
                <w:color w:val="auto"/>
              </w:rPr>
            </w:pPr>
          </w:p>
        </w:tc>
        <w:tc>
          <w:tcPr>
            <w:tcW w:w="1200" w:type="dxa"/>
            <w:vAlign w:val="bottom"/>
            <w:tcBorders>
              <w:bottom w:val="single" w:sz="8" w:color="7F7F7F"/>
              <w:right w:val="single" w:sz="8" w:color="7F7F7F"/>
            </w:tcBorders>
          </w:tcPr>
          <w:p>
            <w:pPr>
              <w:spacing w:after="0"/>
              <w:rPr>
                <w:sz w:val="2"/>
                <w:szCs w:val="2"/>
                <w:color w:val="auto"/>
              </w:rPr>
            </w:pPr>
          </w:p>
        </w:tc>
        <w:tc>
          <w:tcPr>
            <w:tcW w:w="2400" w:type="dxa"/>
            <w:vAlign w:val="bottom"/>
            <w:tcBorders>
              <w:bottom w:val="single" w:sz="8" w:color="7F7F7F"/>
            </w:tcBorders>
          </w:tcPr>
          <w:p>
            <w:pPr>
              <w:spacing w:after="0"/>
              <w:rPr>
                <w:sz w:val="2"/>
                <w:szCs w:val="2"/>
                <w:color w:val="auto"/>
              </w:rPr>
            </w:pPr>
          </w:p>
        </w:tc>
        <w:tc>
          <w:tcPr>
            <w:tcW w:w="60" w:type="dxa"/>
            <w:vAlign w:val="bottom"/>
            <w:tcBorders>
              <w:bottom w:val="single" w:sz="8" w:color="7F7F7F"/>
              <w:right w:val="single" w:sz="8" w:color="7F7F7F"/>
            </w:tcBorders>
          </w:tcPr>
          <w:p>
            <w:pPr>
              <w:spacing w:after="0"/>
              <w:rPr>
                <w:sz w:val="2"/>
                <w:szCs w:val="2"/>
                <w:color w:val="auto"/>
              </w:rPr>
            </w:pPr>
          </w:p>
        </w:tc>
        <w:tc>
          <w:tcPr>
            <w:tcW w:w="980" w:type="dxa"/>
            <w:vAlign w:val="bottom"/>
            <w:tcBorders>
              <w:right w:val="single" w:sz="8" w:color="7F7F7F"/>
            </w:tcBorders>
          </w:tcPr>
          <w:p>
            <w:pPr>
              <w:spacing w:after="0"/>
              <w:rPr>
                <w:sz w:val="2"/>
                <w:szCs w:val="2"/>
                <w:color w:val="auto"/>
              </w:rPr>
            </w:pPr>
          </w:p>
        </w:tc>
        <w:tc>
          <w:tcPr>
            <w:tcW w:w="1300" w:type="dxa"/>
            <w:vAlign w:val="bottom"/>
            <w:tcBorders>
              <w:right w:val="single" w:sz="8" w:color="7F7F7F"/>
            </w:tcBorders>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Borders>
              <w:right w:val="single" w:sz="8" w:color="7F7F7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440" w:type="dxa"/>
            <w:vAlign w:val="bottom"/>
            <w:tcBorders>
              <w:left w:val="single" w:sz="8" w:color="7F7F7F"/>
              <w:right w:val="single" w:sz="8" w:color="7F7F7F"/>
            </w:tcBorders>
          </w:tcPr>
          <w:p>
            <w:pPr>
              <w:spacing w:after="0"/>
              <w:rPr>
                <w:sz w:val="15"/>
                <w:szCs w:val="15"/>
                <w:color w:val="auto"/>
              </w:rPr>
            </w:pPr>
          </w:p>
        </w:tc>
        <w:tc>
          <w:tcPr>
            <w:tcW w:w="760" w:type="dxa"/>
            <w:vAlign w:val="bottom"/>
            <w:tcBorders>
              <w:right w:val="single" w:sz="8" w:color="7F7F7F"/>
            </w:tcBorders>
          </w:tcPr>
          <w:p>
            <w:pPr>
              <w:spacing w:after="0"/>
              <w:rPr>
                <w:sz w:val="15"/>
                <w:szCs w:val="15"/>
                <w:color w:val="auto"/>
              </w:rPr>
            </w:pPr>
          </w:p>
        </w:tc>
        <w:tc>
          <w:tcPr>
            <w:tcW w:w="1600" w:type="dxa"/>
            <w:vAlign w:val="bottom"/>
            <w:tcBorders>
              <w:right w:val="single" w:sz="8" w:color="7F7F7F"/>
            </w:tcBorders>
          </w:tcPr>
          <w:p>
            <w:pPr>
              <w:spacing w:after="0"/>
              <w:rPr>
                <w:sz w:val="15"/>
                <w:szCs w:val="15"/>
                <w:color w:val="auto"/>
              </w:rPr>
            </w:pPr>
          </w:p>
        </w:tc>
        <w:tc>
          <w:tcPr>
            <w:tcW w:w="1200" w:type="dxa"/>
            <w:vAlign w:val="bottom"/>
            <w:tcBorders>
              <w:right w:val="single" w:sz="8" w:color="7F7F7F"/>
            </w:tcBorders>
          </w:tcPr>
          <w:p>
            <w:pPr>
              <w:jc w:val="center"/>
              <w:spacing w:after="0"/>
              <w:rPr>
                <w:sz w:val="20"/>
                <w:szCs w:val="20"/>
                <w:color w:val="auto"/>
              </w:rPr>
            </w:pPr>
            <w:r>
              <w:rPr>
                <w:rFonts w:ascii="Arial" w:cs="Arial" w:eastAsia="Arial" w:hAnsi="Arial"/>
                <w:sz w:val="13"/>
                <w:szCs w:val="13"/>
                <w:color w:val="auto"/>
                <w:w w:val="96"/>
              </w:rPr>
              <w:t>Spill volume</w:t>
            </w:r>
          </w:p>
        </w:tc>
        <w:tc>
          <w:tcPr>
            <w:tcW w:w="2400" w:type="dxa"/>
            <w:vAlign w:val="bottom"/>
          </w:tcPr>
          <w:p>
            <w:pPr>
              <w:ind w:left="40"/>
              <w:spacing w:after="0"/>
              <w:rPr>
                <w:sz w:val="20"/>
                <w:szCs w:val="20"/>
                <w:color w:val="auto"/>
              </w:rPr>
            </w:pPr>
            <w:r>
              <w:rPr>
                <w:rFonts w:ascii="Arial" w:cs="Arial" w:eastAsia="Arial" w:hAnsi="Arial"/>
                <w:sz w:val="13"/>
                <w:szCs w:val="13"/>
                <w:color w:val="auto"/>
              </w:rPr>
              <w:t>Spill volume 2.1 Mbbl.</w:t>
            </w:r>
          </w:p>
        </w:tc>
        <w:tc>
          <w:tcPr>
            <w:tcW w:w="60" w:type="dxa"/>
            <w:vAlign w:val="bottom"/>
            <w:tcBorders>
              <w:right w:val="single" w:sz="8" w:color="7F7F7F"/>
            </w:tcBorders>
          </w:tcPr>
          <w:p>
            <w:pPr>
              <w:spacing w:after="0"/>
              <w:rPr>
                <w:sz w:val="15"/>
                <w:szCs w:val="15"/>
                <w:color w:val="auto"/>
              </w:rPr>
            </w:pPr>
          </w:p>
        </w:tc>
        <w:tc>
          <w:tcPr>
            <w:tcW w:w="980" w:type="dxa"/>
            <w:vAlign w:val="bottom"/>
            <w:tcBorders>
              <w:right w:val="single" w:sz="8" w:color="7F7F7F"/>
            </w:tcBorders>
          </w:tcPr>
          <w:p>
            <w:pPr>
              <w:spacing w:after="0"/>
              <w:rPr>
                <w:sz w:val="15"/>
                <w:szCs w:val="15"/>
                <w:color w:val="auto"/>
              </w:rPr>
            </w:pPr>
          </w:p>
        </w:tc>
        <w:tc>
          <w:tcPr>
            <w:tcW w:w="1300" w:type="dxa"/>
            <w:vAlign w:val="bottom"/>
            <w:tcBorders>
              <w:right w:val="single" w:sz="8" w:color="7F7F7F"/>
            </w:tcBorders>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Borders>
              <w:right w:val="single" w:sz="8" w:color="7F7F7F"/>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440" w:type="dxa"/>
            <w:vAlign w:val="bottom"/>
            <w:tcBorders>
              <w:left w:val="single" w:sz="8" w:color="7F7F7F"/>
              <w:right w:val="single" w:sz="8" w:color="7F7F7F"/>
            </w:tcBorders>
          </w:tcPr>
          <w:p>
            <w:pPr>
              <w:spacing w:after="0"/>
              <w:rPr>
                <w:sz w:val="11"/>
                <w:szCs w:val="11"/>
                <w:color w:val="auto"/>
              </w:rPr>
            </w:pPr>
          </w:p>
        </w:tc>
        <w:tc>
          <w:tcPr>
            <w:tcW w:w="760" w:type="dxa"/>
            <w:vAlign w:val="bottom"/>
            <w:tcBorders>
              <w:right w:val="single" w:sz="8" w:color="7F7F7F"/>
            </w:tcBorders>
          </w:tcPr>
          <w:p>
            <w:pPr>
              <w:spacing w:after="0"/>
              <w:rPr>
                <w:sz w:val="11"/>
                <w:szCs w:val="11"/>
                <w:color w:val="auto"/>
              </w:rPr>
            </w:pPr>
          </w:p>
        </w:tc>
        <w:tc>
          <w:tcPr>
            <w:tcW w:w="1600" w:type="dxa"/>
            <w:vAlign w:val="bottom"/>
            <w:tcBorders>
              <w:right w:val="single" w:sz="8" w:color="7F7F7F"/>
            </w:tcBorders>
          </w:tcPr>
          <w:p>
            <w:pPr>
              <w:spacing w:after="0"/>
              <w:rPr>
                <w:sz w:val="11"/>
                <w:szCs w:val="11"/>
                <w:color w:val="auto"/>
              </w:rPr>
            </w:pPr>
          </w:p>
        </w:tc>
        <w:tc>
          <w:tcPr>
            <w:tcW w:w="1200" w:type="dxa"/>
            <w:vAlign w:val="bottom"/>
            <w:tcBorders>
              <w:right w:val="single" w:sz="8" w:color="7F7F7F"/>
            </w:tcBorders>
          </w:tcPr>
          <w:p>
            <w:pPr>
              <w:jc w:val="center"/>
              <w:spacing w:after="0" w:line="135" w:lineRule="exact"/>
              <w:rPr>
                <w:sz w:val="20"/>
                <w:szCs w:val="20"/>
                <w:color w:val="auto"/>
              </w:rPr>
            </w:pPr>
            <w:r>
              <w:rPr>
                <w:rFonts w:ascii="Arial" w:cs="Arial" w:eastAsia="Arial" w:hAnsi="Arial"/>
                <w:sz w:val="13"/>
                <w:szCs w:val="13"/>
                <w:color w:val="auto"/>
                <w:w w:val="96"/>
              </w:rPr>
              <w:t>(to land &amp;</w:t>
            </w:r>
          </w:p>
        </w:tc>
        <w:tc>
          <w:tcPr>
            <w:tcW w:w="2400" w:type="dxa"/>
            <w:vAlign w:val="bottom"/>
          </w:tcPr>
          <w:p>
            <w:pPr>
              <w:spacing w:after="0"/>
              <w:rPr>
                <w:sz w:val="11"/>
                <w:szCs w:val="11"/>
                <w:color w:val="auto"/>
              </w:rPr>
            </w:pPr>
          </w:p>
        </w:tc>
        <w:tc>
          <w:tcPr>
            <w:tcW w:w="60" w:type="dxa"/>
            <w:vAlign w:val="bottom"/>
            <w:tcBorders>
              <w:right w:val="single" w:sz="8" w:color="7F7F7F"/>
            </w:tcBorders>
          </w:tcPr>
          <w:p>
            <w:pPr>
              <w:spacing w:after="0"/>
              <w:rPr>
                <w:sz w:val="11"/>
                <w:szCs w:val="11"/>
                <w:color w:val="auto"/>
              </w:rPr>
            </w:pPr>
          </w:p>
        </w:tc>
        <w:tc>
          <w:tcPr>
            <w:tcW w:w="980" w:type="dxa"/>
            <w:vAlign w:val="bottom"/>
            <w:tcBorders>
              <w:right w:val="single" w:sz="8" w:color="7F7F7F"/>
            </w:tcBorders>
          </w:tcPr>
          <w:p>
            <w:pPr>
              <w:spacing w:after="0"/>
              <w:rPr>
                <w:sz w:val="11"/>
                <w:szCs w:val="11"/>
                <w:color w:val="auto"/>
              </w:rPr>
            </w:pPr>
          </w:p>
        </w:tc>
        <w:tc>
          <w:tcPr>
            <w:tcW w:w="1300" w:type="dxa"/>
            <w:vAlign w:val="bottom"/>
            <w:tcBorders>
              <w:right w:val="single" w:sz="8" w:color="7F7F7F"/>
            </w:tcBorders>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Borders>
              <w:right w:val="single" w:sz="8" w:color="7F7F7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Borders>
              <w:left w:val="single" w:sz="8" w:color="7F7F7F"/>
              <w:right w:val="single" w:sz="8" w:color="7F7F7F"/>
            </w:tcBorders>
          </w:tcPr>
          <w:p>
            <w:pPr>
              <w:spacing w:after="0"/>
              <w:rPr>
                <w:sz w:val="11"/>
                <w:szCs w:val="11"/>
                <w:color w:val="auto"/>
              </w:rPr>
            </w:pPr>
          </w:p>
        </w:tc>
        <w:tc>
          <w:tcPr>
            <w:tcW w:w="760" w:type="dxa"/>
            <w:vAlign w:val="bottom"/>
            <w:tcBorders>
              <w:right w:val="single" w:sz="8" w:color="7F7F7F"/>
            </w:tcBorders>
          </w:tcPr>
          <w:p>
            <w:pPr>
              <w:spacing w:after="0"/>
              <w:rPr>
                <w:sz w:val="11"/>
                <w:szCs w:val="11"/>
                <w:color w:val="auto"/>
              </w:rPr>
            </w:pPr>
          </w:p>
        </w:tc>
        <w:tc>
          <w:tcPr>
            <w:tcW w:w="1600" w:type="dxa"/>
            <w:vAlign w:val="bottom"/>
            <w:tcBorders>
              <w:right w:val="single" w:sz="8" w:color="7F7F7F"/>
            </w:tcBorders>
          </w:tcPr>
          <w:p>
            <w:pPr>
              <w:spacing w:after="0"/>
              <w:rPr>
                <w:sz w:val="11"/>
                <w:szCs w:val="11"/>
                <w:color w:val="auto"/>
              </w:rPr>
            </w:pPr>
          </w:p>
        </w:tc>
        <w:tc>
          <w:tcPr>
            <w:tcW w:w="1200" w:type="dxa"/>
            <w:vAlign w:val="bottom"/>
            <w:tcBorders>
              <w:right w:val="single" w:sz="8" w:color="7F7F7F"/>
            </w:tcBorders>
          </w:tcPr>
          <w:p>
            <w:pPr>
              <w:jc w:val="center"/>
              <w:spacing w:after="0" w:line="136" w:lineRule="exact"/>
              <w:rPr>
                <w:sz w:val="20"/>
                <w:szCs w:val="20"/>
                <w:color w:val="auto"/>
              </w:rPr>
            </w:pPr>
            <w:r>
              <w:rPr>
                <w:rFonts w:ascii="Arial" w:cs="Arial" w:eastAsia="Arial" w:hAnsi="Arial"/>
                <w:sz w:val="13"/>
                <w:szCs w:val="13"/>
                <w:color w:val="auto"/>
                <w:w w:val="95"/>
              </w:rPr>
              <w:t xml:space="preserve">water) </w:t>
            </w:r>
            <w:r>
              <w:rPr>
                <w:rFonts w:ascii="Times New Roman" w:cs="Times New Roman" w:eastAsia="Times New Roman" w:hAnsi="Times New Roman"/>
                <w:sz w:val="13"/>
                <w:szCs w:val="13"/>
                <w:color w:val="auto"/>
                <w:w w:val="95"/>
              </w:rPr>
              <w:t>≤</w:t>
            </w:r>
            <w:r>
              <w:rPr>
                <w:rFonts w:ascii="Arial" w:cs="Arial" w:eastAsia="Arial" w:hAnsi="Arial"/>
                <w:sz w:val="13"/>
                <w:szCs w:val="13"/>
                <w:color w:val="auto"/>
                <w:w w:val="95"/>
              </w:rPr>
              <w:t>1.0</w:t>
            </w:r>
          </w:p>
        </w:tc>
        <w:tc>
          <w:tcPr>
            <w:tcW w:w="2400" w:type="dxa"/>
            <w:vAlign w:val="bottom"/>
          </w:tcPr>
          <w:p>
            <w:pPr>
              <w:spacing w:after="0"/>
              <w:rPr>
                <w:sz w:val="11"/>
                <w:szCs w:val="11"/>
                <w:color w:val="auto"/>
              </w:rPr>
            </w:pPr>
          </w:p>
        </w:tc>
        <w:tc>
          <w:tcPr>
            <w:tcW w:w="60" w:type="dxa"/>
            <w:vAlign w:val="bottom"/>
            <w:tcBorders>
              <w:right w:val="single" w:sz="8" w:color="7F7F7F"/>
            </w:tcBorders>
          </w:tcPr>
          <w:p>
            <w:pPr>
              <w:spacing w:after="0"/>
              <w:rPr>
                <w:sz w:val="11"/>
                <w:szCs w:val="11"/>
                <w:color w:val="auto"/>
              </w:rPr>
            </w:pPr>
          </w:p>
        </w:tc>
        <w:tc>
          <w:tcPr>
            <w:tcW w:w="980" w:type="dxa"/>
            <w:vAlign w:val="bottom"/>
            <w:tcBorders>
              <w:right w:val="single" w:sz="8" w:color="7F7F7F"/>
            </w:tcBorders>
          </w:tcPr>
          <w:p>
            <w:pPr>
              <w:spacing w:after="0"/>
              <w:rPr>
                <w:sz w:val="11"/>
                <w:szCs w:val="11"/>
                <w:color w:val="auto"/>
              </w:rPr>
            </w:pPr>
          </w:p>
        </w:tc>
        <w:tc>
          <w:tcPr>
            <w:tcW w:w="1300" w:type="dxa"/>
            <w:vAlign w:val="bottom"/>
            <w:tcBorders>
              <w:right w:val="single" w:sz="8" w:color="7F7F7F"/>
            </w:tcBorders>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Borders>
              <w:right w:val="single" w:sz="8" w:color="7F7F7F"/>
            </w:tcBorders>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440" w:type="dxa"/>
            <w:vAlign w:val="bottom"/>
            <w:tcBorders>
              <w:left w:val="single" w:sz="8" w:color="7F7F7F"/>
              <w:right w:val="single" w:sz="8" w:color="7F7F7F"/>
            </w:tcBorders>
          </w:tcPr>
          <w:p>
            <w:pPr>
              <w:spacing w:after="0"/>
              <w:rPr>
                <w:sz w:val="14"/>
                <w:szCs w:val="14"/>
                <w:color w:val="auto"/>
              </w:rPr>
            </w:pPr>
          </w:p>
        </w:tc>
        <w:tc>
          <w:tcPr>
            <w:tcW w:w="760" w:type="dxa"/>
            <w:vAlign w:val="bottom"/>
            <w:tcBorders>
              <w:right w:val="single" w:sz="8" w:color="7F7F7F"/>
            </w:tcBorders>
          </w:tcPr>
          <w:p>
            <w:pPr>
              <w:spacing w:after="0"/>
              <w:rPr>
                <w:sz w:val="14"/>
                <w:szCs w:val="14"/>
                <w:color w:val="auto"/>
              </w:rPr>
            </w:pPr>
          </w:p>
        </w:tc>
        <w:tc>
          <w:tcPr>
            <w:tcW w:w="1600" w:type="dxa"/>
            <w:vAlign w:val="bottom"/>
            <w:tcBorders>
              <w:right w:val="single" w:sz="8" w:color="7F7F7F"/>
            </w:tcBorders>
          </w:tcPr>
          <w:p>
            <w:pPr>
              <w:spacing w:after="0"/>
              <w:rPr>
                <w:sz w:val="14"/>
                <w:szCs w:val="14"/>
                <w:color w:val="auto"/>
              </w:rPr>
            </w:pPr>
          </w:p>
        </w:tc>
        <w:tc>
          <w:tcPr>
            <w:tcW w:w="1200" w:type="dxa"/>
            <w:vAlign w:val="bottom"/>
            <w:tcBorders>
              <w:right w:val="single" w:sz="8" w:color="7F7F7F"/>
            </w:tcBorders>
          </w:tcPr>
          <w:p>
            <w:pPr>
              <w:jc w:val="center"/>
              <w:spacing w:after="0"/>
              <w:rPr>
                <w:sz w:val="20"/>
                <w:szCs w:val="20"/>
                <w:color w:val="auto"/>
              </w:rPr>
            </w:pPr>
            <w:r>
              <w:rPr>
                <w:rFonts w:ascii="Arial" w:cs="Arial" w:eastAsia="Arial" w:hAnsi="Arial"/>
                <w:sz w:val="13"/>
                <w:szCs w:val="13"/>
                <w:color w:val="auto"/>
                <w:w w:val="99"/>
              </w:rPr>
              <w:t>Mbbl</w:t>
            </w:r>
          </w:p>
        </w:tc>
        <w:tc>
          <w:tcPr>
            <w:tcW w:w="2400" w:type="dxa"/>
            <w:vAlign w:val="bottom"/>
          </w:tcPr>
          <w:p>
            <w:pPr>
              <w:spacing w:after="0"/>
              <w:rPr>
                <w:sz w:val="14"/>
                <w:szCs w:val="14"/>
                <w:color w:val="auto"/>
              </w:rPr>
            </w:pPr>
          </w:p>
        </w:tc>
        <w:tc>
          <w:tcPr>
            <w:tcW w:w="60" w:type="dxa"/>
            <w:vAlign w:val="bottom"/>
            <w:tcBorders>
              <w:right w:val="single" w:sz="8" w:color="7F7F7F"/>
            </w:tcBorders>
          </w:tcPr>
          <w:p>
            <w:pPr>
              <w:spacing w:after="0"/>
              <w:rPr>
                <w:sz w:val="14"/>
                <w:szCs w:val="14"/>
                <w:color w:val="auto"/>
              </w:rPr>
            </w:pPr>
          </w:p>
        </w:tc>
        <w:tc>
          <w:tcPr>
            <w:tcW w:w="980" w:type="dxa"/>
            <w:vAlign w:val="bottom"/>
            <w:tcBorders>
              <w:right w:val="single" w:sz="8" w:color="7F7F7F"/>
            </w:tcBorders>
          </w:tcPr>
          <w:p>
            <w:pPr>
              <w:spacing w:after="0"/>
              <w:rPr>
                <w:sz w:val="14"/>
                <w:szCs w:val="14"/>
                <w:color w:val="auto"/>
              </w:rPr>
            </w:pPr>
          </w:p>
        </w:tc>
        <w:tc>
          <w:tcPr>
            <w:tcW w:w="1300" w:type="dxa"/>
            <w:vAlign w:val="bottom"/>
            <w:tcBorders>
              <w:right w:val="single" w:sz="8" w:color="7F7F7F"/>
            </w:tcBorders>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Borders>
              <w:right w:val="single" w:sz="8" w:color="7F7F7F"/>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440" w:type="dxa"/>
            <w:vAlign w:val="bottom"/>
            <w:tcBorders>
              <w:left w:val="single" w:sz="8" w:color="7F7F7F"/>
              <w:bottom w:val="single" w:sz="8" w:color="7F7F7F"/>
              <w:right w:val="single" w:sz="8" w:color="7F7F7F"/>
            </w:tcBorders>
          </w:tcPr>
          <w:p>
            <w:pPr>
              <w:spacing w:after="0"/>
              <w:rPr>
                <w:sz w:val="3"/>
                <w:szCs w:val="3"/>
                <w:color w:val="auto"/>
              </w:rPr>
            </w:pPr>
          </w:p>
        </w:tc>
        <w:tc>
          <w:tcPr>
            <w:tcW w:w="760" w:type="dxa"/>
            <w:vAlign w:val="bottom"/>
            <w:tcBorders>
              <w:bottom w:val="single" w:sz="8" w:color="7F7F7F"/>
              <w:right w:val="single" w:sz="8" w:color="7F7F7F"/>
            </w:tcBorders>
          </w:tcPr>
          <w:p>
            <w:pPr>
              <w:spacing w:after="0"/>
              <w:rPr>
                <w:sz w:val="3"/>
                <w:szCs w:val="3"/>
                <w:color w:val="auto"/>
              </w:rPr>
            </w:pPr>
          </w:p>
        </w:tc>
        <w:tc>
          <w:tcPr>
            <w:tcW w:w="1600" w:type="dxa"/>
            <w:vAlign w:val="bottom"/>
            <w:tcBorders>
              <w:bottom w:val="single" w:sz="8" w:color="7F7F7F"/>
              <w:right w:val="single" w:sz="8" w:color="7F7F7F"/>
            </w:tcBorders>
          </w:tcPr>
          <w:p>
            <w:pPr>
              <w:spacing w:after="0"/>
              <w:rPr>
                <w:sz w:val="3"/>
                <w:szCs w:val="3"/>
                <w:color w:val="auto"/>
              </w:rPr>
            </w:pPr>
          </w:p>
        </w:tc>
        <w:tc>
          <w:tcPr>
            <w:tcW w:w="1200" w:type="dxa"/>
            <w:vAlign w:val="bottom"/>
            <w:tcBorders>
              <w:bottom w:val="single" w:sz="8" w:color="7F7F7F"/>
              <w:right w:val="single" w:sz="8" w:color="7F7F7F"/>
            </w:tcBorders>
          </w:tcPr>
          <w:p>
            <w:pPr>
              <w:spacing w:after="0"/>
              <w:rPr>
                <w:sz w:val="3"/>
                <w:szCs w:val="3"/>
                <w:color w:val="auto"/>
              </w:rPr>
            </w:pPr>
          </w:p>
        </w:tc>
        <w:tc>
          <w:tcPr>
            <w:tcW w:w="2400" w:type="dxa"/>
            <w:vAlign w:val="bottom"/>
            <w:tcBorders>
              <w:bottom w:val="single" w:sz="8" w:color="7F7F7F"/>
            </w:tcBorders>
          </w:tcPr>
          <w:p>
            <w:pPr>
              <w:spacing w:after="0"/>
              <w:rPr>
                <w:sz w:val="3"/>
                <w:szCs w:val="3"/>
                <w:color w:val="auto"/>
              </w:rPr>
            </w:pPr>
          </w:p>
        </w:tc>
        <w:tc>
          <w:tcPr>
            <w:tcW w:w="60" w:type="dxa"/>
            <w:vAlign w:val="bottom"/>
            <w:tcBorders>
              <w:bottom w:val="single" w:sz="8" w:color="7F7F7F"/>
              <w:right w:val="single" w:sz="8" w:color="7F7F7F"/>
            </w:tcBorders>
          </w:tcPr>
          <w:p>
            <w:pPr>
              <w:spacing w:after="0"/>
              <w:rPr>
                <w:sz w:val="3"/>
                <w:szCs w:val="3"/>
                <w:color w:val="auto"/>
              </w:rPr>
            </w:pPr>
          </w:p>
        </w:tc>
        <w:tc>
          <w:tcPr>
            <w:tcW w:w="980" w:type="dxa"/>
            <w:vAlign w:val="bottom"/>
            <w:tcBorders>
              <w:bottom w:val="single" w:sz="8" w:color="7F7F7F"/>
              <w:right w:val="single" w:sz="8" w:color="7F7F7F"/>
            </w:tcBorders>
          </w:tcPr>
          <w:p>
            <w:pPr>
              <w:spacing w:after="0"/>
              <w:rPr>
                <w:sz w:val="3"/>
                <w:szCs w:val="3"/>
                <w:color w:val="auto"/>
              </w:rPr>
            </w:pPr>
          </w:p>
        </w:tc>
        <w:tc>
          <w:tcPr>
            <w:tcW w:w="1300" w:type="dxa"/>
            <w:vAlign w:val="bottom"/>
            <w:tcBorders>
              <w:bottom w:val="single" w:sz="8" w:color="7F7F7F"/>
              <w:right w:val="single" w:sz="8" w:color="7F7F7F"/>
            </w:tcBorders>
          </w:tcPr>
          <w:p>
            <w:pPr>
              <w:spacing w:after="0"/>
              <w:rPr>
                <w:sz w:val="3"/>
                <w:szCs w:val="3"/>
                <w:color w:val="auto"/>
              </w:rPr>
            </w:pPr>
          </w:p>
        </w:tc>
        <w:tc>
          <w:tcPr>
            <w:tcW w:w="680" w:type="dxa"/>
            <w:vAlign w:val="bottom"/>
            <w:tcBorders>
              <w:bottom w:val="single" w:sz="8" w:color="7F7F7F"/>
            </w:tcBorders>
          </w:tcPr>
          <w:p>
            <w:pPr>
              <w:spacing w:after="0"/>
              <w:rPr>
                <w:sz w:val="3"/>
                <w:szCs w:val="3"/>
                <w:color w:val="auto"/>
              </w:rPr>
            </w:pPr>
          </w:p>
        </w:tc>
        <w:tc>
          <w:tcPr>
            <w:tcW w:w="540" w:type="dxa"/>
            <w:vAlign w:val="bottom"/>
            <w:tcBorders>
              <w:bottom w:val="single" w:sz="8" w:color="7F7F7F"/>
              <w:right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1440" w:type="dxa"/>
            <w:vAlign w:val="bottom"/>
            <w:tcBorders>
              <w:left w:val="single" w:sz="8" w:color="7F7F7F"/>
              <w:right w:val="single" w:sz="8" w:color="7F7F7F"/>
            </w:tcBorders>
          </w:tcPr>
          <w:p>
            <w:pPr>
              <w:spacing w:after="0"/>
              <w:rPr>
                <w:sz w:val="18"/>
                <w:szCs w:val="18"/>
                <w:color w:val="auto"/>
              </w:rPr>
            </w:pPr>
          </w:p>
        </w:tc>
        <w:tc>
          <w:tcPr>
            <w:tcW w:w="760" w:type="dxa"/>
            <w:vAlign w:val="bottom"/>
            <w:tcBorders>
              <w:right w:val="single" w:sz="8" w:color="7F7F7F"/>
            </w:tcBorders>
          </w:tcPr>
          <w:p>
            <w:pPr>
              <w:spacing w:after="0"/>
              <w:rPr>
                <w:sz w:val="18"/>
                <w:szCs w:val="18"/>
                <w:color w:val="auto"/>
              </w:rPr>
            </w:pPr>
          </w:p>
        </w:tc>
        <w:tc>
          <w:tcPr>
            <w:tcW w:w="1600" w:type="dxa"/>
            <w:vAlign w:val="bottom"/>
            <w:tcBorders>
              <w:right w:val="single" w:sz="8" w:color="7F7F7F"/>
            </w:tcBorders>
          </w:tcPr>
          <w:p>
            <w:pPr>
              <w:ind w:left="40"/>
              <w:spacing w:after="0"/>
              <w:rPr>
                <w:sz w:val="20"/>
                <w:szCs w:val="20"/>
                <w:color w:val="auto"/>
              </w:rPr>
            </w:pPr>
            <w:r>
              <w:rPr>
                <w:rFonts w:ascii="Arial" w:cs="Arial" w:eastAsia="Arial" w:hAnsi="Arial"/>
                <w:sz w:val="13"/>
                <w:szCs w:val="13"/>
                <w:color w:val="auto"/>
              </w:rPr>
              <w:t>Greenhouse gas</w:t>
            </w:r>
          </w:p>
        </w:tc>
        <w:tc>
          <w:tcPr>
            <w:tcW w:w="1200" w:type="dxa"/>
            <w:vAlign w:val="bottom"/>
            <w:tcBorders>
              <w:right w:val="single" w:sz="8" w:color="7F7F7F"/>
            </w:tcBorders>
          </w:tcPr>
          <w:p>
            <w:pPr>
              <w:spacing w:after="0"/>
              <w:rPr>
                <w:sz w:val="18"/>
                <w:szCs w:val="18"/>
                <w:color w:val="auto"/>
              </w:rPr>
            </w:pPr>
          </w:p>
        </w:tc>
        <w:tc>
          <w:tcPr>
            <w:tcW w:w="2400" w:type="dxa"/>
            <w:vAlign w:val="bottom"/>
          </w:tcPr>
          <w:p>
            <w:pPr>
              <w:ind w:left="40"/>
              <w:spacing w:after="0"/>
              <w:rPr>
                <w:sz w:val="20"/>
                <w:szCs w:val="20"/>
                <w:color w:val="auto"/>
              </w:rPr>
            </w:pPr>
            <w:r>
              <w:rPr>
                <w:rFonts w:ascii="Arial" w:cs="Arial" w:eastAsia="Arial" w:hAnsi="Arial"/>
                <w:sz w:val="13"/>
                <w:szCs w:val="13"/>
                <w:color w:val="auto"/>
              </w:rPr>
              <w:t>Progress with identifying, funding, and</w:t>
            </w:r>
          </w:p>
        </w:tc>
        <w:tc>
          <w:tcPr>
            <w:tcW w:w="60" w:type="dxa"/>
            <w:vAlign w:val="bottom"/>
            <w:tcBorders>
              <w:right w:val="single" w:sz="8" w:color="7F7F7F"/>
            </w:tcBorders>
          </w:tcPr>
          <w:p>
            <w:pPr>
              <w:spacing w:after="0"/>
              <w:rPr>
                <w:sz w:val="18"/>
                <w:szCs w:val="18"/>
                <w:color w:val="auto"/>
              </w:rPr>
            </w:pPr>
          </w:p>
        </w:tc>
        <w:tc>
          <w:tcPr>
            <w:tcW w:w="980" w:type="dxa"/>
            <w:vAlign w:val="bottom"/>
            <w:tcBorders>
              <w:right w:val="single" w:sz="8" w:color="7F7F7F"/>
            </w:tcBorders>
          </w:tcPr>
          <w:p>
            <w:pPr>
              <w:spacing w:after="0"/>
              <w:rPr>
                <w:sz w:val="18"/>
                <w:szCs w:val="18"/>
                <w:color w:val="auto"/>
              </w:rPr>
            </w:pPr>
          </w:p>
        </w:tc>
        <w:tc>
          <w:tcPr>
            <w:tcW w:w="1300" w:type="dxa"/>
            <w:vAlign w:val="bottom"/>
            <w:tcBorders>
              <w:right w:val="single" w:sz="8" w:color="7F7F7F"/>
            </w:tcBorders>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Borders>
              <w:right w:val="single" w:sz="8" w:color="7F7F7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440" w:type="dxa"/>
            <w:vAlign w:val="bottom"/>
            <w:tcBorders>
              <w:left w:val="single" w:sz="8" w:color="7F7F7F"/>
              <w:right w:val="single" w:sz="8" w:color="7F7F7F"/>
            </w:tcBorders>
          </w:tcPr>
          <w:p>
            <w:pPr>
              <w:spacing w:after="0"/>
              <w:rPr>
                <w:sz w:val="15"/>
                <w:szCs w:val="15"/>
                <w:color w:val="auto"/>
              </w:rPr>
            </w:pPr>
          </w:p>
        </w:tc>
        <w:tc>
          <w:tcPr>
            <w:tcW w:w="760" w:type="dxa"/>
            <w:vAlign w:val="bottom"/>
            <w:tcBorders>
              <w:right w:val="single" w:sz="8" w:color="7F7F7F"/>
            </w:tcBorders>
          </w:tcPr>
          <w:p>
            <w:pPr>
              <w:spacing w:after="0"/>
              <w:rPr>
                <w:sz w:val="15"/>
                <w:szCs w:val="15"/>
                <w:color w:val="auto"/>
              </w:rPr>
            </w:pPr>
          </w:p>
        </w:tc>
        <w:tc>
          <w:tcPr>
            <w:tcW w:w="1600" w:type="dxa"/>
            <w:vAlign w:val="bottom"/>
            <w:tcBorders>
              <w:right w:val="single" w:sz="8" w:color="7F7F7F"/>
            </w:tcBorders>
          </w:tcPr>
          <w:p>
            <w:pPr>
              <w:ind w:left="40"/>
              <w:spacing w:after="0"/>
              <w:rPr>
                <w:sz w:val="20"/>
                <w:szCs w:val="20"/>
                <w:color w:val="auto"/>
              </w:rPr>
            </w:pPr>
            <w:r>
              <w:rPr>
                <w:rFonts w:ascii="Arial" w:cs="Arial" w:eastAsia="Arial" w:hAnsi="Arial"/>
                <w:sz w:val="13"/>
                <w:szCs w:val="13"/>
                <w:color w:val="auto"/>
              </w:rPr>
              <w:t>management</w:t>
            </w:r>
          </w:p>
        </w:tc>
        <w:tc>
          <w:tcPr>
            <w:tcW w:w="1200" w:type="dxa"/>
            <w:vAlign w:val="bottom"/>
            <w:tcBorders>
              <w:right w:val="single" w:sz="8" w:color="7F7F7F"/>
            </w:tcBorders>
            <w:vMerge w:val="restart"/>
          </w:tcPr>
          <w:p>
            <w:pPr>
              <w:jc w:val="center"/>
              <w:spacing w:after="0"/>
              <w:rPr>
                <w:sz w:val="20"/>
                <w:szCs w:val="20"/>
                <w:color w:val="auto"/>
              </w:rPr>
            </w:pPr>
            <w:r>
              <w:rPr>
                <w:rFonts w:ascii="Arial" w:cs="Arial" w:eastAsia="Arial" w:hAnsi="Arial"/>
                <w:sz w:val="13"/>
                <w:szCs w:val="13"/>
                <w:color w:val="auto"/>
                <w:w w:val="96"/>
              </w:rPr>
              <w:t>See “Energy</w:t>
            </w:r>
          </w:p>
        </w:tc>
        <w:tc>
          <w:tcPr>
            <w:tcW w:w="2400" w:type="dxa"/>
            <w:vAlign w:val="bottom"/>
          </w:tcPr>
          <w:p>
            <w:pPr>
              <w:ind w:left="40"/>
              <w:spacing w:after="0"/>
              <w:rPr>
                <w:sz w:val="20"/>
                <w:szCs w:val="20"/>
                <w:color w:val="auto"/>
              </w:rPr>
            </w:pPr>
            <w:r>
              <w:rPr>
                <w:rFonts w:ascii="Arial" w:cs="Arial" w:eastAsia="Arial" w:hAnsi="Arial"/>
                <w:sz w:val="13"/>
                <w:szCs w:val="13"/>
                <w:color w:val="auto"/>
              </w:rPr>
              <w:t>executing projects.</w:t>
            </w:r>
          </w:p>
        </w:tc>
        <w:tc>
          <w:tcPr>
            <w:tcW w:w="60" w:type="dxa"/>
            <w:vAlign w:val="bottom"/>
            <w:tcBorders>
              <w:right w:val="single" w:sz="8" w:color="7F7F7F"/>
            </w:tcBorders>
          </w:tcPr>
          <w:p>
            <w:pPr>
              <w:spacing w:after="0"/>
              <w:rPr>
                <w:sz w:val="15"/>
                <w:szCs w:val="15"/>
                <w:color w:val="auto"/>
              </w:rPr>
            </w:pPr>
          </w:p>
        </w:tc>
        <w:tc>
          <w:tcPr>
            <w:tcW w:w="980" w:type="dxa"/>
            <w:vAlign w:val="bottom"/>
            <w:tcBorders>
              <w:right w:val="single" w:sz="8" w:color="7F7F7F"/>
            </w:tcBorders>
          </w:tcPr>
          <w:p>
            <w:pPr>
              <w:spacing w:after="0"/>
              <w:rPr>
                <w:sz w:val="15"/>
                <w:szCs w:val="15"/>
                <w:color w:val="auto"/>
              </w:rPr>
            </w:pPr>
          </w:p>
        </w:tc>
        <w:tc>
          <w:tcPr>
            <w:tcW w:w="1300" w:type="dxa"/>
            <w:vAlign w:val="bottom"/>
            <w:tcBorders>
              <w:right w:val="single" w:sz="8" w:color="7F7F7F"/>
            </w:tcBorders>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Borders>
              <w:right w:val="single" w:sz="8" w:color="7F7F7F"/>
            </w:tcBorders>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1440" w:type="dxa"/>
            <w:vAlign w:val="bottom"/>
            <w:tcBorders>
              <w:left w:val="single" w:sz="8" w:color="7F7F7F"/>
              <w:right w:val="single" w:sz="8" w:color="7F7F7F"/>
            </w:tcBorders>
          </w:tcPr>
          <w:p>
            <w:pPr>
              <w:spacing w:after="0"/>
              <w:rPr>
                <w:sz w:val="4"/>
                <w:szCs w:val="4"/>
                <w:color w:val="auto"/>
              </w:rPr>
            </w:pPr>
          </w:p>
        </w:tc>
        <w:tc>
          <w:tcPr>
            <w:tcW w:w="760" w:type="dxa"/>
            <w:vAlign w:val="bottom"/>
            <w:tcBorders>
              <w:right w:val="single" w:sz="8" w:color="7F7F7F"/>
            </w:tcBorders>
          </w:tcPr>
          <w:p>
            <w:pPr>
              <w:spacing w:after="0"/>
              <w:rPr>
                <w:sz w:val="4"/>
                <w:szCs w:val="4"/>
                <w:color w:val="auto"/>
              </w:rPr>
            </w:pPr>
          </w:p>
        </w:tc>
        <w:tc>
          <w:tcPr>
            <w:tcW w:w="1600" w:type="dxa"/>
            <w:vAlign w:val="bottom"/>
            <w:tcBorders>
              <w:bottom w:val="single" w:sz="8" w:color="7F7F7F"/>
              <w:right w:val="single" w:sz="8" w:color="7F7F7F"/>
            </w:tcBorders>
          </w:tcPr>
          <w:p>
            <w:pPr>
              <w:spacing w:after="0"/>
              <w:rPr>
                <w:sz w:val="4"/>
                <w:szCs w:val="4"/>
                <w:color w:val="auto"/>
              </w:rPr>
            </w:pPr>
          </w:p>
        </w:tc>
        <w:tc>
          <w:tcPr>
            <w:tcW w:w="1200" w:type="dxa"/>
            <w:vAlign w:val="bottom"/>
            <w:tcBorders>
              <w:right w:val="single" w:sz="8" w:color="7F7F7F"/>
            </w:tcBorders>
            <w:vMerge w:val="continue"/>
          </w:tcPr>
          <w:p>
            <w:pPr>
              <w:spacing w:after="0"/>
              <w:rPr>
                <w:sz w:val="4"/>
                <w:szCs w:val="4"/>
                <w:color w:val="auto"/>
              </w:rPr>
            </w:pPr>
          </w:p>
        </w:tc>
        <w:tc>
          <w:tcPr>
            <w:tcW w:w="2400" w:type="dxa"/>
            <w:vAlign w:val="bottom"/>
            <w:tcBorders>
              <w:bottom w:val="single" w:sz="8" w:color="7F7F7F"/>
            </w:tcBorders>
          </w:tcPr>
          <w:p>
            <w:pPr>
              <w:spacing w:after="0"/>
              <w:rPr>
                <w:sz w:val="4"/>
                <w:szCs w:val="4"/>
                <w:color w:val="auto"/>
              </w:rPr>
            </w:pPr>
          </w:p>
        </w:tc>
        <w:tc>
          <w:tcPr>
            <w:tcW w:w="60" w:type="dxa"/>
            <w:vAlign w:val="bottom"/>
            <w:tcBorders>
              <w:bottom w:val="single" w:sz="8" w:color="7F7F7F"/>
              <w:right w:val="single" w:sz="8" w:color="7F7F7F"/>
            </w:tcBorders>
          </w:tcPr>
          <w:p>
            <w:pPr>
              <w:spacing w:after="0"/>
              <w:rPr>
                <w:sz w:val="4"/>
                <w:szCs w:val="4"/>
                <w:color w:val="auto"/>
              </w:rPr>
            </w:pPr>
          </w:p>
        </w:tc>
        <w:tc>
          <w:tcPr>
            <w:tcW w:w="980" w:type="dxa"/>
            <w:vAlign w:val="bottom"/>
            <w:tcBorders>
              <w:bottom w:val="single" w:sz="8" w:color="7F7F7F"/>
              <w:right w:val="single" w:sz="8" w:color="7F7F7F"/>
            </w:tcBorders>
          </w:tcPr>
          <w:p>
            <w:pPr>
              <w:spacing w:after="0"/>
              <w:rPr>
                <w:sz w:val="4"/>
                <w:szCs w:val="4"/>
                <w:color w:val="auto"/>
              </w:rPr>
            </w:pPr>
          </w:p>
        </w:tc>
        <w:tc>
          <w:tcPr>
            <w:tcW w:w="1300" w:type="dxa"/>
            <w:vAlign w:val="bottom"/>
            <w:tcBorders>
              <w:right w:val="single" w:sz="8" w:color="7F7F7F"/>
            </w:tcBorders>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Borders>
              <w:right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1440" w:type="dxa"/>
            <w:vAlign w:val="bottom"/>
            <w:tcBorders>
              <w:left w:val="single" w:sz="8" w:color="7F7F7F"/>
              <w:right w:val="single" w:sz="8" w:color="7F7F7F"/>
            </w:tcBorders>
          </w:tcPr>
          <w:p>
            <w:pPr>
              <w:spacing w:after="0"/>
              <w:rPr>
                <w:sz w:val="3"/>
                <w:szCs w:val="3"/>
                <w:color w:val="auto"/>
              </w:rPr>
            </w:pPr>
          </w:p>
        </w:tc>
        <w:tc>
          <w:tcPr>
            <w:tcW w:w="760" w:type="dxa"/>
            <w:vAlign w:val="bottom"/>
            <w:tcBorders>
              <w:right w:val="single" w:sz="8" w:color="7F7F7F"/>
            </w:tcBorders>
          </w:tcPr>
          <w:p>
            <w:pPr>
              <w:spacing w:after="0"/>
              <w:rPr>
                <w:sz w:val="3"/>
                <w:szCs w:val="3"/>
                <w:color w:val="auto"/>
              </w:rPr>
            </w:pPr>
          </w:p>
        </w:tc>
        <w:tc>
          <w:tcPr>
            <w:tcW w:w="1600" w:type="dxa"/>
            <w:vAlign w:val="bottom"/>
            <w:tcBorders>
              <w:right w:val="single" w:sz="8" w:color="7F7F7F"/>
            </w:tcBorders>
          </w:tcPr>
          <w:p>
            <w:pPr>
              <w:spacing w:after="0"/>
              <w:rPr>
                <w:sz w:val="3"/>
                <w:szCs w:val="3"/>
                <w:color w:val="auto"/>
              </w:rPr>
            </w:pPr>
          </w:p>
        </w:tc>
        <w:tc>
          <w:tcPr>
            <w:tcW w:w="1200" w:type="dxa"/>
            <w:vAlign w:val="bottom"/>
            <w:tcBorders>
              <w:right w:val="single" w:sz="8" w:color="7F7F7F"/>
            </w:tcBorders>
            <w:vMerge w:val="continue"/>
          </w:tcPr>
          <w:p>
            <w:pPr>
              <w:spacing w:after="0"/>
              <w:rPr>
                <w:sz w:val="3"/>
                <w:szCs w:val="3"/>
                <w:color w:val="auto"/>
              </w:rPr>
            </w:pPr>
          </w:p>
        </w:tc>
        <w:tc>
          <w:tcPr>
            <w:tcW w:w="2400" w:type="dxa"/>
            <w:vAlign w:val="bottom"/>
            <w:vMerge w:val="restart"/>
          </w:tcPr>
          <w:p>
            <w:pPr>
              <w:ind w:left="40"/>
              <w:spacing w:after="0" w:line="111" w:lineRule="exact"/>
              <w:rPr>
                <w:sz w:val="20"/>
                <w:szCs w:val="20"/>
                <w:color w:val="auto"/>
              </w:rPr>
            </w:pPr>
            <w:r>
              <w:rPr>
                <w:rFonts w:ascii="Arial" w:cs="Arial" w:eastAsia="Arial" w:hAnsi="Arial"/>
                <w:sz w:val="12"/>
                <w:szCs w:val="12"/>
                <w:color w:val="auto"/>
              </w:rPr>
              <w:t>Achieved milestones for renewable</w:t>
            </w:r>
          </w:p>
        </w:tc>
        <w:tc>
          <w:tcPr>
            <w:tcW w:w="60" w:type="dxa"/>
            <w:vAlign w:val="bottom"/>
            <w:tcBorders>
              <w:right w:val="single" w:sz="8" w:color="7F7F7F"/>
            </w:tcBorders>
          </w:tcPr>
          <w:p>
            <w:pPr>
              <w:spacing w:after="0"/>
              <w:rPr>
                <w:sz w:val="3"/>
                <w:szCs w:val="3"/>
                <w:color w:val="auto"/>
              </w:rPr>
            </w:pPr>
          </w:p>
        </w:tc>
        <w:tc>
          <w:tcPr>
            <w:tcW w:w="980" w:type="dxa"/>
            <w:vAlign w:val="bottom"/>
            <w:tcBorders>
              <w:right w:val="single" w:sz="8" w:color="7F7F7F"/>
            </w:tcBorders>
          </w:tcPr>
          <w:p>
            <w:pPr>
              <w:spacing w:after="0"/>
              <w:rPr>
                <w:sz w:val="3"/>
                <w:szCs w:val="3"/>
                <w:color w:val="auto"/>
              </w:rPr>
            </w:pPr>
          </w:p>
        </w:tc>
        <w:tc>
          <w:tcPr>
            <w:tcW w:w="1300" w:type="dxa"/>
            <w:vAlign w:val="bottom"/>
            <w:tcBorders>
              <w:right w:val="single" w:sz="8" w:color="7F7F7F"/>
            </w:tcBorders>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Borders>
              <w:right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1440" w:type="dxa"/>
            <w:vAlign w:val="bottom"/>
            <w:tcBorders>
              <w:left w:val="single" w:sz="8" w:color="7F7F7F"/>
              <w:right w:val="single" w:sz="8" w:color="7F7F7F"/>
            </w:tcBorders>
          </w:tcPr>
          <w:p>
            <w:pPr>
              <w:spacing w:after="0"/>
              <w:rPr>
                <w:sz w:val="5"/>
                <w:szCs w:val="5"/>
                <w:color w:val="auto"/>
              </w:rPr>
            </w:pPr>
          </w:p>
        </w:tc>
        <w:tc>
          <w:tcPr>
            <w:tcW w:w="760" w:type="dxa"/>
            <w:vAlign w:val="bottom"/>
            <w:tcBorders>
              <w:right w:val="single" w:sz="8" w:color="7F7F7F"/>
            </w:tcBorders>
          </w:tcPr>
          <w:p>
            <w:pPr>
              <w:spacing w:after="0"/>
              <w:rPr>
                <w:sz w:val="5"/>
                <w:szCs w:val="5"/>
                <w:color w:val="auto"/>
              </w:rPr>
            </w:pPr>
          </w:p>
        </w:tc>
        <w:tc>
          <w:tcPr>
            <w:tcW w:w="1600" w:type="dxa"/>
            <w:vAlign w:val="bottom"/>
            <w:tcBorders>
              <w:right w:val="single" w:sz="8" w:color="7F7F7F"/>
            </w:tcBorders>
            <w:vMerge w:val="restart"/>
          </w:tcPr>
          <w:p>
            <w:pPr>
              <w:ind w:left="40"/>
              <w:spacing w:after="0" w:line="135" w:lineRule="exact"/>
              <w:rPr>
                <w:sz w:val="20"/>
                <w:szCs w:val="20"/>
                <w:color w:val="auto"/>
              </w:rPr>
            </w:pPr>
            <w:r>
              <w:rPr>
                <w:rFonts w:ascii="Arial" w:cs="Arial" w:eastAsia="Arial" w:hAnsi="Arial"/>
                <w:sz w:val="13"/>
                <w:szCs w:val="13"/>
                <w:color w:val="auto"/>
              </w:rPr>
              <w:t>Renewable energy &amp;</w:t>
            </w:r>
          </w:p>
        </w:tc>
        <w:tc>
          <w:tcPr>
            <w:tcW w:w="1200" w:type="dxa"/>
            <w:vAlign w:val="bottom"/>
            <w:tcBorders>
              <w:right w:val="single" w:sz="8" w:color="7F7F7F"/>
            </w:tcBorders>
            <w:vMerge w:val="restart"/>
          </w:tcPr>
          <w:p>
            <w:pPr>
              <w:jc w:val="center"/>
              <w:spacing w:after="0" w:line="135" w:lineRule="exact"/>
              <w:rPr>
                <w:sz w:val="20"/>
                <w:szCs w:val="20"/>
                <w:color w:val="auto"/>
              </w:rPr>
            </w:pPr>
            <w:r>
              <w:rPr>
                <w:rFonts w:ascii="Arial" w:cs="Arial" w:eastAsia="Arial" w:hAnsi="Arial"/>
                <w:sz w:val="13"/>
                <w:szCs w:val="13"/>
                <w:color w:val="auto"/>
                <w:w w:val="97"/>
              </w:rPr>
              <w:t>Transition”</w:t>
            </w:r>
          </w:p>
        </w:tc>
        <w:tc>
          <w:tcPr>
            <w:tcW w:w="2400" w:type="dxa"/>
            <w:vAlign w:val="bottom"/>
            <w:vMerge w:val="continue"/>
          </w:tcPr>
          <w:p>
            <w:pPr>
              <w:spacing w:after="0"/>
              <w:rPr>
                <w:sz w:val="5"/>
                <w:szCs w:val="5"/>
                <w:color w:val="auto"/>
              </w:rPr>
            </w:pPr>
          </w:p>
        </w:tc>
        <w:tc>
          <w:tcPr>
            <w:tcW w:w="60" w:type="dxa"/>
            <w:vAlign w:val="bottom"/>
            <w:tcBorders>
              <w:right w:val="single" w:sz="8" w:color="7F7F7F"/>
            </w:tcBorders>
          </w:tcPr>
          <w:p>
            <w:pPr>
              <w:spacing w:after="0"/>
              <w:rPr>
                <w:sz w:val="5"/>
                <w:szCs w:val="5"/>
                <w:color w:val="auto"/>
              </w:rPr>
            </w:pPr>
          </w:p>
        </w:tc>
        <w:tc>
          <w:tcPr>
            <w:tcW w:w="980" w:type="dxa"/>
            <w:vAlign w:val="bottom"/>
            <w:tcBorders>
              <w:right w:val="single" w:sz="8" w:color="7F7F7F"/>
            </w:tcBorders>
          </w:tcPr>
          <w:p>
            <w:pPr>
              <w:spacing w:after="0"/>
              <w:rPr>
                <w:sz w:val="5"/>
                <w:szCs w:val="5"/>
                <w:color w:val="auto"/>
              </w:rPr>
            </w:pPr>
          </w:p>
        </w:tc>
        <w:tc>
          <w:tcPr>
            <w:tcW w:w="1300" w:type="dxa"/>
            <w:vAlign w:val="bottom"/>
            <w:tcBorders>
              <w:right w:val="single" w:sz="8" w:color="7F7F7F"/>
            </w:tcBorders>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Borders>
              <w:right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440" w:type="dxa"/>
            <w:vAlign w:val="bottom"/>
            <w:tcBorders>
              <w:left w:val="single" w:sz="8" w:color="7F7F7F"/>
              <w:right w:val="single" w:sz="8" w:color="7F7F7F"/>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9"/>
              </w:rPr>
              <w:t>Energy Transition</w:t>
            </w:r>
          </w:p>
        </w:tc>
        <w:tc>
          <w:tcPr>
            <w:tcW w:w="760" w:type="dxa"/>
            <w:vAlign w:val="bottom"/>
            <w:tcBorders>
              <w:right w:val="single" w:sz="8" w:color="7F7F7F"/>
            </w:tcBorders>
            <w:vMerge w:val="restart"/>
          </w:tcPr>
          <w:p>
            <w:pPr>
              <w:jc w:val="right"/>
              <w:ind w:right="177"/>
              <w:spacing w:after="0" w:line="135" w:lineRule="exact"/>
              <w:rPr>
                <w:sz w:val="20"/>
                <w:szCs w:val="20"/>
                <w:color w:val="auto"/>
              </w:rPr>
            </w:pPr>
            <w:r>
              <w:rPr>
                <w:rFonts w:ascii="Arial" w:cs="Arial" w:eastAsia="Arial" w:hAnsi="Arial"/>
                <w:sz w:val="13"/>
                <w:szCs w:val="13"/>
                <w:color w:val="auto"/>
              </w:rPr>
              <w:t>10%</w:t>
            </w:r>
          </w:p>
        </w:tc>
        <w:tc>
          <w:tcPr>
            <w:tcW w:w="1600" w:type="dxa"/>
            <w:vAlign w:val="bottom"/>
            <w:tcBorders>
              <w:right w:val="single" w:sz="8" w:color="7F7F7F"/>
            </w:tcBorders>
            <w:vMerge w:val="continue"/>
          </w:tcPr>
          <w:p>
            <w:pPr>
              <w:spacing w:after="0"/>
              <w:rPr>
                <w:sz w:val="5"/>
                <w:szCs w:val="5"/>
                <w:color w:val="auto"/>
              </w:rPr>
            </w:pPr>
          </w:p>
        </w:tc>
        <w:tc>
          <w:tcPr>
            <w:tcW w:w="1200" w:type="dxa"/>
            <w:vAlign w:val="bottom"/>
            <w:tcBorders>
              <w:right w:val="single" w:sz="8" w:color="7F7F7F"/>
            </w:tcBorders>
            <w:vMerge w:val="continue"/>
          </w:tcPr>
          <w:p>
            <w:pPr>
              <w:spacing w:after="0"/>
              <w:rPr>
                <w:sz w:val="5"/>
                <w:szCs w:val="5"/>
                <w:color w:val="auto"/>
              </w:rPr>
            </w:pPr>
          </w:p>
        </w:tc>
        <w:tc>
          <w:tcPr>
            <w:tcW w:w="2400" w:type="dxa"/>
            <w:vAlign w:val="bottom"/>
            <w:vMerge w:val="restart"/>
          </w:tcPr>
          <w:p>
            <w:pPr>
              <w:ind w:left="40"/>
              <w:spacing w:after="0" w:line="135" w:lineRule="exact"/>
              <w:rPr>
                <w:sz w:val="20"/>
                <w:szCs w:val="20"/>
                <w:color w:val="auto"/>
              </w:rPr>
            </w:pPr>
            <w:r>
              <w:rPr>
                <w:rFonts w:ascii="Arial" w:cs="Arial" w:eastAsia="Arial" w:hAnsi="Arial"/>
                <w:sz w:val="13"/>
                <w:szCs w:val="13"/>
                <w:color w:val="auto"/>
              </w:rPr>
              <w:t>feedstocks, renewable natural gas, and</w:t>
            </w:r>
          </w:p>
        </w:tc>
        <w:tc>
          <w:tcPr>
            <w:tcW w:w="60" w:type="dxa"/>
            <w:vAlign w:val="bottom"/>
            <w:tcBorders>
              <w:right w:val="single" w:sz="8" w:color="7F7F7F"/>
            </w:tcBorders>
          </w:tcPr>
          <w:p>
            <w:pPr>
              <w:spacing w:after="0"/>
              <w:rPr>
                <w:sz w:val="5"/>
                <w:szCs w:val="5"/>
                <w:color w:val="auto"/>
              </w:rPr>
            </w:pPr>
          </w:p>
        </w:tc>
        <w:tc>
          <w:tcPr>
            <w:tcW w:w="980" w:type="dxa"/>
            <w:vAlign w:val="bottom"/>
            <w:tcBorders>
              <w:right w:val="single" w:sz="8" w:color="7F7F7F"/>
            </w:tcBorders>
          </w:tcPr>
          <w:p>
            <w:pPr>
              <w:spacing w:after="0"/>
              <w:rPr>
                <w:sz w:val="5"/>
                <w:szCs w:val="5"/>
                <w:color w:val="auto"/>
              </w:rPr>
            </w:pPr>
          </w:p>
        </w:tc>
        <w:tc>
          <w:tcPr>
            <w:tcW w:w="1300" w:type="dxa"/>
            <w:vAlign w:val="bottom"/>
            <w:tcBorders>
              <w:right w:val="single" w:sz="8" w:color="7F7F7F"/>
            </w:tcBorders>
            <w:vMerge w:val="restart"/>
          </w:tcPr>
          <w:p>
            <w:pPr>
              <w:jc w:val="right"/>
              <w:ind w:right="257"/>
              <w:spacing w:after="0" w:line="135" w:lineRule="exact"/>
              <w:rPr>
                <w:sz w:val="20"/>
                <w:szCs w:val="20"/>
                <w:color w:val="auto"/>
              </w:rPr>
            </w:pPr>
            <w:r>
              <w:rPr>
                <w:rFonts w:ascii="Arial" w:cs="Arial" w:eastAsia="Arial" w:hAnsi="Arial"/>
                <w:sz w:val="13"/>
                <w:szCs w:val="13"/>
                <w:b w:val="1"/>
                <w:bCs w:val="1"/>
                <w:color w:val="auto"/>
              </w:rPr>
              <w:t>0.95 - 1.05</w:t>
            </w:r>
          </w:p>
        </w:tc>
        <w:tc>
          <w:tcPr>
            <w:tcW w:w="1220" w:type="dxa"/>
            <w:vAlign w:val="bottom"/>
            <w:tcBorders>
              <w:right w:val="single" w:sz="8" w:color="7F7F7F"/>
            </w:tcBorders>
            <w:gridSpan w:val="2"/>
            <w:vMerge w:val="restart"/>
          </w:tcPr>
          <w:p>
            <w:pPr>
              <w:jc w:val="right"/>
              <w:ind w:right="217"/>
              <w:spacing w:after="0" w:line="135" w:lineRule="exact"/>
              <w:rPr>
                <w:sz w:val="20"/>
                <w:szCs w:val="20"/>
                <w:color w:val="auto"/>
              </w:rPr>
            </w:pPr>
            <w:r>
              <w:rPr>
                <w:rFonts w:ascii="Arial" w:cs="Arial" w:eastAsia="Arial" w:hAnsi="Arial"/>
                <w:sz w:val="13"/>
                <w:szCs w:val="13"/>
                <w:b w:val="1"/>
                <w:bCs w:val="1"/>
                <w:color w:val="auto"/>
              </w:rPr>
              <w:t>0.10 - 0.11</w:t>
            </w:r>
          </w:p>
        </w:tc>
        <w:tc>
          <w:tcPr>
            <w:tcW w:w="0" w:type="dxa"/>
            <w:vAlign w:val="bottom"/>
          </w:tcPr>
          <w:p>
            <w:pPr>
              <w:spacing w:after="0"/>
              <w:rPr>
                <w:sz w:val="1"/>
                <w:szCs w:val="1"/>
                <w:color w:val="auto"/>
              </w:rPr>
            </w:pPr>
          </w:p>
        </w:tc>
      </w:tr>
      <w:tr>
        <w:trPr>
          <w:trHeight w:val="68"/>
        </w:trPr>
        <w:tc>
          <w:tcPr>
            <w:tcW w:w="1440" w:type="dxa"/>
            <w:vAlign w:val="bottom"/>
            <w:tcBorders>
              <w:left w:val="single" w:sz="8" w:color="7F7F7F"/>
              <w:right w:val="single" w:sz="8" w:color="7F7F7F"/>
            </w:tcBorders>
            <w:vMerge w:val="continue"/>
          </w:tcPr>
          <w:p>
            <w:pPr>
              <w:spacing w:after="0"/>
              <w:rPr>
                <w:sz w:val="5"/>
                <w:szCs w:val="5"/>
                <w:color w:val="auto"/>
              </w:rPr>
            </w:pPr>
          </w:p>
        </w:tc>
        <w:tc>
          <w:tcPr>
            <w:tcW w:w="760" w:type="dxa"/>
            <w:vAlign w:val="bottom"/>
            <w:tcBorders>
              <w:right w:val="single" w:sz="8" w:color="7F7F7F"/>
            </w:tcBorders>
            <w:vMerge w:val="continue"/>
          </w:tcPr>
          <w:p>
            <w:pPr>
              <w:spacing w:after="0"/>
              <w:rPr>
                <w:sz w:val="5"/>
                <w:szCs w:val="5"/>
                <w:color w:val="auto"/>
              </w:rPr>
            </w:pPr>
          </w:p>
        </w:tc>
        <w:tc>
          <w:tcPr>
            <w:tcW w:w="1600" w:type="dxa"/>
            <w:vAlign w:val="bottom"/>
            <w:tcBorders>
              <w:right w:val="single" w:sz="8" w:color="7F7F7F"/>
            </w:tcBorders>
            <w:vMerge w:val="restart"/>
          </w:tcPr>
          <w:p>
            <w:pPr>
              <w:ind w:left="40"/>
              <w:spacing w:after="0" w:line="135" w:lineRule="exact"/>
              <w:rPr>
                <w:sz w:val="20"/>
                <w:szCs w:val="20"/>
                <w:color w:val="auto"/>
              </w:rPr>
            </w:pPr>
            <w:r>
              <w:rPr>
                <w:rFonts w:ascii="Arial" w:cs="Arial" w:eastAsia="Arial" w:hAnsi="Arial"/>
                <w:sz w:val="13"/>
                <w:szCs w:val="13"/>
                <w:color w:val="auto"/>
              </w:rPr>
              <w:t>carbon offsets</w:t>
            </w:r>
          </w:p>
        </w:tc>
        <w:tc>
          <w:tcPr>
            <w:tcW w:w="1200" w:type="dxa"/>
            <w:vAlign w:val="bottom"/>
            <w:tcBorders>
              <w:right w:val="single" w:sz="8" w:color="7F7F7F"/>
            </w:tcBorders>
            <w:vMerge w:val="restart"/>
          </w:tcPr>
          <w:p>
            <w:pPr>
              <w:jc w:val="center"/>
              <w:spacing w:after="0" w:line="135" w:lineRule="exact"/>
              <w:rPr>
                <w:sz w:val="20"/>
                <w:szCs w:val="20"/>
                <w:color w:val="auto"/>
              </w:rPr>
            </w:pPr>
            <w:r>
              <w:rPr>
                <w:rFonts w:ascii="Arial" w:cs="Arial" w:eastAsia="Arial" w:hAnsi="Arial"/>
                <w:sz w:val="13"/>
                <w:szCs w:val="13"/>
                <w:color w:val="auto"/>
                <w:w w:val="97"/>
              </w:rPr>
              <w:t>milestones on</w:t>
            </w:r>
          </w:p>
        </w:tc>
        <w:tc>
          <w:tcPr>
            <w:tcW w:w="2400" w:type="dxa"/>
            <w:vAlign w:val="bottom"/>
            <w:vMerge w:val="continue"/>
          </w:tcPr>
          <w:p>
            <w:pPr>
              <w:spacing w:after="0"/>
              <w:rPr>
                <w:sz w:val="5"/>
                <w:szCs w:val="5"/>
                <w:color w:val="auto"/>
              </w:rPr>
            </w:pPr>
          </w:p>
        </w:tc>
        <w:tc>
          <w:tcPr>
            <w:tcW w:w="60" w:type="dxa"/>
            <w:vAlign w:val="bottom"/>
            <w:tcBorders>
              <w:right w:val="single" w:sz="8" w:color="7F7F7F"/>
            </w:tcBorders>
          </w:tcPr>
          <w:p>
            <w:pPr>
              <w:spacing w:after="0"/>
              <w:rPr>
                <w:sz w:val="5"/>
                <w:szCs w:val="5"/>
                <w:color w:val="auto"/>
              </w:rPr>
            </w:pPr>
          </w:p>
        </w:tc>
        <w:tc>
          <w:tcPr>
            <w:tcW w:w="980" w:type="dxa"/>
            <w:vAlign w:val="bottom"/>
            <w:tcBorders>
              <w:right w:val="single" w:sz="8" w:color="7F7F7F"/>
            </w:tcBorders>
          </w:tcPr>
          <w:p>
            <w:pPr>
              <w:spacing w:after="0"/>
              <w:rPr>
                <w:sz w:val="5"/>
                <w:szCs w:val="5"/>
                <w:color w:val="auto"/>
              </w:rPr>
            </w:pPr>
          </w:p>
        </w:tc>
        <w:tc>
          <w:tcPr>
            <w:tcW w:w="1300" w:type="dxa"/>
            <w:vAlign w:val="bottom"/>
            <w:tcBorders>
              <w:right w:val="single" w:sz="8" w:color="7F7F7F"/>
            </w:tcBorders>
            <w:vMerge w:val="continue"/>
          </w:tcPr>
          <w:p>
            <w:pPr>
              <w:spacing w:after="0"/>
              <w:rPr>
                <w:sz w:val="5"/>
                <w:szCs w:val="5"/>
                <w:color w:val="auto"/>
              </w:rPr>
            </w:pPr>
          </w:p>
        </w:tc>
        <w:tc>
          <w:tcPr>
            <w:tcW w:w="1220" w:type="dxa"/>
            <w:vAlign w:val="bottom"/>
            <w:tcBorders>
              <w:right w:val="single" w:sz="8" w:color="7F7F7F"/>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440" w:type="dxa"/>
            <w:vAlign w:val="bottom"/>
            <w:tcBorders>
              <w:left w:val="single" w:sz="8" w:color="7F7F7F"/>
              <w:right w:val="single" w:sz="8" w:color="7F7F7F"/>
            </w:tcBorders>
          </w:tcPr>
          <w:p>
            <w:pPr>
              <w:spacing w:after="0"/>
              <w:rPr>
                <w:sz w:val="5"/>
                <w:szCs w:val="5"/>
                <w:color w:val="auto"/>
              </w:rPr>
            </w:pPr>
          </w:p>
        </w:tc>
        <w:tc>
          <w:tcPr>
            <w:tcW w:w="760" w:type="dxa"/>
            <w:vAlign w:val="bottom"/>
            <w:tcBorders>
              <w:right w:val="single" w:sz="8" w:color="7F7F7F"/>
            </w:tcBorders>
          </w:tcPr>
          <w:p>
            <w:pPr>
              <w:spacing w:after="0"/>
              <w:rPr>
                <w:sz w:val="5"/>
                <w:szCs w:val="5"/>
                <w:color w:val="auto"/>
              </w:rPr>
            </w:pPr>
          </w:p>
        </w:tc>
        <w:tc>
          <w:tcPr>
            <w:tcW w:w="1600" w:type="dxa"/>
            <w:vAlign w:val="bottom"/>
            <w:tcBorders>
              <w:right w:val="single" w:sz="8" w:color="7F7F7F"/>
            </w:tcBorders>
            <w:vMerge w:val="continue"/>
          </w:tcPr>
          <w:p>
            <w:pPr>
              <w:spacing w:after="0"/>
              <w:rPr>
                <w:sz w:val="5"/>
                <w:szCs w:val="5"/>
                <w:color w:val="auto"/>
              </w:rPr>
            </w:pPr>
          </w:p>
        </w:tc>
        <w:tc>
          <w:tcPr>
            <w:tcW w:w="1200" w:type="dxa"/>
            <w:vAlign w:val="bottom"/>
            <w:tcBorders>
              <w:right w:val="single" w:sz="8" w:color="7F7F7F"/>
            </w:tcBorders>
            <w:vMerge w:val="continue"/>
          </w:tcPr>
          <w:p>
            <w:pPr>
              <w:spacing w:after="0"/>
              <w:rPr>
                <w:sz w:val="5"/>
                <w:szCs w:val="5"/>
                <w:color w:val="auto"/>
              </w:rPr>
            </w:pPr>
          </w:p>
        </w:tc>
        <w:tc>
          <w:tcPr>
            <w:tcW w:w="2400" w:type="dxa"/>
            <w:vAlign w:val="bottom"/>
            <w:vMerge w:val="restart"/>
          </w:tcPr>
          <w:p>
            <w:pPr>
              <w:ind w:left="40"/>
              <w:spacing w:after="0"/>
              <w:rPr>
                <w:sz w:val="20"/>
                <w:szCs w:val="20"/>
                <w:color w:val="auto"/>
              </w:rPr>
            </w:pPr>
            <w:r>
              <w:rPr>
                <w:rFonts w:ascii="Arial" w:cs="Arial" w:eastAsia="Arial" w:hAnsi="Arial"/>
                <w:sz w:val="13"/>
                <w:szCs w:val="13"/>
                <w:color w:val="auto"/>
              </w:rPr>
              <w:t>renewable power projects.</w:t>
            </w:r>
          </w:p>
        </w:tc>
        <w:tc>
          <w:tcPr>
            <w:tcW w:w="60" w:type="dxa"/>
            <w:vAlign w:val="bottom"/>
            <w:tcBorders>
              <w:right w:val="single" w:sz="8" w:color="7F7F7F"/>
            </w:tcBorders>
          </w:tcPr>
          <w:p>
            <w:pPr>
              <w:spacing w:after="0"/>
              <w:rPr>
                <w:sz w:val="5"/>
                <w:szCs w:val="5"/>
                <w:color w:val="auto"/>
              </w:rPr>
            </w:pPr>
          </w:p>
        </w:tc>
        <w:tc>
          <w:tcPr>
            <w:tcW w:w="980" w:type="dxa"/>
            <w:vAlign w:val="bottom"/>
            <w:tcBorders>
              <w:right w:val="single" w:sz="8" w:color="7F7F7F"/>
            </w:tcBorders>
          </w:tcPr>
          <w:p>
            <w:pPr>
              <w:spacing w:after="0"/>
              <w:rPr>
                <w:sz w:val="5"/>
                <w:szCs w:val="5"/>
                <w:color w:val="auto"/>
              </w:rPr>
            </w:pPr>
          </w:p>
        </w:tc>
        <w:tc>
          <w:tcPr>
            <w:tcW w:w="1300" w:type="dxa"/>
            <w:vAlign w:val="bottom"/>
            <w:tcBorders>
              <w:right w:val="single" w:sz="8" w:color="7F7F7F"/>
            </w:tcBorders>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Borders>
              <w:right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440" w:type="dxa"/>
            <w:vAlign w:val="bottom"/>
            <w:tcBorders>
              <w:left w:val="single" w:sz="8" w:color="7F7F7F"/>
              <w:right w:val="single" w:sz="8" w:color="7F7F7F"/>
            </w:tcBorders>
          </w:tcPr>
          <w:p>
            <w:pPr>
              <w:spacing w:after="0"/>
              <w:rPr>
                <w:sz w:val="8"/>
                <w:szCs w:val="8"/>
                <w:color w:val="auto"/>
              </w:rPr>
            </w:pPr>
          </w:p>
        </w:tc>
        <w:tc>
          <w:tcPr>
            <w:tcW w:w="760" w:type="dxa"/>
            <w:vAlign w:val="bottom"/>
            <w:tcBorders>
              <w:right w:val="single" w:sz="8" w:color="7F7F7F"/>
            </w:tcBorders>
          </w:tcPr>
          <w:p>
            <w:pPr>
              <w:spacing w:after="0"/>
              <w:rPr>
                <w:sz w:val="8"/>
                <w:szCs w:val="8"/>
                <w:color w:val="auto"/>
              </w:rPr>
            </w:pPr>
          </w:p>
        </w:tc>
        <w:tc>
          <w:tcPr>
            <w:tcW w:w="1600" w:type="dxa"/>
            <w:vAlign w:val="bottom"/>
            <w:tcBorders>
              <w:right w:val="single" w:sz="8" w:color="7F7F7F"/>
            </w:tcBorders>
          </w:tcPr>
          <w:p>
            <w:pPr>
              <w:spacing w:after="0"/>
              <w:rPr>
                <w:sz w:val="8"/>
                <w:szCs w:val="8"/>
                <w:color w:val="auto"/>
              </w:rPr>
            </w:pPr>
          </w:p>
        </w:tc>
        <w:tc>
          <w:tcPr>
            <w:tcW w:w="1200" w:type="dxa"/>
            <w:vAlign w:val="bottom"/>
            <w:tcBorders>
              <w:right w:val="single" w:sz="8" w:color="7F7F7F"/>
            </w:tcBorders>
            <w:vMerge w:val="restart"/>
          </w:tcPr>
          <w:p>
            <w:pPr>
              <w:jc w:val="center"/>
              <w:spacing w:after="0"/>
              <w:rPr>
                <w:sz w:val="20"/>
                <w:szCs w:val="20"/>
                <w:color w:val="auto"/>
              </w:rPr>
            </w:pPr>
            <w:r>
              <w:rPr>
                <w:rFonts w:ascii="Arial" w:cs="Arial" w:eastAsia="Arial" w:hAnsi="Arial"/>
                <w:sz w:val="13"/>
                <w:szCs w:val="13"/>
                <w:color w:val="auto"/>
                <w:w w:val="97"/>
              </w:rPr>
              <w:t>page 53</w:t>
            </w:r>
          </w:p>
        </w:tc>
        <w:tc>
          <w:tcPr>
            <w:tcW w:w="2400" w:type="dxa"/>
            <w:vAlign w:val="bottom"/>
            <w:vMerge w:val="continue"/>
          </w:tcPr>
          <w:p>
            <w:pPr>
              <w:spacing w:after="0"/>
              <w:rPr>
                <w:sz w:val="8"/>
                <w:szCs w:val="8"/>
                <w:color w:val="auto"/>
              </w:rPr>
            </w:pPr>
          </w:p>
        </w:tc>
        <w:tc>
          <w:tcPr>
            <w:tcW w:w="60" w:type="dxa"/>
            <w:vAlign w:val="bottom"/>
            <w:tcBorders>
              <w:right w:val="single" w:sz="8" w:color="7F7F7F"/>
            </w:tcBorders>
          </w:tcPr>
          <w:p>
            <w:pPr>
              <w:spacing w:after="0"/>
              <w:rPr>
                <w:sz w:val="8"/>
                <w:szCs w:val="8"/>
                <w:color w:val="auto"/>
              </w:rPr>
            </w:pPr>
          </w:p>
        </w:tc>
        <w:tc>
          <w:tcPr>
            <w:tcW w:w="980" w:type="dxa"/>
            <w:vAlign w:val="bottom"/>
            <w:tcBorders>
              <w:right w:val="single" w:sz="8" w:color="7F7F7F"/>
            </w:tcBorders>
          </w:tcPr>
          <w:p>
            <w:pPr>
              <w:spacing w:after="0"/>
              <w:rPr>
                <w:sz w:val="8"/>
                <w:szCs w:val="8"/>
                <w:color w:val="auto"/>
              </w:rPr>
            </w:pPr>
          </w:p>
        </w:tc>
        <w:tc>
          <w:tcPr>
            <w:tcW w:w="1300" w:type="dxa"/>
            <w:vAlign w:val="bottom"/>
            <w:tcBorders>
              <w:right w:val="single" w:sz="8" w:color="7F7F7F"/>
            </w:tcBorders>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Borders>
              <w:right w:val="single" w:sz="8" w:color="7F7F7F"/>
            </w:tcBorders>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7F7F7F"/>
              <w:right w:val="single" w:sz="8" w:color="7F7F7F"/>
            </w:tcBorders>
          </w:tcPr>
          <w:p>
            <w:pPr>
              <w:spacing w:after="0"/>
              <w:rPr>
                <w:sz w:val="4"/>
                <w:szCs w:val="4"/>
                <w:color w:val="auto"/>
              </w:rPr>
            </w:pPr>
          </w:p>
        </w:tc>
        <w:tc>
          <w:tcPr>
            <w:tcW w:w="760" w:type="dxa"/>
            <w:vAlign w:val="bottom"/>
            <w:tcBorders>
              <w:right w:val="single" w:sz="8" w:color="7F7F7F"/>
            </w:tcBorders>
          </w:tcPr>
          <w:p>
            <w:pPr>
              <w:spacing w:after="0"/>
              <w:rPr>
                <w:sz w:val="4"/>
                <w:szCs w:val="4"/>
                <w:color w:val="auto"/>
              </w:rPr>
            </w:pPr>
          </w:p>
        </w:tc>
        <w:tc>
          <w:tcPr>
            <w:tcW w:w="1600" w:type="dxa"/>
            <w:vAlign w:val="bottom"/>
            <w:tcBorders>
              <w:bottom w:val="single" w:sz="8" w:color="7F7F7F"/>
              <w:right w:val="single" w:sz="8" w:color="7F7F7F"/>
            </w:tcBorders>
          </w:tcPr>
          <w:p>
            <w:pPr>
              <w:spacing w:after="0"/>
              <w:rPr>
                <w:sz w:val="4"/>
                <w:szCs w:val="4"/>
                <w:color w:val="auto"/>
              </w:rPr>
            </w:pPr>
          </w:p>
        </w:tc>
        <w:tc>
          <w:tcPr>
            <w:tcW w:w="1200" w:type="dxa"/>
            <w:vAlign w:val="bottom"/>
            <w:tcBorders>
              <w:right w:val="single" w:sz="8" w:color="7F7F7F"/>
            </w:tcBorders>
            <w:vMerge w:val="continue"/>
          </w:tcPr>
          <w:p>
            <w:pPr>
              <w:spacing w:after="0"/>
              <w:rPr>
                <w:sz w:val="4"/>
                <w:szCs w:val="4"/>
                <w:color w:val="auto"/>
              </w:rPr>
            </w:pPr>
          </w:p>
        </w:tc>
        <w:tc>
          <w:tcPr>
            <w:tcW w:w="2400" w:type="dxa"/>
            <w:vAlign w:val="bottom"/>
            <w:tcBorders>
              <w:bottom w:val="single" w:sz="8" w:color="7F7F7F"/>
            </w:tcBorders>
          </w:tcPr>
          <w:p>
            <w:pPr>
              <w:spacing w:after="0"/>
              <w:rPr>
                <w:sz w:val="4"/>
                <w:szCs w:val="4"/>
                <w:color w:val="auto"/>
              </w:rPr>
            </w:pPr>
          </w:p>
        </w:tc>
        <w:tc>
          <w:tcPr>
            <w:tcW w:w="60" w:type="dxa"/>
            <w:vAlign w:val="bottom"/>
            <w:tcBorders>
              <w:bottom w:val="single" w:sz="8" w:color="7F7F7F"/>
              <w:right w:val="single" w:sz="8" w:color="7F7F7F"/>
            </w:tcBorders>
          </w:tcPr>
          <w:p>
            <w:pPr>
              <w:spacing w:after="0"/>
              <w:rPr>
                <w:sz w:val="4"/>
                <w:szCs w:val="4"/>
                <w:color w:val="auto"/>
              </w:rPr>
            </w:pPr>
          </w:p>
        </w:tc>
        <w:tc>
          <w:tcPr>
            <w:tcW w:w="980" w:type="dxa"/>
            <w:vAlign w:val="bottom"/>
            <w:tcBorders>
              <w:bottom w:val="single" w:sz="8" w:color="7F7F7F"/>
              <w:right w:val="single" w:sz="8" w:color="7F7F7F"/>
            </w:tcBorders>
          </w:tcPr>
          <w:p>
            <w:pPr>
              <w:spacing w:after="0"/>
              <w:rPr>
                <w:sz w:val="4"/>
                <w:szCs w:val="4"/>
                <w:color w:val="auto"/>
              </w:rPr>
            </w:pPr>
          </w:p>
        </w:tc>
        <w:tc>
          <w:tcPr>
            <w:tcW w:w="1300" w:type="dxa"/>
            <w:vAlign w:val="bottom"/>
            <w:tcBorders>
              <w:right w:val="single" w:sz="8" w:color="7F7F7F"/>
            </w:tcBorders>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Borders>
              <w:right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440" w:type="dxa"/>
            <w:vAlign w:val="bottom"/>
            <w:tcBorders>
              <w:left w:val="single" w:sz="8" w:color="7F7F7F"/>
              <w:right w:val="single" w:sz="8" w:color="7F7F7F"/>
            </w:tcBorders>
          </w:tcPr>
          <w:p>
            <w:pPr>
              <w:spacing w:after="0"/>
              <w:rPr>
                <w:sz w:val="17"/>
                <w:szCs w:val="17"/>
                <w:color w:val="auto"/>
              </w:rPr>
            </w:pPr>
          </w:p>
        </w:tc>
        <w:tc>
          <w:tcPr>
            <w:tcW w:w="760" w:type="dxa"/>
            <w:vAlign w:val="bottom"/>
            <w:tcBorders>
              <w:right w:val="single" w:sz="8" w:color="7F7F7F"/>
            </w:tcBorders>
          </w:tcPr>
          <w:p>
            <w:pPr>
              <w:spacing w:after="0"/>
              <w:rPr>
                <w:sz w:val="17"/>
                <w:szCs w:val="17"/>
                <w:color w:val="auto"/>
              </w:rPr>
            </w:pPr>
          </w:p>
        </w:tc>
        <w:tc>
          <w:tcPr>
            <w:tcW w:w="1600" w:type="dxa"/>
            <w:vAlign w:val="bottom"/>
            <w:tcBorders>
              <w:right w:val="single" w:sz="8" w:color="7F7F7F"/>
            </w:tcBorders>
          </w:tcPr>
          <w:p>
            <w:pPr>
              <w:ind w:left="40"/>
              <w:spacing w:after="0"/>
              <w:rPr>
                <w:sz w:val="20"/>
                <w:szCs w:val="20"/>
                <w:color w:val="auto"/>
              </w:rPr>
            </w:pPr>
            <w:r>
              <w:rPr>
                <w:rFonts w:ascii="Arial" w:cs="Arial" w:eastAsia="Arial" w:hAnsi="Arial"/>
                <w:sz w:val="13"/>
                <w:szCs w:val="13"/>
                <w:color w:val="auto"/>
              </w:rPr>
              <w:t>Low-Carbon technologies</w:t>
            </w:r>
          </w:p>
        </w:tc>
        <w:tc>
          <w:tcPr>
            <w:tcW w:w="1200" w:type="dxa"/>
            <w:vAlign w:val="bottom"/>
            <w:tcBorders>
              <w:right w:val="single" w:sz="8" w:color="7F7F7F"/>
            </w:tcBorders>
          </w:tcPr>
          <w:p>
            <w:pPr>
              <w:spacing w:after="0"/>
              <w:rPr>
                <w:sz w:val="17"/>
                <w:szCs w:val="17"/>
                <w:color w:val="auto"/>
              </w:rPr>
            </w:pPr>
          </w:p>
        </w:tc>
        <w:tc>
          <w:tcPr>
            <w:tcW w:w="2400" w:type="dxa"/>
            <w:vAlign w:val="bottom"/>
          </w:tcPr>
          <w:p>
            <w:pPr>
              <w:ind w:left="40"/>
              <w:spacing w:after="0"/>
              <w:rPr>
                <w:sz w:val="20"/>
                <w:szCs w:val="20"/>
                <w:color w:val="auto"/>
              </w:rPr>
            </w:pPr>
            <w:r>
              <w:rPr>
                <w:rFonts w:ascii="Arial" w:cs="Arial" w:eastAsia="Arial" w:hAnsi="Arial"/>
                <w:sz w:val="13"/>
                <w:szCs w:val="13"/>
                <w:color w:val="auto"/>
              </w:rPr>
              <w:t>In line with Plan for MOUs and venture</w:t>
            </w:r>
          </w:p>
        </w:tc>
        <w:tc>
          <w:tcPr>
            <w:tcW w:w="60" w:type="dxa"/>
            <w:vAlign w:val="bottom"/>
            <w:tcBorders>
              <w:right w:val="single" w:sz="8" w:color="7F7F7F"/>
            </w:tcBorders>
          </w:tcPr>
          <w:p>
            <w:pPr>
              <w:spacing w:after="0"/>
              <w:rPr>
                <w:sz w:val="17"/>
                <w:szCs w:val="17"/>
                <w:color w:val="auto"/>
              </w:rPr>
            </w:pPr>
          </w:p>
        </w:tc>
        <w:tc>
          <w:tcPr>
            <w:tcW w:w="980" w:type="dxa"/>
            <w:vAlign w:val="bottom"/>
            <w:tcBorders>
              <w:right w:val="single" w:sz="8" w:color="7F7F7F"/>
            </w:tcBorders>
          </w:tcPr>
          <w:p>
            <w:pPr>
              <w:spacing w:after="0"/>
              <w:rPr>
                <w:sz w:val="17"/>
                <w:szCs w:val="17"/>
                <w:color w:val="auto"/>
              </w:rPr>
            </w:pPr>
          </w:p>
        </w:tc>
        <w:tc>
          <w:tcPr>
            <w:tcW w:w="1300" w:type="dxa"/>
            <w:vAlign w:val="bottom"/>
            <w:tcBorders>
              <w:right w:val="single" w:sz="8" w:color="7F7F7F"/>
            </w:tcBorders>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Borders>
              <w:right w:val="single" w:sz="8" w:color="7F7F7F"/>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440" w:type="dxa"/>
            <w:vAlign w:val="bottom"/>
            <w:tcBorders>
              <w:left w:val="single" w:sz="8" w:color="7F7F7F"/>
              <w:right w:val="single" w:sz="8" w:color="7F7F7F"/>
            </w:tcBorders>
          </w:tcPr>
          <w:p>
            <w:pPr>
              <w:spacing w:after="0"/>
              <w:rPr>
                <w:sz w:val="14"/>
                <w:szCs w:val="14"/>
                <w:color w:val="auto"/>
              </w:rPr>
            </w:pPr>
          </w:p>
        </w:tc>
        <w:tc>
          <w:tcPr>
            <w:tcW w:w="760" w:type="dxa"/>
            <w:vAlign w:val="bottom"/>
            <w:tcBorders>
              <w:right w:val="single" w:sz="8" w:color="7F7F7F"/>
            </w:tcBorders>
          </w:tcPr>
          <w:p>
            <w:pPr>
              <w:spacing w:after="0"/>
              <w:rPr>
                <w:sz w:val="14"/>
                <w:szCs w:val="14"/>
                <w:color w:val="auto"/>
              </w:rPr>
            </w:pPr>
          </w:p>
        </w:tc>
        <w:tc>
          <w:tcPr>
            <w:tcW w:w="1600" w:type="dxa"/>
            <w:vAlign w:val="bottom"/>
            <w:tcBorders>
              <w:right w:val="single" w:sz="8" w:color="7F7F7F"/>
            </w:tcBorders>
          </w:tcPr>
          <w:p>
            <w:pPr>
              <w:spacing w:after="0"/>
              <w:rPr>
                <w:sz w:val="14"/>
                <w:szCs w:val="14"/>
                <w:color w:val="auto"/>
              </w:rPr>
            </w:pPr>
          </w:p>
        </w:tc>
        <w:tc>
          <w:tcPr>
            <w:tcW w:w="1200" w:type="dxa"/>
            <w:vAlign w:val="bottom"/>
            <w:tcBorders>
              <w:right w:val="single" w:sz="8" w:color="7F7F7F"/>
            </w:tcBorders>
          </w:tcPr>
          <w:p>
            <w:pPr>
              <w:spacing w:after="0"/>
              <w:rPr>
                <w:sz w:val="14"/>
                <w:szCs w:val="14"/>
                <w:color w:val="auto"/>
              </w:rPr>
            </w:pPr>
          </w:p>
        </w:tc>
        <w:tc>
          <w:tcPr>
            <w:tcW w:w="2400" w:type="dxa"/>
            <w:vAlign w:val="bottom"/>
          </w:tcPr>
          <w:p>
            <w:pPr>
              <w:ind w:left="40"/>
              <w:spacing w:after="0"/>
              <w:rPr>
                <w:sz w:val="20"/>
                <w:szCs w:val="20"/>
                <w:color w:val="auto"/>
              </w:rPr>
            </w:pPr>
            <w:r>
              <w:rPr>
                <w:rFonts w:ascii="Arial" w:cs="Arial" w:eastAsia="Arial" w:hAnsi="Arial"/>
                <w:sz w:val="13"/>
                <w:szCs w:val="13"/>
                <w:color w:val="auto"/>
              </w:rPr>
              <w:t>investments.</w:t>
            </w:r>
          </w:p>
        </w:tc>
        <w:tc>
          <w:tcPr>
            <w:tcW w:w="60" w:type="dxa"/>
            <w:vAlign w:val="bottom"/>
            <w:tcBorders>
              <w:right w:val="single" w:sz="8" w:color="7F7F7F"/>
            </w:tcBorders>
          </w:tcPr>
          <w:p>
            <w:pPr>
              <w:spacing w:after="0"/>
              <w:rPr>
                <w:sz w:val="14"/>
                <w:szCs w:val="14"/>
                <w:color w:val="auto"/>
              </w:rPr>
            </w:pPr>
          </w:p>
        </w:tc>
        <w:tc>
          <w:tcPr>
            <w:tcW w:w="980" w:type="dxa"/>
            <w:vAlign w:val="bottom"/>
            <w:tcBorders>
              <w:right w:val="single" w:sz="8" w:color="7F7F7F"/>
            </w:tcBorders>
          </w:tcPr>
          <w:p>
            <w:pPr>
              <w:spacing w:after="0"/>
              <w:rPr>
                <w:sz w:val="14"/>
                <w:szCs w:val="14"/>
                <w:color w:val="auto"/>
              </w:rPr>
            </w:pPr>
          </w:p>
        </w:tc>
        <w:tc>
          <w:tcPr>
            <w:tcW w:w="1300" w:type="dxa"/>
            <w:vAlign w:val="bottom"/>
            <w:tcBorders>
              <w:right w:val="single" w:sz="8" w:color="7F7F7F"/>
            </w:tcBorders>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Borders>
              <w:right w:val="single" w:sz="8" w:color="7F7F7F"/>
            </w:tcBorders>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1440" w:type="dxa"/>
            <w:vAlign w:val="bottom"/>
            <w:tcBorders>
              <w:left w:val="single" w:sz="8" w:color="7F7F7F"/>
              <w:bottom w:val="single" w:sz="8" w:color="7F7F7F"/>
              <w:right w:val="single" w:sz="8" w:color="7F7F7F"/>
            </w:tcBorders>
          </w:tcPr>
          <w:p>
            <w:pPr>
              <w:spacing w:after="0"/>
              <w:rPr>
                <w:sz w:val="3"/>
                <w:szCs w:val="3"/>
                <w:color w:val="auto"/>
              </w:rPr>
            </w:pPr>
          </w:p>
        </w:tc>
        <w:tc>
          <w:tcPr>
            <w:tcW w:w="760" w:type="dxa"/>
            <w:vAlign w:val="bottom"/>
            <w:tcBorders>
              <w:bottom w:val="single" w:sz="8" w:color="7F7F7F"/>
              <w:right w:val="single" w:sz="8" w:color="7F7F7F"/>
            </w:tcBorders>
          </w:tcPr>
          <w:p>
            <w:pPr>
              <w:spacing w:after="0"/>
              <w:rPr>
                <w:sz w:val="3"/>
                <w:szCs w:val="3"/>
                <w:color w:val="auto"/>
              </w:rPr>
            </w:pPr>
          </w:p>
        </w:tc>
        <w:tc>
          <w:tcPr>
            <w:tcW w:w="1600" w:type="dxa"/>
            <w:vAlign w:val="bottom"/>
            <w:tcBorders>
              <w:bottom w:val="single" w:sz="8" w:color="7F7F7F"/>
              <w:right w:val="single" w:sz="8" w:color="7F7F7F"/>
            </w:tcBorders>
          </w:tcPr>
          <w:p>
            <w:pPr>
              <w:spacing w:after="0"/>
              <w:rPr>
                <w:sz w:val="3"/>
                <w:szCs w:val="3"/>
                <w:color w:val="auto"/>
              </w:rPr>
            </w:pPr>
          </w:p>
        </w:tc>
        <w:tc>
          <w:tcPr>
            <w:tcW w:w="1200" w:type="dxa"/>
            <w:vAlign w:val="bottom"/>
            <w:tcBorders>
              <w:bottom w:val="single" w:sz="8" w:color="7F7F7F"/>
              <w:right w:val="single" w:sz="8" w:color="7F7F7F"/>
            </w:tcBorders>
          </w:tcPr>
          <w:p>
            <w:pPr>
              <w:spacing w:after="0"/>
              <w:rPr>
                <w:sz w:val="3"/>
                <w:szCs w:val="3"/>
                <w:color w:val="auto"/>
              </w:rPr>
            </w:pPr>
          </w:p>
        </w:tc>
        <w:tc>
          <w:tcPr>
            <w:tcW w:w="2400" w:type="dxa"/>
            <w:vAlign w:val="bottom"/>
            <w:tcBorders>
              <w:bottom w:val="single" w:sz="8" w:color="7F7F7F"/>
            </w:tcBorders>
          </w:tcPr>
          <w:p>
            <w:pPr>
              <w:spacing w:after="0"/>
              <w:rPr>
                <w:sz w:val="3"/>
                <w:szCs w:val="3"/>
                <w:color w:val="auto"/>
              </w:rPr>
            </w:pPr>
          </w:p>
        </w:tc>
        <w:tc>
          <w:tcPr>
            <w:tcW w:w="60" w:type="dxa"/>
            <w:vAlign w:val="bottom"/>
            <w:tcBorders>
              <w:bottom w:val="single" w:sz="8" w:color="7F7F7F"/>
              <w:right w:val="single" w:sz="8" w:color="7F7F7F"/>
            </w:tcBorders>
          </w:tcPr>
          <w:p>
            <w:pPr>
              <w:spacing w:after="0"/>
              <w:rPr>
                <w:sz w:val="3"/>
                <w:szCs w:val="3"/>
                <w:color w:val="auto"/>
              </w:rPr>
            </w:pPr>
          </w:p>
        </w:tc>
        <w:tc>
          <w:tcPr>
            <w:tcW w:w="980" w:type="dxa"/>
            <w:vAlign w:val="bottom"/>
            <w:tcBorders>
              <w:bottom w:val="single" w:sz="8" w:color="7F7F7F"/>
              <w:right w:val="single" w:sz="8" w:color="7F7F7F"/>
            </w:tcBorders>
          </w:tcPr>
          <w:p>
            <w:pPr>
              <w:spacing w:after="0"/>
              <w:rPr>
                <w:sz w:val="3"/>
                <w:szCs w:val="3"/>
                <w:color w:val="auto"/>
              </w:rPr>
            </w:pPr>
          </w:p>
        </w:tc>
        <w:tc>
          <w:tcPr>
            <w:tcW w:w="1300" w:type="dxa"/>
            <w:vAlign w:val="bottom"/>
            <w:tcBorders>
              <w:bottom w:val="single" w:sz="8" w:color="7F7F7F"/>
              <w:right w:val="single" w:sz="8" w:color="7F7F7F"/>
            </w:tcBorders>
          </w:tcPr>
          <w:p>
            <w:pPr>
              <w:spacing w:after="0"/>
              <w:rPr>
                <w:sz w:val="3"/>
                <w:szCs w:val="3"/>
                <w:color w:val="auto"/>
              </w:rPr>
            </w:pPr>
          </w:p>
        </w:tc>
        <w:tc>
          <w:tcPr>
            <w:tcW w:w="1220" w:type="dxa"/>
            <w:vAlign w:val="bottom"/>
            <w:tcBorders>
              <w:bottom w:val="single" w:sz="8" w:color="7F7F7F"/>
              <w:right w:val="single" w:sz="8" w:color="7F7F7F"/>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Borders>
              <w:right w:val="single" w:sz="8" w:color="7F7F7F"/>
            </w:tcBorders>
          </w:tcPr>
          <w:p>
            <w:pPr>
              <w:spacing w:after="0"/>
              <w:rPr>
                <w:sz w:val="14"/>
                <w:szCs w:val="14"/>
                <w:color w:val="auto"/>
              </w:rPr>
            </w:pPr>
          </w:p>
        </w:tc>
        <w:tc>
          <w:tcPr>
            <w:tcW w:w="2400" w:type="dxa"/>
            <w:vAlign w:val="bottom"/>
            <w:tcBorders>
              <w:bottom w:val="single" w:sz="8" w:color="7F7F7F"/>
            </w:tcBorders>
            <w:shd w:val="clear" w:color="auto" w:fill="D8D8D8"/>
          </w:tcPr>
          <w:p>
            <w:pPr>
              <w:spacing w:after="0"/>
              <w:rPr>
                <w:sz w:val="14"/>
                <w:szCs w:val="14"/>
                <w:color w:val="auto"/>
              </w:rPr>
            </w:pPr>
          </w:p>
        </w:tc>
        <w:tc>
          <w:tcPr>
            <w:tcW w:w="2340" w:type="dxa"/>
            <w:vAlign w:val="bottom"/>
            <w:tcBorders>
              <w:bottom w:val="single" w:sz="8" w:color="7F7F7F"/>
              <w:right w:val="single" w:sz="8" w:color="7F7F7F"/>
            </w:tcBorders>
            <w:gridSpan w:val="3"/>
            <w:shd w:val="clear" w:color="auto" w:fill="D8D8D8"/>
          </w:tcPr>
          <w:p>
            <w:pPr>
              <w:jc w:val="right"/>
              <w:ind w:right="17"/>
              <w:spacing w:after="0"/>
              <w:rPr>
                <w:sz w:val="20"/>
                <w:szCs w:val="20"/>
                <w:color w:val="auto"/>
              </w:rPr>
            </w:pPr>
            <w:r>
              <w:rPr>
                <w:rFonts w:ascii="Arial" w:cs="Arial" w:eastAsia="Arial" w:hAnsi="Arial"/>
                <w:sz w:val="13"/>
                <w:szCs w:val="13"/>
                <w:b w:val="1"/>
                <w:bCs w:val="1"/>
                <w:color w:val="auto"/>
                <w:w w:val="96"/>
              </w:rPr>
              <w:t>Corporate Performance Rating Range</w:t>
            </w:r>
          </w:p>
        </w:tc>
        <w:tc>
          <w:tcPr>
            <w:tcW w:w="1220" w:type="dxa"/>
            <w:vAlign w:val="bottom"/>
            <w:tcBorders>
              <w:bottom w:val="single" w:sz="8" w:color="7F7F7F"/>
              <w:right w:val="single" w:sz="8" w:color="7F7F7F"/>
            </w:tcBorders>
            <w:gridSpan w:val="2"/>
            <w:shd w:val="clear" w:color="auto" w:fill="D8D8D8"/>
          </w:tcPr>
          <w:p>
            <w:pPr>
              <w:jc w:val="right"/>
              <w:ind w:right="297"/>
              <w:spacing w:after="0"/>
              <w:rPr>
                <w:sz w:val="20"/>
                <w:szCs w:val="20"/>
                <w:color w:val="auto"/>
              </w:rPr>
            </w:pPr>
            <w:r>
              <w:rPr>
                <w:rFonts w:ascii="Arial" w:cs="Arial" w:eastAsia="Arial" w:hAnsi="Arial"/>
                <w:sz w:val="13"/>
                <w:szCs w:val="13"/>
                <w:b w:val="1"/>
                <w:bCs w:val="1"/>
                <w:color w:val="auto"/>
              </w:rPr>
              <w:t>1.4 - 1.5</w:t>
            </w:r>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Borders>
              <w:right w:val="single" w:sz="8" w:color="7F7F7F"/>
            </w:tcBorders>
          </w:tcPr>
          <w:p>
            <w:pPr>
              <w:spacing w:after="0"/>
              <w:rPr>
                <w:sz w:val="14"/>
                <w:szCs w:val="14"/>
                <w:color w:val="auto"/>
              </w:rPr>
            </w:pPr>
          </w:p>
        </w:tc>
        <w:tc>
          <w:tcPr>
            <w:tcW w:w="2400" w:type="dxa"/>
            <w:vAlign w:val="bottom"/>
            <w:tcBorders>
              <w:bottom w:val="single" w:sz="8" w:color="7F7F7F"/>
            </w:tcBorders>
            <w:shd w:val="clear" w:color="auto" w:fill="D8D8D8"/>
          </w:tcPr>
          <w:p>
            <w:pPr>
              <w:spacing w:after="0"/>
              <w:rPr>
                <w:sz w:val="14"/>
                <w:szCs w:val="14"/>
                <w:color w:val="auto"/>
              </w:rPr>
            </w:pPr>
          </w:p>
        </w:tc>
        <w:tc>
          <w:tcPr>
            <w:tcW w:w="60" w:type="dxa"/>
            <w:vAlign w:val="bottom"/>
            <w:tcBorders>
              <w:bottom w:val="single" w:sz="8" w:color="7F7F7F"/>
              <w:right w:val="single" w:sz="8" w:color="D8D8D8"/>
            </w:tcBorders>
            <w:shd w:val="clear" w:color="auto" w:fill="D8D8D8"/>
          </w:tcPr>
          <w:p>
            <w:pPr>
              <w:spacing w:after="0"/>
              <w:rPr>
                <w:sz w:val="14"/>
                <w:szCs w:val="14"/>
                <w:color w:val="auto"/>
              </w:rPr>
            </w:pPr>
          </w:p>
        </w:tc>
        <w:tc>
          <w:tcPr>
            <w:tcW w:w="2280" w:type="dxa"/>
            <w:vAlign w:val="bottom"/>
            <w:tcBorders>
              <w:bottom w:val="single" w:sz="8" w:color="7F7F7F"/>
              <w:right w:val="single" w:sz="8" w:color="7F7F7F"/>
            </w:tcBorders>
            <w:gridSpan w:val="2"/>
            <w:shd w:val="clear" w:color="auto" w:fill="D8D8D8"/>
          </w:tcPr>
          <w:p>
            <w:pPr>
              <w:jc w:val="right"/>
              <w:ind w:right="17"/>
              <w:spacing w:after="0"/>
              <w:rPr>
                <w:sz w:val="20"/>
                <w:szCs w:val="20"/>
                <w:color w:val="auto"/>
              </w:rPr>
            </w:pPr>
            <w:r>
              <w:rPr>
                <w:rFonts w:ascii="Arial" w:cs="Arial" w:eastAsia="Arial" w:hAnsi="Arial"/>
                <w:sz w:val="13"/>
                <w:szCs w:val="13"/>
                <w:b w:val="1"/>
                <w:bCs w:val="1"/>
                <w:color w:val="auto"/>
                <w:w w:val="97"/>
              </w:rPr>
              <w:t>Final Corporate Performance Rating</w:t>
            </w:r>
          </w:p>
        </w:tc>
        <w:tc>
          <w:tcPr>
            <w:tcW w:w="1220" w:type="dxa"/>
            <w:vAlign w:val="bottom"/>
            <w:tcBorders>
              <w:bottom w:val="single" w:sz="8" w:color="7F7F7F"/>
              <w:right w:val="single" w:sz="8" w:color="7F7F7F"/>
            </w:tcBorders>
            <w:gridSpan w:val="2"/>
            <w:shd w:val="clear" w:color="auto" w:fill="D8D8D8"/>
          </w:tcPr>
          <w:p>
            <w:pPr>
              <w:jc w:val="right"/>
              <w:ind w:right="397"/>
              <w:spacing w:after="0"/>
              <w:rPr>
                <w:sz w:val="20"/>
                <w:szCs w:val="20"/>
                <w:color w:val="auto"/>
              </w:rPr>
            </w:pPr>
            <w:r>
              <w:rPr>
                <w:rFonts w:ascii="Arial" w:cs="Arial" w:eastAsia="Arial" w:hAnsi="Arial"/>
                <w:sz w:val="13"/>
                <w:szCs w:val="13"/>
                <w:b w:val="1"/>
                <w:bCs w:val="1"/>
                <w:color w:val="auto"/>
              </w:rPr>
              <w:t>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-6060440</wp:posOffset>
            </wp:positionV>
            <wp:extent cx="68580" cy="685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-5597525</wp:posOffset>
            </wp:positionV>
            <wp:extent cx="68580" cy="685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-5203190</wp:posOffset>
            </wp:positionV>
            <wp:extent cx="68580" cy="685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-4826000</wp:posOffset>
            </wp:positionV>
            <wp:extent cx="68580" cy="685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-4500245</wp:posOffset>
            </wp:positionV>
            <wp:extent cx="68580" cy="685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-3788410</wp:posOffset>
            </wp:positionV>
            <wp:extent cx="68580" cy="685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-3145790</wp:posOffset>
            </wp:positionV>
            <wp:extent cx="68580" cy="685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-2888615</wp:posOffset>
            </wp:positionV>
            <wp:extent cx="68580" cy="685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-2468245</wp:posOffset>
            </wp:positionV>
            <wp:extent cx="68580" cy="685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-1671320</wp:posOffset>
            </wp:positionV>
            <wp:extent cx="68580" cy="685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-968375</wp:posOffset>
            </wp:positionV>
            <wp:extent cx="68580" cy="685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-685165</wp:posOffset>
            </wp:positionV>
            <wp:extent cx="68580" cy="685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-393700</wp:posOffset>
            </wp:positionV>
            <wp:extent cx="68580" cy="685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405890" cy="146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405890" cy="146050"/>
                    </a:xfrm>
                    <a:prstGeom prst="rect">
                      <a:avLst/>
                    </a:prstGeom>
                    <a:noFill/>
                  </pic:spPr>
                </pic:pic>
              </a:graphicData>
            </a:graphic>
          </wp:anchor>
        </w:drawing>
      </w:r>
    </w:p>
    <w:p>
      <w:pPr>
        <w:spacing w:after="0" w:line="33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Executive compensation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Notes:</w:t>
      </w:r>
    </w:p>
    <w:p>
      <w:pPr>
        <w:spacing w:after="0" w:line="13" w:lineRule="exact"/>
        <w:rPr>
          <w:sz w:val="20"/>
          <w:szCs w:val="20"/>
          <w:color w:val="auto"/>
        </w:rPr>
      </w:pPr>
    </w:p>
    <w:p>
      <w:pPr>
        <w:ind w:left="540" w:hanging="424"/>
        <w:spacing w:after="0"/>
        <w:tabs>
          <w:tab w:leader="none" w:pos="5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Plan refers to Board-approved Business Plan and externally disclosed guidance for organic capital and exploratory expenditures and net production.</w:t>
      </w:r>
    </w:p>
    <w:p>
      <w:pPr>
        <w:spacing w:after="0" w:line="68" w:lineRule="exact"/>
        <w:rPr>
          <w:rFonts w:ascii="Arial" w:cs="Arial" w:eastAsia="Arial" w:hAnsi="Arial"/>
          <w:sz w:val="13"/>
          <w:szCs w:val="13"/>
          <w:color w:val="auto"/>
        </w:rPr>
      </w:pPr>
    </w:p>
    <w:p>
      <w:pPr>
        <w:ind w:left="540" w:right="360" w:hanging="424"/>
        <w:spacing w:after="0" w:line="281" w:lineRule="auto"/>
        <w:tabs>
          <w:tab w:leader="none" w:pos="5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Results refer to overall evaluation: green – met or exceeded, yellow – some gaps, red – did not meet. Earnings and cash flow are evaluated based on comparisons to Plan, normalized objectives, and peers, but weighted most heavily to comparisons to Plan.</w:t>
      </w:r>
    </w:p>
    <w:p>
      <w:pPr>
        <w:spacing w:after="0" w:line="27" w:lineRule="exact"/>
        <w:rPr>
          <w:rFonts w:ascii="Arial" w:cs="Arial" w:eastAsia="Arial" w:hAnsi="Arial"/>
          <w:sz w:val="13"/>
          <w:szCs w:val="13"/>
          <w:color w:val="auto"/>
        </w:rPr>
      </w:pPr>
    </w:p>
    <w:p>
      <w:pPr>
        <w:ind w:left="540" w:hanging="424"/>
        <w:spacing w:after="0"/>
        <w:tabs>
          <w:tab w:leader="none" w:pos="5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Normalized earnings and cash flow exclude market factors beyond the control of management, including commodity prices.</w:t>
      </w:r>
    </w:p>
    <w:p>
      <w:pPr>
        <w:spacing w:after="0" w:line="80" w:lineRule="exact"/>
        <w:rPr>
          <w:rFonts w:ascii="Arial" w:cs="Arial" w:eastAsia="Arial" w:hAnsi="Arial"/>
          <w:sz w:val="13"/>
          <w:szCs w:val="13"/>
          <w:color w:val="auto"/>
        </w:rPr>
      </w:pPr>
    </w:p>
    <w:p>
      <w:pPr>
        <w:ind w:left="540" w:hanging="424"/>
        <w:spacing w:after="0" w:line="281" w:lineRule="auto"/>
        <w:tabs>
          <w:tab w:leader="none" w:pos="5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Cash Flow From Operating Activities as reported in the 2021 Consolidated Statement of Cash Flows; normalized cash from operating activities excludes the impact of commodity price and Downstream market and price effects.</w:t>
      </w:r>
    </w:p>
    <w:p>
      <w:pPr>
        <w:spacing w:after="0" w:line="68" w:lineRule="exact"/>
        <w:rPr>
          <w:rFonts w:ascii="Arial" w:cs="Arial" w:eastAsia="Arial" w:hAnsi="Arial"/>
          <w:sz w:val="13"/>
          <w:szCs w:val="13"/>
          <w:color w:val="auto"/>
        </w:rPr>
      </w:pPr>
    </w:p>
    <w:p>
      <w:pPr>
        <w:ind w:left="540" w:right="120" w:hanging="424"/>
        <w:spacing w:after="0" w:line="259" w:lineRule="auto"/>
        <w:tabs>
          <w:tab w:leader="none" w:pos="5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Cash flow before distributions reconciliation (non-GAAP measure) from Net Change in Cash as reported on the 2021 Consolidated Statement of Cash Flows and Note 3. Information Relating to the Consolidated Statement of Cash Flows. Distributions include cash dividends, share repurchases, net borrowing/repayment of short-term obligations, and repayments of long-term debt obligations.</w:t>
      </w:r>
    </w:p>
    <w:p>
      <w:pPr>
        <w:spacing w:after="0" w:line="40" w:lineRule="exact"/>
        <w:rPr>
          <w:sz w:val="20"/>
          <w:szCs w:val="20"/>
          <w:color w:val="auto"/>
        </w:rPr>
      </w:pPr>
    </w:p>
    <w:tbl>
      <w:tblPr>
        <w:tblLayout w:type="fixed"/>
        <w:tblInd w:w="720" w:type="dxa"/>
        <w:tblCellMar>
          <w:top w:w="0" w:type="dxa"/>
          <w:left w:w="0" w:type="dxa"/>
          <w:bottom w:w="0" w:type="dxa"/>
          <w:right w:w="0" w:type="dxa"/>
        </w:tblCellMar>
      </w:tblPr>
      <w:tr>
        <w:trPr>
          <w:trHeight w:val="149"/>
        </w:trPr>
        <w:tc>
          <w:tcPr>
            <w:tcW w:w="5160" w:type="dxa"/>
            <w:vAlign w:val="bottom"/>
          </w:tcPr>
          <w:p>
            <w:pPr>
              <w:spacing w:after="0"/>
              <w:rPr>
                <w:sz w:val="20"/>
                <w:szCs w:val="20"/>
                <w:color w:val="auto"/>
              </w:rPr>
            </w:pPr>
            <w:r>
              <w:rPr>
                <w:rFonts w:ascii="Arial" w:cs="Arial" w:eastAsia="Arial" w:hAnsi="Arial"/>
                <w:sz w:val="13"/>
                <w:szCs w:val="13"/>
                <w:b w:val="1"/>
                <w:bCs w:val="1"/>
                <w:color w:val="auto"/>
              </w:rPr>
              <w:t>($ Billions, figures rounded)</w:t>
            </w:r>
          </w:p>
        </w:tc>
        <w:tc>
          <w:tcPr>
            <w:tcW w:w="800" w:type="dxa"/>
            <w:vAlign w:val="bottom"/>
          </w:tcPr>
          <w:p>
            <w:pPr>
              <w:spacing w:after="0"/>
              <w:rPr>
                <w:sz w:val="13"/>
                <w:szCs w:val="13"/>
                <w:color w:val="auto"/>
              </w:rPr>
            </w:pPr>
          </w:p>
        </w:tc>
      </w:tr>
      <w:tr>
        <w:trPr>
          <w:trHeight w:val="164"/>
        </w:trPr>
        <w:tc>
          <w:tcPr>
            <w:tcW w:w="5160" w:type="dxa"/>
            <w:vAlign w:val="bottom"/>
          </w:tcPr>
          <w:p>
            <w:pPr>
              <w:spacing w:after="0"/>
              <w:rPr>
                <w:sz w:val="20"/>
                <w:szCs w:val="20"/>
                <w:color w:val="auto"/>
              </w:rPr>
            </w:pPr>
            <w:r>
              <w:rPr>
                <w:rFonts w:ascii="Arial" w:cs="Arial" w:eastAsia="Arial" w:hAnsi="Arial"/>
                <w:sz w:val="13"/>
                <w:szCs w:val="13"/>
                <w:b w:val="1"/>
                <w:bCs w:val="1"/>
                <w:color w:val="auto"/>
              </w:rPr>
              <w:t>Net Change in Cash</w:t>
            </w:r>
          </w:p>
        </w:tc>
        <w:tc>
          <w:tcPr>
            <w:tcW w:w="800" w:type="dxa"/>
            <w:vAlign w:val="bottom"/>
          </w:tcPr>
          <w:p>
            <w:pPr>
              <w:jc w:val="right"/>
              <w:ind w:right="13"/>
              <w:spacing w:after="0"/>
              <w:rPr>
                <w:sz w:val="20"/>
                <w:szCs w:val="20"/>
                <w:color w:val="auto"/>
              </w:rPr>
            </w:pPr>
            <w:r>
              <w:rPr>
                <w:rFonts w:ascii="Arial" w:cs="Arial" w:eastAsia="Arial" w:hAnsi="Arial"/>
                <w:sz w:val="13"/>
                <w:szCs w:val="13"/>
                <w:b w:val="1"/>
                <w:bCs w:val="1"/>
                <w:color w:val="auto"/>
              </w:rPr>
              <w:t>(0.1)</w:t>
            </w:r>
          </w:p>
        </w:tc>
      </w:tr>
      <w:tr>
        <w:trPr>
          <w:trHeight w:val="148"/>
        </w:trPr>
        <w:tc>
          <w:tcPr>
            <w:tcW w:w="5160" w:type="dxa"/>
            <w:vAlign w:val="bottom"/>
          </w:tcPr>
          <w:p>
            <w:pPr>
              <w:spacing w:after="0"/>
              <w:rPr>
                <w:sz w:val="20"/>
                <w:szCs w:val="20"/>
                <w:color w:val="auto"/>
              </w:rPr>
            </w:pPr>
            <w:r>
              <w:rPr>
                <w:rFonts w:ascii="Arial" w:cs="Arial" w:eastAsia="Arial" w:hAnsi="Arial"/>
                <w:sz w:val="13"/>
                <w:szCs w:val="13"/>
                <w:color w:val="auto"/>
              </w:rPr>
              <w:t>(-) Net borrowings (repayment) of short-term debt obligations</w:t>
            </w:r>
          </w:p>
        </w:tc>
        <w:tc>
          <w:tcPr>
            <w:tcW w:w="800" w:type="dxa"/>
            <w:vAlign w:val="bottom"/>
          </w:tcPr>
          <w:p>
            <w:pPr>
              <w:jc w:val="right"/>
              <w:spacing w:after="0"/>
              <w:rPr>
                <w:sz w:val="20"/>
                <w:szCs w:val="20"/>
                <w:color w:val="auto"/>
              </w:rPr>
            </w:pPr>
            <w:r>
              <w:rPr>
                <w:rFonts w:ascii="Arial" w:cs="Arial" w:eastAsia="Arial" w:hAnsi="Arial"/>
                <w:sz w:val="13"/>
                <w:szCs w:val="13"/>
                <w:color w:val="auto"/>
              </w:rPr>
              <w:t>(5.6)</w:t>
            </w:r>
          </w:p>
        </w:tc>
      </w:tr>
      <w:tr>
        <w:trPr>
          <w:trHeight w:val="148"/>
        </w:trPr>
        <w:tc>
          <w:tcPr>
            <w:tcW w:w="5160" w:type="dxa"/>
            <w:vAlign w:val="bottom"/>
          </w:tcPr>
          <w:p>
            <w:pPr>
              <w:spacing w:after="0"/>
              <w:rPr>
                <w:sz w:val="20"/>
                <w:szCs w:val="20"/>
                <w:color w:val="auto"/>
              </w:rPr>
            </w:pPr>
            <w:r>
              <w:rPr>
                <w:rFonts w:ascii="Arial" w:cs="Arial" w:eastAsia="Arial" w:hAnsi="Arial"/>
                <w:sz w:val="13"/>
                <w:szCs w:val="13"/>
                <w:color w:val="auto"/>
              </w:rPr>
              <w:t>(-) Repayments of long-term debt and other financing obligations</w:t>
            </w:r>
          </w:p>
        </w:tc>
        <w:tc>
          <w:tcPr>
            <w:tcW w:w="800" w:type="dxa"/>
            <w:vAlign w:val="bottom"/>
          </w:tcPr>
          <w:p>
            <w:pPr>
              <w:jc w:val="right"/>
              <w:spacing w:after="0"/>
              <w:rPr>
                <w:sz w:val="20"/>
                <w:szCs w:val="20"/>
                <w:color w:val="auto"/>
              </w:rPr>
            </w:pPr>
            <w:r>
              <w:rPr>
                <w:rFonts w:ascii="Arial" w:cs="Arial" w:eastAsia="Arial" w:hAnsi="Arial"/>
                <w:sz w:val="13"/>
                <w:szCs w:val="13"/>
                <w:color w:val="auto"/>
              </w:rPr>
              <w:t>(7.4)</w:t>
            </w:r>
          </w:p>
        </w:tc>
      </w:tr>
      <w:tr>
        <w:trPr>
          <w:trHeight w:val="148"/>
        </w:trPr>
        <w:tc>
          <w:tcPr>
            <w:tcW w:w="5160" w:type="dxa"/>
            <w:vAlign w:val="bottom"/>
          </w:tcPr>
          <w:p>
            <w:pPr>
              <w:spacing w:after="0"/>
              <w:rPr>
                <w:sz w:val="20"/>
                <w:szCs w:val="20"/>
                <w:color w:val="auto"/>
              </w:rPr>
            </w:pPr>
            <w:r>
              <w:rPr>
                <w:rFonts w:ascii="Arial" w:cs="Arial" w:eastAsia="Arial" w:hAnsi="Arial"/>
                <w:sz w:val="13"/>
                <w:szCs w:val="13"/>
                <w:color w:val="auto"/>
              </w:rPr>
              <w:t>(-) Cash dividends – common stock</w:t>
            </w:r>
          </w:p>
        </w:tc>
        <w:tc>
          <w:tcPr>
            <w:tcW w:w="800" w:type="dxa"/>
            <w:vAlign w:val="bottom"/>
          </w:tcPr>
          <w:p>
            <w:pPr>
              <w:jc w:val="right"/>
              <w:spacing w:after="0"/>
              <w:rPr>
                <w:sz w:val="20"/>
                <w:szCs w:val="20"/>
                <w:color w:val="auto"/>
              </w:rPr>
            </w:pPr>
            <w:r>
              <w:rPr>
                <w:rFonts w:ascii="Arial" w:cs="Arial" w:eastAsia="Arial" w:hAnsi="Arial"/>
                <w:sz w:val="13"/>
                <w:szCs w:val="13"/>
                <w:color w:val="auto"/>
              </w:rPr>
              <w:t>(10.2)</w:t>
            </w:r>
          </w:p>
        </w:tc>
      </w:tr>
      <w:tr>
        <w:trPr>
          <w:trHeight w:val="147"/>
        </w:trPr>
        <w:tc>
          <w:tcPr>
            <w:tcW w:w="5160" w:type="dxa"/>
            <w:vAlign w:val="bottom"/>
          </w:tcPr>
          <w:p>
            <w:pPr>
              <w:spacing w:after="0" w:line="147" w:lineRule="exact"/>
              <w:rPr>
                <w:sz w:val="20"/>
                <w:szCs w:val="20"/>
                <w:color w:val="auto"/>
              </w:rPr>
            </w:pPr>
            <w:r>
              <w:rPr>
                <w:rFonts w:ascii="Arial" w:cs="Arial" w:eastAsia="Arial" w:hAnsi="Arial"/>
                <w:sz w:val="13"/>
                <w:szCs w:val="13"/>
                <w:color w:val="auto"/>
              </w:rPr>
              <w:t>(-) Shares purchased under share repurchase and deferred compensation plans</w:t>
            </w: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(1.4)</w:t>
            </w:r>
          </w:p>
        </w:tc>
      </w:tr>
      <w:tr>
        <w:trPr>
          <w:trHeight w:val="186"/>
        </w:trPr>
        <w:tc>
          <w:tcPr>
            <w:tcW w:w="5160" w:type="dxa"/>
            <w:vAlign w:val="bottom"/>
          </w:tcPr>
          <w:p>
            <w:pPr>
              <w:spacing w:after="0"/>
              <w:rPr>
                <w:sz w:val="20"/>
                <w:szCs w:val="20"/>
                <w:color w:val="auto"/>
              </w:rPr>
            </w:pPr>
            <w:r>
              <w:rPr>
                <w:rFonts w:ascii="Arial" w:cs="Arial" w:eastAsia="Arial" w:hAnsi="Arial"/>
                <w:sz w:val="13"/>
                <w:szCs w:val="13"/>
                <w:b w:val="1"/>
                <w:bCs w:val="1"/>
                <w:color w:val="auto"/>
              </w:rPr>
              <w:t>Cash flow before distributions</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24.6</w:t>
            </w:r>
          </w:p>
        </w:tc>
      </w:tr>
    </w:tbl>
    <w:p>
      <w:pPr>
        <w:spacing w:after="0" w:line="45" w:lineRule="exact"/>
        <w:rPr>
          <w:sz w:val="20"/>
          <w:szCs w:val="20"/>
          <w:color w:val="auto"/>
        </w:rPr>
      </w:pPr>
    </w:p>
    <w:p>
      <w:pPr>
        <w:ind w:left="540" w:right="440" w:hanging="424"/>
        <w:spacing w:after="0" w:line="281" w:lineRule="auto"/>
        <w:tabs>
          <w:tab w:leader="none" w:pos="5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Operating expenses, selling, general, and administrative expenses, and other components of net periodic benefit costs as reported in the 2021 Consolidated Statement of Income (excludes affiliate spending), excluding fuel and transportation expenses. Figures rounded. Evaluated as “green” when within 3% of Plan.</w:t>
      </w:r>
    </w:p>
    <w:p>
      <w:pPr>
        <w:spacing w:after="0" w:line="27" w:lineRule="exact"/>
        <w:rPr>
          <w:rFonts w:ascii="Arial" w:cs="Arial" w:eastAsia="Arial" w:hAnsi="Arial"/>
          <w:sz w:val="13"/>
          <w:szCs w:val="13"/>
          <w:color w:val="auto"/>
        </w:rPr>
      </w:pPr>
    </w:p>
    <w:p>
      <w:pPr>
        <w:ind w:left="540" w:hanging="424"/>
        <w:spacing w:after="0"/>
        <w:tabs>
          <w:tab w:leader="none" w:pos="5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Relative peer comparisons based on externally disclosed results through the end of 3Q21.</w:t>
      </w:r>
    </w:p>
    <w:p>
      <w:pPr>
        <w:spacing w:after="0" w:line="80" w:lineRule="exact"/>
        <w:rPr>
          <w:rFonts w:ascii="Arial" w:cs="Arial" w:eastAsia="Arial" w:hAnsi="Arial"/>
          <w:sz w:val="13"/>
          <w:szCs w:val="13"/>
          <w:color w:val="auto"/>
        </w:rPr>
      </w:pPr>
    </w:p>
    <w:p>
      <w:pPr>
        <w:ind w:left="540" w:right="340" w:hanging="424"/>
        <w:spacing w:after="0" w:line="260" w:lineRule="auto"/>
        <w:tabs>
          <w:tab w:leader="none" w:pos="5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See ROCE calculation on page 47 and “Definitions of Selected Financial Terms” in Exhibit 99.1 of Chevron’s Annual Report on Form 10-K for the year ended December 31, 2021.</w:t>
      </w:r>
    </w:p>
    <w:p>
      <w:pPr>
        <w:spacing w:after="0" w:line="216" w:lineRule="exact"/>
        <w:rPr>
          <w:rFonts w:ascii="Arial" w:cs="Arial" w:eastAsia="Arial" w:hAnsi="Arial"/>
          <w:sz w:val="13"/>
          <w:szCs w:val="13"/>
          <w:color w:val="auto"/>
        </w:rPr>
      </w:pPr>
    </w:p>
    <w:p>
      <w:pPr>
        <w:ind w:left="540" w:hanging="424"/>
        <w:spacing w:after="0"/>
        <w:tabs>
          <w:tab w:leader="none" w:pos="5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Plan with respect to personal safety and process safety and environmental measures refer to the maximum number of incidents we aim to stay below for the year.</w:t>
      </w:r>
    </w:p>
    <w:p>
      <w:pPr>
        <w:spacing w:after="0" w:line="80" w:lineRule="exact"/>
        <w:rPr>
          <w:rFonts w:ascii="Arial" w:cs="Arial" w:eastAsia="Arial" w:hAnsi="Arial"/>
          <w:sz w:val="13"/>
          <w:szCs w:val="13"/>
          <w:color w:val="auto"/>
        </w:rPr>
      </w:pPr>
    </w:p>
    <w:p>
      <w:pPr>
        <w:ind w:left="540" w:hanging="424"/>
        <w:spacing w:after="0"/>
        <w:tabs>
          <w:tab w:leader="none" w:pos="5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A serious injury is an injury that results in significant disfigurement or typically results in permanent or long-term impairment of an internal organ, body function or body part.</w:t>
      </w:r>
    </w:p>
    <w:p>
      <w:pPr>
        <w:spacing w:after="0" w:line="80" w:lineRule="exact"/>
        <w:rPr>
          <w:rFonts w:ascii="Arial" w:cs="Arial" w:eastAsia="Arial" w:hAnsi="Arial"/>
          <w:sz w:val="13"/>
          <w:szCs w:val="13"/>
          <w:color w:val="auto"/>
        </w:rPr>
      </w:pPr>
    </w:p>
    <w:p>
      <w:pPr>
        <w:ind w:left="540" w:hanging="424"/>
        <w:spacing w:after="0"/>
        <w:tabs>
          <w:tab w:leader="none" w:pos="5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Severe Tier 1 LOCs are differentiated from other Tier 1 LOCs due to their more serious consequences (e.g. fatality or significant offsite environmental impact).</w:t>
      </w:r>
    </w:p>
    <w:p>
      <w:pPr>
        <w:sectPr>
          <w:pgSz w:w="11900" w:h="16838" w:orient="portrait"/>
          <w:cols w:equalWidth="0" w:num="1">
            <w:col w:w="11120"/>
          </w:cols>
          <w:pgMar w:left="320" w:top="455" w:right="459" w:bottom="1440" w:gutter="0" w:footer="0" w:header="0"/>
        </w:sectPr>
      </w:pPr>
    </w:p>
    <w:p>
      <w:pPr>
        <w:spacing w:after="0" w:line="1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Financial results – 35%</w:t>
      </w:r>
    </w:p>
    <w:p>
      <w:pPr>
        <w:spacing w:after="0" w:line="126" w:lineRule="exact"/>
        <w:rPr>
          <w:sz w:val="20"/>
          <w:szCs w:val="20"/>
          <w:color w:val="auto"/>
        </w:rPr>
      </w:pPr>
    </w:p>
    <w:p>
      <w:pPr>
        <w:ind w:left="300" w:right="80" w:hanging="184"/>
        <w:spacing w:after="0" w:line="254" w:lineRule="auto"/>
        <w:tabs>
          <w:tab w:leader="none" w:pos="3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Earnings – 2021 reported earnings of $15.6 billion were significantly above Plan, mainly due to recovering global economic conditions resulting in higher Upstream realizations and Downstream margins, in addition to higher CPChem results. Normalized earnings were also above Plan. The Company’s five-year indexed Earnings, excluding special items, per share performance ranked first relative to peers.</w:t>
      </w:r>
    </w:p>
    <w:p>
      <w:pPr>
        <w:spacing w:after="0" w:line="60" w:lineRule="exact"/>
        <w:rPr>
          <w:rFonts w:ascii="Arial" w:cs="Arial" w:eastAsia="Arial" w:hAnsi="Arial"/>
          <w:sz w:val="16"/>
          <w:szCs w:val="16"/>
          <w:color w:val="auto"/>
        </w:rPr>
      </w:pPr>
    </w:p>
    <w:p>
      <w:pPr>
        <w:ind w:left="300" w:right="20" w:hanging="184"/>
        <w:spacing w:after="0" w:line="259" w:lineRule="auto"/>
        <w:tabs>
          <w:tab w:leader="none" w:pos="3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Cash flow – Chevron delivered operating cash flow of $29.2 billion and cash flow before distributions of $24.6 billion in 2021, significantly above Plan. Normalized for oil price and Downstream market/price effects, cash flow was in-line with Plan.</w:t>
      </w:r>
    </w:p>
    <w:p>
      <w:pPr>
        <w:spacing w:after="0" w:line="56" w:lineRule="exact"/>
        <w:rPr>
          <w:rFonts w:ascii="Arial" w:cs="Arial" w:eastAsia="Arial" w:hAnsi="Arial"/>
          <w:sz w:val="16"/>
          <w:szCs w:val="16"/>
          <w:color w:val="auto"/>
        </w:rPr>
      </w:pPr>
    </w:p>
    <w:p>
      <w:pPr>
        <w:ind w:left="300" w:hanging="184"/>
        <w:spacing w:after="0" w:line="259" w:lineRule="auto"/>
        <w:tabs>
          <w:tab w:leader="none" w:pos="3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Operating expense, excluding fuel and transportation – $20.1 billion, slightly above Plan with reductions in Downstream and achievement of Noble run-rate synergies offset by higher employee benefits. Since 2014, costs have declined 15%.</w:t>
      </w:r>
    </w:p>
    <w:p>
      <w:pPr>
        <w:spacing w:after="0" w:line="56" w:lineRule="exact"/>
        <w:rPr>
          <w:rFonts w:ascii="Arial" w:cs="Arial" w:eastAsia="Arial" w:hAnsi="Arial"/>
          <w:sz w:val="16"/>
          <w:szCs w:val="16"/>
          <w:color w:val="auto"/>
        </w:rPr>
      </w:pPr>
    </w:p>
    <w:p>
      <w:pPr>
        <w:jc w:val="both"/>
        <w:ind w:left="300" w:hanging="184"/>
        <w:spacing w:after="0" w:line="286" w:lineRule="auto"/>
        <w:tabs>
          <w:tab w:leader="none" w:pos="3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the preceding, the raw score range assigned to this category for the 2021 performance year was 1.75-1.90 out of a maximum of 2.0.</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Capital management – 30%</w:t>
      </w:r>
    </w:p>
    <w:p>
      <w:pPr>
        <w:spacing w:after="0" w:line="126" w:lineRule="exact"/>
        <w:rPr>
          <w:sz w:val="20"/>
          <w:szCs w:val="20"/>
          <w:color w:val="auto"/>
        </w:rPr>
      </w:pPr>
    </w:p>
    <w:p>
      <w:pPr>
        <w:ind w:left="300" w:right="180" w:hanging="184"/>
        <w:spacing w:after="0" w:line="259" w:lineRule="auto"/>
        <w:tabs>
          <w:tab w:leader="none" w:pos="3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Return on capital employed – Reported ROCE for 2021 of 9.4% was significantly above Plan, in-line with above Plan earnings. The Company’s one-year ROCE, excluding special items, performance improvement was ranked second relative to peers.</w:t>
      </w:r>
    </w:p>
    <w:p>
      <w:pPr>
        <w:spacing w:after="0" w:line="29" w:lineRule="exact"/>
        <w:rPr>
          <w:rFonts w:ascii="Arial" w:cs="Arial" w:eastAsia="Arial" w:hAnsi="Arial"/>
          <w:sz w:val="16"/>
          <w:szCs w:val="16"/>
          <w:color w:val="auto"/>
        </w:rPr>
      </w:pPr>
    </w:p>
    <w:p>
      <w:pPr>
        <w:ind w:left="300" w:right="400" w:hanging="184"/>
        <w:spacing w:after="0" w:line="286" w:lineRule="auto"/>
        <w:tabs>
          <w:tab w:leader="none" w:pos="3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Capital and exploratory expenditures – 2021 organic C&amp;E totaled $11.6 billion, significantly better than Plan on COVID-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126"/>
        <w:spacing w:after="0"/>
        <w:rPr>
          <w:sz w:val="20"/>
          <w:szCs w:val="20"/>
          <w:color w:val="auto"/>
        </w:rPr>
      </w:pPr>
      <w:r>
        <w:rPr>
          <w:rFonts w:ascii="Arial" w:cs="Arial" w:eastAsia="Arial" w:hAnsi="Arial"/>
          <w:sz w:val="16"/>
          <w:szCs w:val="16"/>
          <w:color w:val="auto"/>
        </w:rPr>
        <w:t>related project spend deferrals and continued capital efficiencies.</w:t>
      </w:r>
    </w:p>
    <w:p>
      <w:pPr>
        <w:spacing w:after="0" w:line="127" w:lineRule="exact"/>
        <w:rPr>
          <w:sz w:val="20"/>
          <w:szCs w:val="20"/>
          <w:color w:val="auto"/>
        </w:rPr>
      </w:pPr>
    </w:p>
    <w:p>
      <w:pPr>
        <w:ind w:left="166" w:hanging="166"/>
        <w:spacing w:after="0"/>
        <w:tabs>
          <w:tab w:leader="none" w:pos="166" w:val="left"/>
        </w:tabs>
        <w:numPr>
          <w:ilvl w:val="0"/>
          <w:numId w:val="81"/>
        </w:numPr>
        <w:rPr>
          <w:rFonts w:ascii="Arial" w:cs="Arial" w:eastAsia="Arial" w:hAnsi="Arial"/>
          <w:sz w:val="16"/>
          <w:szCs w:val="16"/>
          <w:color w:val="auto"/>
        </w:rPr>
      </w:pPr>
      <w:r>
        <w:rPr>
          <w:rFonts w:ascii="Arial" w:cs="Arial" w:eastAsia="Arial" w:hAnsi="Arial"/>
          <w:sz w:val="16"/>
          <w:szCs w:val="16"/>
          <w:color w:val="auto"/>
        </w:rPr>
        <w:t>Major milestones per Plan:</w:t>
      </w:r>
    </w:p>
    <w:p>
      <w:pPr>
        <w:spacing w:after="0" w:line="99" w:lineRule="exact"/>
        <w:rPr>
          <w:rFonts w:ascii="Arial" w:cs="Arial" w:eastAsia="Arial" w:hAnsi="Arial"/>
          <w:sz w:val="16"/>
          <w:szCs w:val="16"/>
          <w:color w:val="auto"/>
        </w:rPr>
      </w:pPr>
    </w:p>
    <w:p>
      <w:pPr>
        <w:ind w:left="326" w:right="180" w:hanging="191"/>
        <w:spacing w:after="0" w:line="286" w:lineRule="auto"/>
        <w:tabs>
          <w:tab w:leader="none" w:pos="326" w:val="left"/>
        </w:tabs>
        <w:numPr>
          <w:ilvl w:val="1"/>
          <w:numId w:val="81"/>
        </w:numPr>
        <w:rPr>
          <w:rFonts w:ascii="Arial" w:cs="Arial" w:eastAsia="Arial" w:hAnsi="Arial"/>
          <w:sz w:val="16"/>
          <w:szCs w:val="16"/>
          <w:color w:val="auto"/>
        </w:rPr>
      </w:pPr>
      <w:r>
        <w:rPr>
          <w:rFonts w:ascii="Arial" w:cs="Arial" w:eastAsia="Arial" w:hAnsi="Arial"/>
          <w:sz w:val="16"/>
          <w:szCs w:val="16"/>
          <w:color w:val="auto"/>
        </w:rPr>
        <w:t>Tengizchevroil FGP/WPMP – Despite COVID-impacted timelines, all modules set on foundations and substation energization complete.</w:t>
      </w:r>
    </w:p>
    <w:p>
      <w:pPr>
        <w:spacing w:after="0" w:line="34" w:lineRule="exact"/>
        <w:rPr>
          <w:rFonts w:ascii="Arial" w:cs="Arial" w:eastAsia="Arial" w:hAnsi="Arial"/>
          <w:sz w:val="16"/>
          <w:szCs w:val="16"/>
          <w:color w:val="auto"/>
        </w:rPr>
      </w:pPr>
    </w:p>
    <w:p>
      <w:pPr>
        <w:ind w:left="326" w:hanging="191"/>
        <w:spacing w:after="0"/>
        <w:tabs>
          <w:tab w:leader="none" w:pos="326" w:val="left"/>
        </w:tabs>
        <w:numPr>
          <w:ilvl w:val="1"/>
          <w:numId w:val="81"/>
        </w:numPr>
        <w:rPr>
          <w:rFonts w:ascii="Arial" w:cs="Arial" w:eastAsia="Arial" w:hAnsi="Arial"/>
          <w:sz w:val="16"/>
          <w:szCs w:val="16"/>
          <w:color w:val="auto"/>
        </w:rPr>
      </w:pPr>
      <w:r>
        <w:rPr>
          <w:rFonts w:ascii="Arial" w:cs="Arial" w:eastAsia="Arial" w:hAnsi="Arial"/>
          <w:sz w:val="16"/>
          <w:szCs w:val="16"/>
          <w:color w:val="auto"/>
        </w:rPr>
        <w:t>Permian – Unit development cost better than Plan.</w:t>
      </w:r>
    </w:p>
    <w:p>
      <w:pPr>
        <w:spacing w:after="0" w:line="99" w:lineRule="exact"/>
        <w:rPr>
          <w:rFonts w:ascii="Arial" w:cs="Arial" w:eastAsia="Arial" w:hAnsi="Arial"/>
          <w:sz w:val="16"/>
          <w:szCs w:val="16"/>
          <w:color w:val="auto"/>
        </w:rPr>
      </w:pPr>
    </w:p>
    <w:p>
      <w:pPr>
        <w:ind w:left="326" w:right="460" w:hanging="191"/>
        <w:spacing w:after="0" w:line="286" w:lineRule="auto"/>
        <w:tabs>
          <w:tab w:leader="none" w:pos="326" w:val="left"/>
        </w:tabs>
        <w:numPr>
          <w:ilvl w:val="1"/>
          <w:numId w:val="81"/>
        </w:numPr>
        <w:rPr>
          <w:rFonts w:ascii="Arial" w:cs="Arial" w:eastAsia="Arial" w:hAnsi="Arial"/>
          <w:sz w:val="16"/>
          <w:szCs w:val="16"/>
          <w:color w:val="auto"/>
        </w:rPr>
      </w:pPr>
      <w:r>
        <w:rPr>
          <w:rFonts w:ascii="Arial" w:cs="Arial" w:eastAsia="Arial" w:hAnsi="Arial"/>
          <w:sz w:val="16"/>
          <w:szCs w:val="16"/>
          <w:color w:val="auto"/>
        </w:rPr>
        <w:t>GS Caltex – Reached 100% of design capacity of its mixed-feed cracker, ahead of schedule and under budget.</w:t>
      </w:r>
    </w:p>
    <w:p>
      <w:pPr>
        <w:spacing w:after="0" w:line="34" w:lineRule="exact"/>
        <w:rPr>
          <w:rFonts w:ascii="Arial" w:cs="Arial" w:eastAsia="Arial" w:hAnsi="Arial"/>
          <w:sz w:val="16"/>
          <w:szCs w:val="16"/>
          <w:color w:val="auto"/>
        </w:rPr>
      </w:pPr>
    </w:p>
    <w:p>
      <w:pPr>
        <w:jc w:val="both"/>
        <w:ind w:left="166" w:right="140" w:hanging="166"/>
        <w:spacing w:after="0" w:line="286" w:lineRule="auto"/>
        <w:tabs>
          <w:tab w:leader="none" w:pos="166"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the preceding, the raw score range assigned to this category for the 2021 performance year was 1.45-1.60 out of a maximum of 2.0.</w:t>
      </w:r>
    </w:p>
    <w:p>
      <w:pPr>
        <w:spacing w:after="0" w:line="141"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B2D71"/>
        </w:rPr>
        <w:t>Operating &amp; safety performance – 25%</w:t>
      </w:r>
    </w:p>
    <w:p>
      <w:pPr>
        <w:spacing w:after="0" w:line="72" w:lineRule="exact"/>
        <w:rPr>
          <w:sz w:val="20"/>
          <w:szCs w:val="20"/>
          <w:color w:val="auto"/>
        </w:rPr>
      </w:pPr>
    </w:p>
    <w:p>
      <w:pPr>
        <w:ind w:left="166" w:right="80" w:hanging="166"/>
        <w:spacing w:after="0" w:line="266" w:lineRule="auto"/>
        <w:tabs>
          <w:tab w:leader="none" w:pos="166" w:val="left"/>
        </w:tabs>
        <w:numPr>
          <w:ilvl w:val="0"/>
          <w:numId w:val="82"/>
        </w:numPr>
        <w:rPr>
          <w:rFonts w:ascii="Arial" w:cs="Arial" w:eastAsia="Arial" w:hAnsi="Arial"/>
          <w:sz w:val="16"/>
          <w:szCs w:val="16"/>
          <w:color w:val="auto"/>
        </w:rPr>
      </w:pPr>
      <w:r>
        <w:rPr>
          <w:rFonts w:ascii="Arial" w:cs="Arial" w:eastAsia="Arial" w:hAnsi="Arial"/>
          <w:sz w:val="16"/>
          <w:szCs w:val="16"/>
          <w:color w:val="auto"/>
        </w:rPr>
        <w:t>Net production – 3.099 million barrels of oil-equivalent per day in 2021, excluding divestments. Annual growth rate at the lower-end of our 0-3% external guidance range (vs. 2020).</w:t>
      </w:r>
    </w:p>
    <w:p>
      <w:pPr>
        <w:spacing w:after="0" w:line="22" w:lineRule="exact"/>
        <w:rPr>
          <w:rFonts w:ascii="Arial" w:cs="Arial" w:eastAsia="Arial" w:hAnsi="Arial"/>
          <w:sz w:val="16"/>
          <w:szCs w:val="16"/>
          <w:color w:val="auto"/>
        </w:rPr>
      </w:pPr>
    </w:p>
    <w:p>
      <w:pPr>
        <w:ind w:left="166" w:hanging="166"/>
        <w:spacing w:after="0"/>
        <w:tabs>
          <w:tab w:leader="none" w:pos="166"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Refinery reliability – Operational availability in-line with Plan.</w:t>
      </w:r>
    </w:p>
    <w:p>
      <w:pPr>
        <w:spacing w:after="0" w:line="72" w:lineRule="exact"/>
        <w:rPr>
          <w:rFonts w:ascii="Arial" w:cs="Arial" w:eastAsia="Arial" w:hAnsi="Arial"/>
          <w:sz w:val="16"/>
          <w:szCs w:val="16"/>
          <w:color w:val="auto"/>
        </w:rPr>
      </w:pPr>
    </w:p>
    <w:p>
      <w:pPr>
        <w:ind w:left="166" w:right="120" w:hanging="166"/>
        <w:spacing w:after="0" w:line="266" w:lineRule="auto"/>
        <w:tabs>
          <w:tab w:leader="none" w:pos="166" w:val="left"/>
        </w:tabs>
        <w:numPr>
          <w:ilvl w:val="0"/>
          <w:numId w:val="82"/>
        </w:numPr>
        <w:rPr>
          <w:rFonts w:ascii="Arial" w:cs="Arial" w:eastAsia="Arial" w:hAnsi="Arial"/>
          <w:sz w:val="16"/>
          <w:szCs w:val="16"/>
          <w:color w:val="auto"/>
        </w:rPr>
      </w:pPr>
      <w:r>
        <w:rPr>
          <w:rFonts w:ascii="Arial" w:cs="Arial" w:eastAsia="Arial" w:hAnsi="Arial"/>
          <w:sz w:val="16"/>
          <w:szCs w:val="16"/>
          <w:color w:val="auto"/>
        </w:rPr>
        <w:t>Personal safety – Serious Injury count for the Company in 2021 slightly better than Plan (favorable). Opportunity for improvement remains in preventing fatal incidents.</w:t>
      </w:r>
    </w:p>
    <w:p>
      <w:pPr>
        <w:spacing w:after="0" w:line="22" w:lineRule="exact"/>
        <w:rPr>
          <w:rFonts w:ascii="Arial" w:cs="Arial" w:eastAsia="Arial" w:hAnsi="Arial"/>
          <w:sz w:val="16"/>
          <w:szCs w:val="16"/>
          <w:color w:val="auto"/>
        </w:rPr>
      </w:pPr>
    </w:p>
    <w:p>
      <w:pPr>
        <w:ind w:left="166" w:right="260" w:hanging="166"/>
        <w:spacing w:after="0" w:line="266" w:lineRule="auto"/>
        <w:tabs>
          <w:tab w:leader="none" w:pos="166" w:val="left"/>
        </w:tabs>
        <w:numPr>
          <w:ilvl w:val="0"/>
          <w:numId w:val="82"/>
        </w:numPr>
        <w:rPr>
          <w:rFonts w:ascii="Arial" w:cs="Arial" w:eastAsia="Arial" w:hAnsi="Arial"/>
          <w:sz w:val="16"/>
          <w:szCs w:val="16"/>
          <w:color w:val="auto"/>
        </w:rPr>
      </w:pPr>
      <w:r>
        <w:rPr>
          <w:rFonts w:ascii="Arial" w:cs="Arial" w:eastAsia="Arial" w:hAnsi="Arial"/>
          <w:sz w:val="16"/>
          <w:szCs w:val="16"/>
          <w:color w:val="auto"/>
        </w:rPr>
        <w:t>Process safety and environmental – Gaps in preventing high-severity incidents; combined number of Tier 1 + Tier 2 Loss of Containment exceeded Plan (unfavorable). Spill volume exceeded target.</w:t>
      </w:r>
    </w:p>
    <w:p>
      <w:pPr>
        <w:spacing w:after="0" w:line="22" w:lineRule="exact"/>
        <w:rPr>
          <w:rFonts w:ascii="Arial" w:cs="Arial" w:eastAsia="Arial" w:hAnsi="Arial"/>
          <w:sz w:val="16"/>
          <w:szCs w:val="16"/>
          <w:color w:val="auto"/>
        </w:rPr>
      </w:pPr>
    </w:p>
    <w:p>
      <w:pPr>
        <w:jc w:val="both"/>
        <w:ind w:left="166" w:right="140" w:hanging="166"/>
        <w:spacing w:after="0" w:line="286" w:lineRule="auto"/>
        <w:tabs>
          <w:tab w:leader="none" w:pos="166"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the preceding, the raw score range assigned to this category for the 2021 performance year was 0.90-1.00 out of a maximum of 2.0.</w:t>
      </w:r>
    </w:p>
    <w:p>
      <w:pPr>
        <w:spacing w:after="0" w:line="200" w:lineRule="exact"/>
        <w:rPr>
          <w:sz w:val="20"/>
          <w:szCs w:val="20"/>
          <w:color w:val="auto"/>
        </w:rPr>
      </w:pPr>
    </w:p>
    <w:p>
      <w:pPr>
        <w:sectPr>
          <w:pgSz w:w="11900" w:h="16838" w:orient="portrait"/>
          <w:cols w:equalWidth="0" w:num="2">
            <w:col w:w="5360" w:space="374"/>
            <w:col w:w="5386"/>
          </w:cols>
          <w:pgMar w:left="320" w:top="455" w:right="459" w:bottom="1440" w:gutter="0" w:footer="0" w:header="0"/>
          <w:type w:val="continuous"/>
        </w:sectPr>
      </w:pPr>
    </w:p>
    <w:p>
      <w:pPr>
        <w:spacing w:after="0" w:line="33"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Chevron Corporation – 2022 Proxy Statement</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52</w:t>
      </w:r>
    </w:p>
    <w:p>
      <w:pPr>
        <w:sectPr>
          <w:pgSz w:w="11900" w:h="16838" w:orient="portrait"/>
          <w:cols w:equalWidth="0" w:num="1">
            <w:col w:w="11120"/>
          </w:cols>
          <w:pgMar w:left="320" w:top="455" w:right="459" w:bottom="1440" w:gutter="0" w:footer="0" w:header="0"/>
          <w:type w:val="continuous"/>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Energy transition – 10%</w:t>
      </w:r>
    </w:p>
    <w:p>
      <w:pPr>
        <w:spacing w:after="0" w:line="126"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Progress on performance measures that are intended to lead to achieving our GHG intensity metrics:</w:t>
      </w:r>
    </w:p>
    <w:p>
      <w:pPr>
        <w:spacing w:after="0" w:line="61" w:lineRule="exact"/>
        <w:rPr>
          <w:sz w:val="20"/>
          <w:szCs w:val="20"/>
          <w:color w:val="auto"/>
        </w:rPr>
      </w:pPr>
    </w:p>
    <w:p>
      <w:pPr>
        <w:ind w:left="300" w:right="20" w:hanging="184"/>
        <w:spacing w:after="0" w:line="256" w:lineRule="auto"/>
        <w:tabs>
          <w:tab w:leader="none" w:pos="3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Greenhouse gas management – Progress with identifying, funding, and executing GHG reduction projects via our marginal abatement cost curve process, which has identified more than 200 GHG-abatement projects. Launched global methane detection plan. Completed strategy for achieving Zero Routine Flaring by 2030.</w:t>
      </w:r>
    </w:p>
    <w:p>
      <w:pPr>
        <w:spacing w:after="0" w:line="85" w:lineRule="exact"/>
        <w:rPr>
          <w:rFonts w:ascii="Arial" w:cs="Arial" w:eastAsia="Arial" w:hAnsi="Arial"/>
          <w:sz w:val="16"/>
          <w:szCs w:val="16"/>
          <w:color w:val="auto"/>
        </w:rPr>
      </w:pPr>
    </w:p>
    <w:p>
      <w:pPr>
        <w:ind w:left="300" w:right="220" w:hanging="184"/>
        <w:spacing w:after="0" w:line="253" w:lineRule="auto"/>
        <w:tabs>
          <w:tab w:leader="none" w:pos="3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Renewable energy and carbon offsets – Achieved milestones for renewable feedstocks, including beginning coprocessing at El Segundo; renewable natural gas, including achieving first renewable natural gas from Brightmark LLC partnership; and renewable power projects, including achieving final investment decision for renewable power projects in the Permian Basin under co- development with Algonquin.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ind w:left="3406"/>
        <w:spacing w:after="0"/>
        <w:rPr>
          <w:sz w:val="20"/>
          <w:szCs w:val="20"/>
          <w:color w:val="auto"/>
        </w:rPr>
      </w:pPr>
      <w:r>
        <w:rPr>
          <w:rFonts w:ascii="Arial" w:cs="Arial" w:eastAsia="Arial" w:hAnsi="Arial"/>
          <w:sz w:val="14"/>
          <w:szCs w:val="14"/>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-661670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-121285</wp:posOffset>
            </wp:positionV>
            <wp:extent cx="1474470" cy="146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474470" cy="14605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66" w:right="80" w:hanging="166"/>
        <w:spacing w:after="0" w:line="251" w:lineRule="auto"/>
        <w:tabs>
          <w:tab w:leader="none" w:pos="166" w:val="left"/>
        </w:tabs>
        <w:numPr>
          <w:ilvl w:val="0"/>
          <w:numId w:val="84"/>
        </w:numPr>
        <w:rPr>
          <w:rFonts w:ascii="Arial" w:cs="Arial" w:eastAsia="Arial" w:hAnsi="Arial"/>
          <w:sz w:val="16"/>
          <w:szCs w:val="16"/>
          <w:color w:val="auto"/>
        </w:rPr>
      </w:pPr>
      <w:r>
        <w:rPr>
          <w:rFonts w:ascii="Arial" w:cs="Arial" w:eastAsia="Arial" w:hAnsi="Arial"/>
          <w:sz w:val="16"/>
          <w:szCs w:val="16"/>
          <w:color w:val="auto"/>
        </w:rPr>
        <w:t>Low-Carbon technologies – In line with Plan for memorandums of understanding, including with Cummins Inc. and Toyota Motor North America to explore strategic alliances for commercial viable business opportunities in hydrogen, and venture investments, including among others in Starfire, a startup developing a modular, distributed ammonia cracking system, Hydrogenious LOHC Technologies, whose technology has potential as a bulk hydrogen storage and transportation medium, and Ocergy Inc., a developer of floating offshore wind foundation technology.</w:t>
      </w:r>
    </w:p>
    <w:p>
      <w:pPr>
        <w:spacing w:after="0" w:line="90" w:lineRule="exact"/>
        <w:rPr>
          <w:rFonts w:ascii="Arial" w:cs="Arial" w:eastAsia="Arial" w:hAnsi="Arial"/>
          <w:sz w:val="16"/>
          <w:szCs w:val="16"/>
          <w:color w:val="auto"/>
        </w:rPr>
      </w:pPr>
    </w:p>
    <w:p>
      <w:pPr>
        <w:jc w:val="both"/>
        <w:ind w:left="166" w:right="140" w:hanging="166"/>
        <w:spacing w:after="0" w:line="286" w:lineRule="auto"/>
        <w:tabs>
          <w:tab w:leader="none" w:pos="166"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the preceding, the raw score range assigned to this category for the 2021 performance year was 0.95-1.05 out of a maximum of 2.0.</w:t>
      </w:r>
    </w:p>
    <w:p>
      <w:pPr>
        <w:spacing w:after="0" w:line="862" w:lineRule="exact"/>
        <w:rPr>
          <w:sz w:val="20"/>
          <w:szCs w:val="20"/>
          <w:color w:val="auto"/>
        </w:rPr>
      </w:pPr>
    </w:p>
    <w:p>
      <w:pPr>
        <w:sectPr>
          <w:pgSz w:w="11900" w:h="16838" w:orient="portrait"/>
          <w:cols w:equalWidth="0" w:num="2">
            <w:col w:w="5400" w:space="334"/>
            <w:col w:w="5386"/>
          </w:cols>
          <w:pgMar w:left="320" w:top="455" w:right="459" w:bottom="1440" w:gutter="0" w:footer="0" w:header="0"/>
        </w:sectPr>
      </w:pPr>
    </w:p>
    <w:p>
      <w:pPr>
        <w:spacing w:after="0" w:line="1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2021 NEO CIP awards</w:t>
      </w:r>
    </w:p>
    <w:p>
      <w:pPr>
        <w:spacing w:after="0" w:line="126"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There was no change to CIP targets for the CEO and the other NEOs in 2021.</w:t>
      </w:r>
    </w:p>
    <w:p>
      <w:pPr>
        <w:spacing w:after="0" w:line="48"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In determining the Individual Bonus Component (IBC) for the 2021 CIP awards to the CEO and the other NEOs, the MCC and the independent Directors of the Board considered a wide range of factors, including individual and business unit achievements in alignment with the four CIP categories, strategic impact in positioning Chevron for the future, the executive’s collaboration with other members of the leadership team, and how executives role model The Chevron Way as stewards of the business.</w:t>
      </w:r>
    </w:p>
    <w:p>
      <w:pPr>
        <w:spacing w:after="0" w:line="75"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Specifically, the MCC recognized and considered these accomplishments and performance gaps for each NEO when determining the IBC:</w:t>
      </w:r>
    </w:p>
    <w:p>
      <w:pPr>
        <w:spacing w:after="0" w:line="61" w:lineRule="exact"/>
        <w:rPr>
          <w:sz w:val="20"/>
          <w:szCs w:val="20"/>
          <w:color w:val="auto"/>
        </w:rPr>
      </w:pPr>
    </w:p>
    <w:p>
      <w:pPr>
        <w:ind w:left="300" w:right="60" w:hanging="184"/>
        <w:spacing w:after="0" w:line="250" w:lineRule="auto"/>
        <w:tabs>
          <w:tab w:leader="none" w:pos="300" w:val="left"/>
        </w:tabs>
        <w:numPr>
          <w:ilvl w:val="0"/>
          <w:numId w:val="85"/>
        </w:numPr>
        <w:rPr>
          <w:rFonts w:ascii="Arial" w:cs="Arial" w:eastAsia="Arial" w:hAnsi="Arial"/>
          <w:sz w:val="16"/>
          <w:szCs w:val="16"/>
          <w:color w:val="auto"/>
        </w:rPr>
      </w:pPr>
      <w:r>
        <w:rPr>
          <w:rFonts w:ascii="Arial" w:cs="Arial" w:eastAsia="Arial" w:hAnsi="Arial"/>
          <w:sz w:val="16"/>
          <w:szCs w:val="16"/>
          <w:b w:val="1"/>
          <w:bCs w:val="1"/>
          <w:color w:val="auto"/>
        </w:rPr>
        <w:t xml:space="preserve">Michael K. Wirth </w:t>
      </w:r>
      <w:r>
        <w:rPr>
          <w:rFonts w:ascii="Arial" w:cs="Arial" w:eastAsia="Arial" w:hAnsi="Arial"/>
          <w:sz w:val="16"/>
          <w:szCs w:val="16"/>
          <w:color w:val="auto"/>
        </w:rPr>
        <w:t>– Mr. Wirth exhibited strong leadership in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Chevron’s key financial and operational objectives– notably, highest earnings since 2014 and record free cash flow, continued capital discipline with the Company’s highest ROCE since 2014, resuming stock repurchases and delivering significant progress on major milestones. In addition, Mr. Wirth led Chevron’s efforts to advance its lower carbon future by forming the Chevron New Energies organization, introducing a 2050 net zero aspiration for Upstream Scope 1 and Scope 2 emissions, and more than tripling planned lower carbon investments through 2028.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166" w:right="400" w:hanging="166"/>
        <w:spacing w:after="0" w:line="259" w:lineRule="auto"/>
        <w:tabs>
          <w:tab w:leader="none" w:pos="166" w:val="left"/>
        </w:tabs>
        <w:numPr>
          <w:ilvl w:val="0"/>
          <w:numId w:val="86"/>
        </w:numPr>
        <w:rPr>
          <w:rFonts w:ascii="Arial" w:cs="Arial" w:eastAsia="Arial" w:hAnsi="Arial"/>
          <w:sz w:val="16"/>
          <w:szCs w:val="16"/>
          <w:color w:val="auto"/>
        </w:rPr>
      </w:pPr>
      <w:r>
        <w:rPr>
          <w:rFonts w:ascii="Arial" w:cs="Arial" w:eastAsia="Arial" w:hAnsi="Arial"/>
          <w:sz w:val="16"/>
          <w:szCs w:val="16"/>
          <w:b w:val="1"/>
          <w:bCs w:val="1"/>
          <w:color w:val="auto"/>
        </w:rPr>
        <w:t xml:space="preserve">Pierre R. Breber </w:t>
      </w:r>
      <w:r>
        <w:rPr>
          <w:rFonts w:ascii="Arial" w:cs="Arial" w:eastAsia="Arial" w:hAnsi="Arial"/>
          <w:sz w:val="16"/>
          <w:szCs w:val="16"/>
          <w:color w:val="auto"/>
        </w:rPr>
        <w:t>– Mr. Breber continued to be highly effective in</w:t>
      </w:r>
      <w:r>
        <w:rPr>
          <w:rFonts w:ascii="Arial" w:cs="Arial" w:eastAsia="Arial" w:hAnsi="Arial"/>
          <w:sz w:val="16"/>
          <w:szCs w:val="16"/>
          <w:b w:val="1"/>
          <w:bCs w:val="1"/>
          <w:color w:val="auto"/>
        </w:rPr>
        <w:t xml:space="preserve"> </w:t>
      </w:r>
      <w:r>
        <w:rPr>
          <w:rFonts w:ascii="Arial" w:cs="Arial" w:eastAsia="Arial" w:hAnsi="Arial"/>
          <w:sz w:val="16"/>
          <w:szCs w:val="16"/>
          <w:color w:val="auto"/>
        </w:rPr>
        <w:t>managing costs and efficiencies, retaining strong internal controls, maintaining the balance sheet, and strengthening relationships and engagements with the investment community.</w:t>
      </w:r>
    </w:p>
    <w:p>
      <w:pPr>
        <w:spacing w:after="0" w:line="83" w:lineRule="exact"/>
        <w:rPr>
          <w:rFonts w:ascii="Arial" w:cs="Arial" w:eastAsia="Arial" w:hAnsi="Arial"/>
          <w:sz w:val="16"/>
          <w:szCs w:val="16"/>
          <w:color w:val="auto"/>
        </w:rPr>
      </w:pPr>
    </w:p>
    <w:p>
      <w:pPr>
        <w:ind w:left="166" w:right="200" w:hanging="166"/>
        <w:spacing w:after="0" w:line="256" w:lineRule="auto"/>
        <w:tabs>
          <w:tab w:leader="none" w:pos="166" w:val="left"/>
        </w:tabs>
        <w:numPr>
          <w:ilvl w:val="0"/>
          <w:numId w:val="86"/>
        </w:numPr>
        <w:rPr>
          <w:rFonts w:ascii="Arial" w:cs="Arial" w:eastAsia="Arial" w:hAnsi="Arial"/>
          <w:sz w:val="16"/>
          <w:szCs w:val="16"/>
          <w:color w:val="auto"/>
        </w:rPr>
      </w:pPr>
      <w:r>
        <w:rPr>
          <w:rFonts w:ascii="Arial" w:cs="Arial" w:eastAsia="Arial" w:hAnsi="Arial"/>
          <w:sz w:val="16"/>
          <w:szCs w:val="16"/>
          <w:b w:val="1"/>
          <w:bCs w:val="1"/>
          <w:color w:val="auto"/>
        </w:rPr>
        <w:t xml:space="preserve">James W. Johnson </w:t>
      </w:r>
      <w:r>
        <w:rPr>
          <w:rFonts w:ascii="Arial" w:cs="Arial" w:eastAsia="Arial" w:hAnsi="Arial"/>
          <w:sz w:val="16"/>
          <w:szCs w:val="16"/>
          <w:color w:val="auto"/>
        </w:rPr>
        <w:t>– Mr. Johnson led the Upstream organization to</w:t>
      </w:r>
      <w:r>
        <w:rPr>
          <w:rFonts w:ascii="Arial" w:cs="Arial" w:eastAsia="Arial" w:hAnsi="Arial"/>
          <w:sz w:val="16"/>
          <w:szCs w:val="16"/>
          <w:b w:val="1"/>
          <w:bCs w:val="1"/>
          <w:color w:val="auto"/>
        </w:rPr>
        <w:t xml:space="preserve"> </w:t>
      </w:r>
      <w:r>
        <w:rPr>
          <w:rFonts w:ascii="Arial" w:cs="Arial" w:eastAsia="Arial" w:hAnsi="Arial"/>
          <w:sz w:val="16"/>
          <w:szCs w:val="16"/>
          <w:color w:val="auto"/>
        </w:rPr>
        <w:t>deliver strong operational results in another year of ongoing pandemic challenges and made substantial progress on the Tengizchevroil FGP/WPMP major milestones, with some performance gaps with respect to fatality prevention and process safety.</w:t>
      </w:r>
    </w:p>
    <w:p>
      <w:pPr>
        <w:spacing w:after="0" w:line="85" w:lineRule="exact"/>
        <w:rPr>
          <w:rFonts w:ascii="Arial" w:cs="Arial" w:eastAsia="Arial" w:hAnsi="Arial"/>
          <w:sz w:val="16"/>
          <w:szCs w:val="16"/>
          <w:color w:val="auto"/>
        </w:rPr>
      </w:pPr>
    </w:p>
    <w:p>
      <w:pPr>
        <w:ind w:left="166" w:right="140" w:hanging="166"/>
        <w:spacing w:after="0" w:line="256" w:lineRule="auto"/>
        <w:tabs>
          <w:tab w:leader="none" w:pos="166" w:val="left"/>
        </w:tabs>
        <w:numPr>
          <w:ilvl w:val="0"/>
          <w:numId w:val="86"/>
        </w:numPr>
        <w:rPr>
          <w:rFonts w:ascii="Arial" w:cs="Arial" w:eastAsia="Arial" w:hAnsi="Arial"/>
          <w:sz w:val="16"/>
          <w:szCs w:val="16"/>
          <w:color w:val="auto"/>
        </w:rPr>
      </w:pPr>
      <w:r>
        <w:rPr>
          <w:rFonts w:ascii="Arial" w:cs="Arial" w:eastAsia="Arial" w:hAnsi="Arial"/>
          <w:sz w:val="16"/>
          <w:szCs w:val="16"/>
          <w:b w:val="1"/>
          <w:bCs w:val="1"/>
          <w:color w:val="auto"/>
        </w:rPr>
        <w:t xml:space="preserve">Joseph C. Geagea </w:t>
      </w:r>
      <w:r>
        <w:rPr>
          <w:rFonts w:ascii="Arial" w:cs="Arial" w:eastAsia="Arial" w:hAnsi="Arial"/>
          <w:sz w:val="16"/>
          <w:szCs w:val="16"/>
          <w:color w:val="auto"/>
        </w:rPr>
        <w:t>– Mr. Geagea successfully drove the completion of</w:t>
      </w:r>
      <w:r>
        <w:rPr>
          <w:rFonts w:ascii="Arial" w:cs="Arial" w:eastAsia="Arial" w:hAnsi="Arial"/>
          <w:sz w:val="16"/>
          <w:szCs w:val="16"/>
          <w:b w:val="1"/>
          <w:bCs w:val="1"/>
          <w:color w:val="auto"/>
        </w:rPr>
        <w:t xml:space="preserve"> </w:t>
      </w:r>
      <w:r>
        <w:rPr>
          <w:rFonts w:ascii="Arial" w:cs="Arial" w:eastAsia="Arial" w:hAnsi="Arial"/>
          <w:sz w:val="16"/>
          <w:szCs w:val="16"/>
          <w:color w:val="auto"/>
        </w:rPr>
        <w:t>Noble integration, which more than doubled the Company’s initial synergy estimates. He was also instrumental in ensuring a smooth leadership transition while delivering on key safety and operational metrics and exceeding the cost reduction targets for his organization.</w:t>
      </w:r>
    </w:p>
    <w:p>
      <w:pPr>
        <w:spacing w:after="0" w:line="85" w:lineRule="exact"/>
        <w:rPr>
          <w:rFonts w:ascii="Arial" w:cs="Arial" w:eastAsia="Arial" w:hAnsi="Arial"/>
          <w:sz w:val="16"/>
          <w:szCs w:val="16"/>
          <w:color w:val="auto"/>
        </w:rPr>
      </w:pPr>
    </w:p>
    <w:p>
      <w:pPr>
        <w:ind w:left="166" w:right="20" w:hanging="166"/>
        <w:spacing w:after="0" w:line="256" w:lineRule="auto"/>
        <w:tabs>
          <w:tab w:leader="none" w:pos="166" w:val="left"/>
        </w:tabs>
        <w:numPr>
          <w:ilvl w:val="0"/>
          <w:numId w:val="86"/>
        </w:numPr>
        <w:rPr>
          <w:rFonts w:ascii="Arial" w:cs="Arial" w:eastAsia="Arial" w:hAnsi="Arial"/>
          <w:sz w:val="16"/>
          <w:szCs w:val="16"/>
          <w:color w:val="auto"/>
        </w:rPr>
      </w:pPr>
      <w:r>
        <w:rPr>
          <w:rFonts w:ascii="Arial" w:cs="Arial" w:eastAsia="Arial" w:hAnsi="Arial"/>
          <w:sz w:val="16"/>
          <w:szCs w:val="16"/>
          <w:b w:val="1"/>
          <w:bCs w:val="1"/>
          <w:color w:val="auto"/>
        </w:rPr>
        <w:t xml:space="preserve">Mark A. Nelson </w:t>
      </w:r>
      <w:r>
        <w:rPr>
          <w:rFonts w:ascii="Arial" w:cs="Arial" w:eastAsia="Arial" w:hAnsi="Arial"/>
          <w:sz w:val="16"/>
          <w:szCs w:val="16"/>
          <w:color w:val="auto"/>
        </w:rPr>
        <w:t>– Mr. Nelson delivered strong operational, safety and</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results despite challenging Downstream market conditions for most of the year. He also demonstrated strong leadership and was a key contributor on the execution of the Company’s lower carbon strategy, particularly in the early ventures of renewable fuels.</w:t>
      </w:r>
    </w:p>
    <w:p>
      <w:pPr>
        <w:spacing w:after="0" w:line="730" w:lineRule="exact"/>
        <w:rPr>
          <w:sz w:val="20"/>
          <w:szCs w:val="20"/>
          <w:color w:val="auto"/>
        </w:rPr>
      </w:pPr>
    </w:p>
    <w:p>
      <w:pPr>
        <w:sectPr>
          <w:pgSz w:w="11900" w:h="16838" w:orient="portrait"/>
          <w:cols w:equalWidth="0" w:num="2">
            <w:col w:w="5380" w:space="354"/>
            <w:col w:w="5386"/>
          </w:cols>
          <w:pgMar w:left="320" w:top="455" w:right="459" w:bottom="1440" w:gutter="0" w:footer="0" w:header="0"/>
          <w:type w:val="continuous"/>
        </w:sectPr>
      </w:pPr>
    </w:p>
    <w:p>
      <w:pPr>
        <w:spacing w:after="0" w:line="138"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As a result of the performance evaluation, the MCC and the Independent Directors of the Board determined the 2021 CIP awards to be paid to Mr. Wirth and the other NEOs as follows. Refer to page 44 for CIP target percentage for each NEO.</w:t>
      </w:r>
    </w:p>
    <w:p>
      <w:pPr>
        <w:spacing w:after="0" w:line="75" w:lineRule="exact"/>
        <w:rPr>
          <w:sz w:val="20"/>
          <w:szCs w:val="20"/>
          <w:color w:val="auto"/>
        </w:rPr>
      </w:pPr>
    </w:p>
    <w:tbl>
      <w:tblPr>
        <w:tblLayout w:type="fixed"/>
        <w:tblInd w:w="170" w:type="dxa"/>
        <w:tblCellMar>
          <w:top w:w="0" w:type="dxa"/>
          <w:left w:w="0" w:type="dxa"/>
          <w:bottom w:w="0" w:type="dxa"/>
          <w:right w:w="0" w:type="dxa"/>
        </w:tblCellMar>
      </w:tblPr>
      <w:tr>
        <w:trPr>
          <w:trHeight w:val="188"/>
        </w:trPr>
        <w:tc>
          <w:tcPr>
            <w:tcW w:w="2360" w:type="dxa"/>
            <w:vAlign w:val="bottom"/>
            <w:tcBorders>
              <w:left w:val="single" w:sz="8" w:color="7F7F7F"/>
            </w:tcBorders>
            <w:vMerge w:val="restart"/>
            <w:shd w:val="clear" w:color="auto" w:fill="0066B2"/>
          </w:tcPr>
          <w:p>
            <w:pPr>
              <w:ind w:left="140"/>
              <w:spacing w:after="0"/>
              <w:rPr>
                <w:sz w:val="20"/>
                <w:szCs w:val="20"/>
                <w:color w:val="auto"/>
              </w:rPr>
            </w:pPr>
            <w:r>
              <w:rPr>
                <w:rFonts w:ascii="Arial" w:cs="Arial" w:eastAsia="Arial" w:hAnsi="Arial"/>
                <w:sz w:val="16"/>
                <w:szCs w:val="16"/>
                <w:b w:val="1"/>
                <w:bCs w:val="1"/>
                <w:color w:val="FFFFFF"/>
              </w:rPr>
              <w:t>Name</w:t>
            </w:r>
          </w:p>
        </w:tc>
        <w:tc>
          <w:tcPr>
            <w:tcW w:w="2440" w:type="dxa"/>
            <w:vAlign w:val="bottom"/>
            <w:shd w:val="clear" w:color="auto" w:fill="0066B2"/>
          </w:tcPr>
          <w:p>
            <w:pPr>
              <w:jc w:val="right"/>
              <w:ind w:right="359"/>
              <w:spacing w:after="0"/>
              <w:rPr>
                <w:sz w:val="20"/>
                <w:szCs w:val="20"/>
                <w:color w:val="auto"/>
              </w:rPr>
            </w:pPr>
            <w:r>
              <w:rPr>
                <w:rFonts w:ascii="Arial" w:cs="Arial" w:eastAsia="Arial" w:hAnsi="Arial"/>
                <w:sz w:val="16"/>
                <w:szCs w:val="16"/>
                <w:b w:val="1"/>
                <w:bCs w:val="1"/>
                <w:color w:val="FFFFFF"/>
              </w:rPr>
              <w:t>Corporate</w:t>
            </w:r>
          </w:p>
        </w:tc>
        <w:tc>
          <w:tcPr>
            <w:tcW w:w="420" w:type="dxa"/>
            <w:vAlign w:val="bottom"/>
            <w:shd w:val="clear" w:color="auto" w:fill="0066B2"/>
          </w:tcPr>
          <w:p>
            <w:pPr>
              <w:spacing w:after="0"/>
              <w:rPr>
                <w:sz w:val="16"/>
                <w:szCs w:val="16"/>
                <w:color w:val="auto"/>
              </w:rPr>
            </w:pPr>
          </w:p>
        </w:tc>
        <w:tc>
          <w:tcPr>
            <w:tcW w:w="3000" w:type="dxa"/>
            <w:vAlign w:val="bottom"/>
            <w:gridSpan w:val="4"/>
            <w:shd w:val="clear" w:color="auto" w:fill="0066B2"/>
          </w:tcPr>
          <w:p>
            <w:pPr>
              <w:ind w:left="680"/>
              <w:spacing w:after="0"/>
              <w:rPr>
                <w:sz w:val="20"/>
                <w:szCs w:val="20"/>
                <w:color w:val="auto"/>
              </w:rPr>
            </w:pPr>
            <w:r>
              <w:rPr>
                <w:rFonts w:ascii="Arial" w:cs="Arial" w:eastAsia="Arial" w:hAnsi="Arial"/>
                <w:sz w:val="16"/>
                <w:szCs w:val="16"/>
                <w:b w:val="1"/>
                <w:bCs w:val="1"/>
                <w:color w:val="FFFFFF"/>
              </w:rPr>
              <w:t>Individual Bonus Component</w:t>
            </w:r>
          </w:p>
        </w:tc>
        <w:tc>
          <w:tcPr>
            <w:tcW w:w="860" w:type="dxa"/>
            <w:vAlign w:val="bottom"/>
            <w:shd w:val="clear" w:color="auto" w:fill="0066B2"/>
          </w:tcPr>
          <w:p>
            <w:pPr>
              <w:spacing w:after="0"/>
              <w:rPr>
                <w:sz w:val="16"/>
                <w:szCs w:val="16"/>
                <w:color w:val="auto"/>
              </w:rPr>
            </w:pPr>
          </w:p>
        </w:tc>
        <w:tc>
          <w:tcPr>
            <w:tcW w:w="480" w:type="dxa"/>
            <w:vAlign w:val="bottom"/>
            <w:shd w:val="clear" w:color="auto" w:fill="0066B2"/>
          </w:tcPr>
          <w:p>
            <w:pPr>
              <w:spacing w:after="0"/>
              <w:rPr>
                <w:sz w:val="16"/>
                <w:szCs w:val="16"/>
                <w:color w:val="auto"/>
              </w:rPr>
            </w:pPr>
          </w:p>
        </w:tc>
        <w:tc>
          <w:tcPr>
            <w:tcW w:w="1400" w:type="dxa"/>
            <w:vAlign w:val="bottom"/>
            <w:tcBorders>
              <w:right w:val="single" w:sz="8" w:color="7F7F7F"/>
            </w:tcBorders>
            <w:gridSpan w:val="2"/>
            <w:vMerge w:val="restart"/>
            <w:shd w:val="clear" w:color="auto" w:fill="0066B2"/>
          </w:tcPr>
          <w:p>
            <w:pPr>
              <w:ind w:left="80"/>
              <w:spacing w:after="0"/>
              <w:rPr>
                <w:sz w:val="20"/>
                <w:szCs w:val="20"/>
                <w:color w:val="auto"/>
              </w:rPr>
            </w:pPr>
            <w:r>
              <w:rPr>
                <w:rFonts w:ascii="Arial" w:cs="Arial" w:eastAsia="Arial" w:hAnsi="Arial"/>
                <w:sz w:val="16"/>
                <w:szCs w:val="16"/>
                <w:b w:val="1"/>
                <w:bCs w:val="1"/>
                <w:color w:val="FFFFFF"/>
              </w:rPr>
              <w:t>2021 CIP award</w:t>
            </w:r>
          </w:p>
        </w:tc>
        <w:tc>
          <w:tcPr>
            <w:tcW w:w="0" w:type="dxa"/>
            <w:vAlign w:val="bottom"/>
          </w:tcPr>
          <w:p>
            <w:pPr>
              <w:spacing w:after="0"/>
              <w:rPr>
                <w:sz w:val="1"/>
                <w:szCs w:val="1"/>
                <w:color w:val="auto"/>
              </w:rPr>
            </w:pPr>
          </w:p>
        </w:tc>
      </w:tr>
      <w:tr>
        <w:trPr>
          <w:trHeight w:val="128"/>
        </w:trPr>
        <w:tc>
          <w:tcPr>
            <w:tcW w:w="2360" w:type="dxa"/>
            <w:vAlign w:val="bottom"/>
            <w:tcBorders>
              <w:left w:val="single" w:sz="8" w:color="7F7F7F"/>
            </w:tcBorders>
            <w:vMerge w:val="continue"/>
            <w:shd w:val="clear" w:color="auto" w:fill="0066B2"/>
          </w:tcPr>
          <w:p>
            <w:pPr>
              <w:spacing w:after="0"/>
              <w:rPr>
                <w:sz w:val="11"/>
                <w:szCs w:val="11"/>
                <w:color w:val="auto"/>
              </w:rPr>
            </w:pPr>
          </w:p>
        </w:tc>
        <w:tc>
          <w:tcPr>
            <w:tcW w:w="2440" w:type="dxa"/>
            <w:vAlign w:val="bottom"/>
            <w:vMerge w:val="restart"/>
            <w:shd w:val="clear" w:color="auto" w:fill="0066B2"/>
          </w:tcPr>
          <w:p>
            <w:pPr>
              <w:jc w:val="right"/>
              <w:spacing w:after="0"/>
              <w:rPr>
                <w:sz w:val="20"/>
                <w:szCs w:val="20"/>
                <w:color w:val="auto"/>
              </w:rPr>
            </w:pPr>
            <w:r>
              <w:rPr>
                <w:rFonts w:ascii="Arial" w:cs="Arial" w:eastAsia="Arial" w:hAnsi="Arial"/>
                <w:sz w:val="16"/>
                <w:szCs w:val="16"/>
                <w:b w:val="1"/>
                <w:bCs w:val="1"/>
                <w:color w:val="FFFFFF"/>
              </w:rPr>
              <w:t>Performance Rating</w:t>
            </w:r>
          </w:p>
        </w:tc>
        <w:tc>
          <w:tcPr>
            <w:tcW w:w="420" w:type="dxa"/>
            <w:vAlign w:val="bottom"/>
            <w:shd w:val="clear" w:color="auto" w:fill="0066B2"/>
          </w:tcPr>
          <w:p>
            <w:pPr>
              <w:spacing w:after="0"/>
              <w:rPr>
                <w:sz w:val="11"/>
                <w:szCs w:val="11"/>
                <w:color w:val="auto"/>
              </w:rPr>
            </w:pPr>
          </w:p>
        </w:tc>
        <w:tc>
          <w:tcPr>
            <w:tcW w:w="3860" w:type="dxa"/>
            <w:vAlign w:val="bottom"/>
            <w:gridSpan w:val="5"/>
            <w:vMerge w:val="restart"/>
            <w:shd w:val="clear" w:color="auto" w:fill="0066B2"/>
          </w:tcPr>
          <w:p>
            <w:pPr>
              <w:jc w:val="right"/>
              <w:ind w:right="699"/>
              <w:spacing w:after="0"/>
              <w:rPr>
                <w:sz w:val="20"/>
                <w:szCs w:val="20"/>
                <w:color w:val="auto"/>
              </w:rPr>
            </w:pPr>
            <w:r>
              <w:rPr>
                <w:rFonts w:ascii="Arial" w:cs="Arial" w:eastAsia="Arial" w:hAnsi="Arial"/>
                <w:sz w:val="16"/>
                <w:szCs w:val="16"/>
                <w:b w:val="1"/>
                <w:bCs w:val="1"/>
                <w:color w:val="FFFFFF"/>
              </w:rPr>
              <w:t>(base salary x bonus percentage)</w:t>
            </w:r>
          </w:p>
        </w:tc>
        <w:tc>
          <w:tcPr>
            <w:tcW w:w="480" w:type="dxa"/>
            <w:vAlign w:val="bottom"/>
            <w:shd w:val="clear" w:color="auto" w:fill="0066B2"/>
          </w:tcPr>
          <w:p>
            <w:pPr>
              <w:spacing w:after="0"/>
              <w:rPr>
                <w:sz w:val="11"/>
                <w:szCs w:val="11"/>
                <w:color w:val="auto"/>
              </w:rPr>
            </w:pPr>
          </w:p>
        </w:tc>
        <w:tc>
          <w:tcPr>
            <w:tcW w:w="1400" w:type="dxa"/>
            <w:vAlign w:val="bottom"/>
            <w:tcBorders>
              <w:right w:val="single" w:sz="8" w:color="7F7F7F"/>
            </w:tcBorders>
            <w:gridSpan w:val="2"/>
            <w:vMerge w:val="continue"/>
            <w:shd w:val="clear" w:color="auto" w:fill="0066B2"/>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360" w:type="dxa"/>
            <w:vAlign w:val="bottom"/>
            <w:tcBorders>
              <w:left w:val="single" w:sz="8" w:color="7F7F7F"/>
            </w:tcBorders>
            <w:shd w:val="clear" w:color="auto" w:fill="0066B2"/>
          </w:tcPr>
          <w:p>
            <w:pPr>
              <w:spacing w:after="0"/>
              <w:rPr>
                <w:sz w:val="7"/>
                <w:szCs w:val="7"/>
                <w:color w:val="auto"/>
              </w:rPr>
            </w:pPr>
          </w:p>
        </w:tc>
        <w:tc>
          <w:tcPr>
            <w:tcW w:w="2440" w:type="dxa"/>
            <w:vAlign w:val="bottom"/>
            <w:vMerge w:val="continue"/>
            <w:shd w:val="clear" w:color="auto" w:fill="0066B2"/>
          </w:tcPr>
          <w:p>
            <w:pPr>
              <w:spacing w:after="0"/>
              <w:rPr>
                <w:sz w:val="7"/>
                <w:szCs w:val="7"/>
                <w:color w:val="auto"/>
              </w:rPr>
            </w:pPr>
          </w:p>
        </w:tc>
        <w:tc>
          <w:tcPr>
            <w:tcW w:w="420" w:type="dxa"/>
            <w:vAlign w:val="bottom"/>
            <w:shd w:val="clear" w:color="auto" w:fill="0066B2"/>
          </w:tcPr>
          <w:p>
            <w:pPr>
              <w:spacing w:after="0"/>
              <w:rPr>
                <w:sz w:val="7"/>
                <w:szCs w:val="7"/>
                <w:color w:val="auto"/>
              </w:rPr>
            </w:pPr>
          </w:p>
        </w:tc>
        <w:tc>
          <w:tcPr>
            <w:tcW w:w="3860" w:type="dxa"/>
            <w:vAlign w:val="bottom"/>
            <w:gridSpan w:val="5"/>
            <w:vMerge w:val="continue"/>
            <w:shd w:val="clear" w:color="auto" w:fill="0066B2"/>
          </w:tcPr>
          <w:p>
            <w:pPr>
              <w:spacing w:after="0"/>
              <w:rPr>
                <w:sz w:val="7"/>
                <w:szCs w:val="7"/>
                <w:color w:val="auto"/>
              </w:rPr>
            </w:pPr>
          </w:p>
        </w:tc>
        <w:tc>
          <w:tcPr>
            <w:tcW w:w="480" w:type="dxa"/>
            <w:vAlign w:val="bottom"/>
            <w:shd w:val="clear" w:color="auto" w:fill="0066B2"/>
          </w:tcPr>
          <w:p>
            <w:pPr>
              <w:spacing w:after="0"/>
              <w:rPr>
                <w:sz w:val="7"/>
                <w:szCs w:val="7"/>
                <w:color w:val="auto"/>
              </w:rPr>
            </w:pPr>
          </w:p>
        </w:tc>
        <w:tc>
          <w:tcPr>
            <w:tcW w:w="360" w:type="dxa"/>
            <w:vAlign w:val="bottom"/>
            <w:shd w:val="clear" w:color="auto" w:fill="0066B2"/>
          </w:tcPr>
          <w:p>
            <w:pPr>
              <w:spacing w:after="0"/>
              <w:rPr>
                <w:sz w:val="7"/>
                <w:szCs w:val="7"/>
                <w:color w:val="auto"/>
              </w:rPr>
            </w:pPr>
          </w:p>
        </w:tc>
        <w:tc>
          <w:tcPr>
            <w:tcW w:w="1040" w:type="dxa"/>
            <w:vAlign w:val="bottom"/>
            <w:tcBorders>
              <w:right w:val="single" w:sz="8" w:color="7F7F7F"/>
            </w:tcBorders>
            <w:shd w:val="clear" w:color="auto" w:fill="0066B2"/>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360" w:type="dxa"/>
            <w:vAlign w:val="bottom"/>
            <w:tcBorders>
              <w:left w:val="single" w:sz="8" w:color="7F7F7F"/>
            </w:tcBorders>
            <w:shd w:val="clear" w:color="auto" w:fill="D8D8D8"/>
          </w:tcPr>
          <w:p>
            <w:pPr>
              <w:ind w:left="140"/>
              <w:spacing w:after="0"/>
              <w:rPr>
                <w:sz w:val="20"/>
                <w:szCs w:val="20"/>
                <w:color w:val="auto"/>
              </w:rPr>
            </w:pPr>
            <w:r>
              <w:rPr>
                <w:rFonts w:ascii="Arial" w:cs="Arial" w:eastAsia="Arial" w:hAnsi="Arial"/>
                <w:sz w:val="16"/>
                <w:szCs w:val="16"/>
                <w:color w:val="auto"/>
              </w:rPr>
              <w:t>Michael K. Wirth</w:t>
            </w:r>
          </w:p>
        </w:tc>
        <w:tc>
          <w:tcPr>
            <w:tcW w:w="2440" w:type="dxa"/>
            <w:vAlign w:val="bottom"/>
            <w:shd w:val="clear" w:color="auto" w:fill="D8D8D8"/>
          </w:tcPr>
          <w:p>
            <w:pPr>
              <w:jc w:val="right"/>
              <w:ind w:right="699"/>
              <w:spacing w:after="0"/>
              <w:rPr>
                <w:sz w:val="20"/>
                <w:szCs w:val="20"/>
                <w:color w:val="auto"/>
              </w:rPr>
            </w:pPr>
            <w:r>
              <w:rPr>
                <w:rFonts w:ascii="Arial" w:cs="Arial" w:eastAsia="Arial" w:hAnsi="Arial"/>
                <w:sz w:val="16"/>
                <w:szCs w:val="16"/>
                <w:color w:val="auto"/>
              </w:rPr>
              <w:t>1.50</w:t>
            </w:r>
          </w:p>
        </w:tc>
        <w:tc>
          <w:tcPr>
            <w:tcW w:w="420" w:type="dxa"/>
            <w:vAlign w:val="bottom"/>
            <w:shd w:val="clear" w:color="auto" w:fill="D8D8D8"/>
          </w:tcPr>
          <w:p>
            <w:pPr>
              <w:ind w:left="60"/>
              <w:spacing w:after="0"/>
              <w:rPr>
                <w:sz w:val="20"/>
                <w:szCs w:val="20"/>
                <w:color w:val="auto"/>
              </w:rPr>
            </w:pPr>
            <w:r>
              <w:rPr>
                <w:rFonts w:ascii="Arial" w:cs="Arial" w:eastAsia="Arial" w:hAnsi="Arial"/>
                <w:sz w:val="16"/>
                <w:szCs w:val="16"/>
                <w:b w:val="1"/>
                <w:bCs w:val="1"/>
                <w:color w:val="auto"/>
              </w:rPr>
              <w:t>x</w:t>
            </w:r>
          </w:p>
        </w:tc>
        <w:tc>
          <w:tcPr>
            <w:tcW w:w="1300" w:type="dxa"/>
            <w:vAlign w:val="bottom"/>
            <w:shd w:val="clear" w:color="auto" w:fill="D8D8D8"/>
          </w:tcPr>
          <w:p>
            <w:pPr>
              <w:jc w:val="right"/>
              <w:ind w:right="79"/>
              <w:spacing w:after="0"/>
              <w:rPr>
                <w:sz w:val="20"/>
                <w:szCs w:val="20"/>
                <w:color w:val="auto"/>
              </w:rPr>
            </w:pPr>
            <w:r>
              <w:rPr>
                <w:rFonts w:ascii="Arial" w:cs="Arial" w:eastAsia="Arial" w:hAnsi="Arial"/>
                <w:sz w:val="16"/>
                <w:szCs w:val="16"/>
                <w:color w:val="auto"/>
              </w:rPr>
              <w:t>$ 3,000,000</w:t>
            </w:r>
          </w:p>
        </w:tc>
        <w:tc>
          <w:tcPr>
            <w:tcW w:w="3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 $</w:t>
            </w:r>
          </w:p>
        </w:tc>
        <w:tc>
          <w:tcPr>
            <w:tcW w:w="88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1,650,000</w:t>
            </w:r>
          </w:p>
        </w:tc>
        <w:tc>
          <w:tcPr>
            <w:tcW w:w="460" w:type="dxa"/>
            <w:vAlign w:val="bottom"/>
            <w:shd w:val="clear" w:color="auto" w:fill="D8D8D8"/>
          </w:tcPr>
          <w:p>
            <w:pPr>
              <w:ind w:left="140"/>
              <w:spacing w:after="0"/>
              <w:rPr>
                <w:sz w:val="20"/>
                <w:szCs w:val="20"/>
                <w:color w:val="auto"/>
              </w:rPr>
            </w:pPr>
            <w:r>
              <w:rPr>
                <w:rFonts w:ascii="Arial" w:cs="Arial" w:eastAsia="Arial" w:hAnsi="Arial"/>
                <w:sz w:val="16"/>
                <w:szCs w:val="16"/>
                <w:b w:val="1"/>
                <w:bCs w:val="1"/>
                <w:color w:val="auto"/>
              </w:rPr>
              <w:t>x</w:t>
            </w:r>
          </w:p>
        </w:tc>
        <w:tc>
          <w:tcPr>
            <w:tcW w:w="860" w:type="dxa"/>
            <w:vAlign w:val="bottom"/>
            <w:shd w:val="clear" w:color="auto" w:fill="D8D8D8"/>
          </w:tcPr>
          <w:p>
            <w:pPr>
              <w:jc w:val="right"/>
              <w:ind w:right="199"/>
              <w:spacing w:after="0"/>
              <w:rPr>
                <w:sz w:val="20"/>
                <w:szCs w:val="20"/>
                <w:color w:val="auto"/>
              </w:rPr>
            </w:pPr>
            <w:r>
              <w:rPr>
                <w:rFonts w:ascii="Arial" w:cs="Arial" w:eastAsia="Arial" w:hAnsi="Arial"/>
                <w:sz w:val="16"/>
                <w:szCs w:val="16"/>
                <w:color w:val="auto"/>
              </w:rPr>
              <w:t>182% )</w:t>
            </w:r>
          </w:p>
        </w:tc>
        <w:tc>
          <w:tcPr>
            <w:tcW w:w="4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7F7F7F"/>
            </w:tcBorders>
            <w:shd w:val="clear" w:color="auto" w:fill="D8D8D8"/>
          </w:tcPr>
          <w:p>
            <w:pPr>
              <w:jc w:val="right"/>
              <w:ind w:right="39"/>
              <w:spacing w:after="0"/>
              <w:rPr>
                <w:sz w:val="20"/>
                <w:szCs w:val="20"/>
                <w:color w:val="auto"/>
              </w:rPr>
            </w:pPr>
            <w:r>
              <w:rPr>
                <w:rFonts w:ascii="Arial" w:cs="Arial" w:eastAsia="Arial" w:hAnsi="Arial"/>
                <w:sz w:val="16"/>
                <w:szCs w:val="16"/>
                <w:color w:val="auto"/>
              </w:rPr>
              <w:t>4,500,000</w:t>
            </w:r>
          </w:p>
        </w:tc>
        <w:tc>
          <w:tcPr>
            <w:tcW w:w="0" w:type="dxa"/>
            <w:vAlign w:val="bottom"/>
          </w:tcPr>
          <w:p>
            <w:pPr>
              <w:spacing w:after="0"/>
              <w:rPr>
                <w:sz w:val="1"/>
                <w:szCs w:val="1"/>
                <w:color w:val="auto"/>
              </w:rPr>
            </w:pPr>
          </w:p>
        </w:tc>
      </w:tr>
      <w:tr>
        <w:trPr>
          <w:trHeight w:val="189"/>
        </w:trPr>
        <w:tc>
          <w:tcPr>
            <w:tcW w:w="2360" w:type="dxa"/>
            <w:vAlign w:val="bottom"/>
            <w:tcBorders>
              <w:left w:val="single" w:sz="8" w:color="7F7F7F"/>
            </w:tcBorders>
          </w:tcPr>
          <w:p>
            <w:pPr>
              <w:ind w:left="140"/>
              <w:spacing w:after="0"/>
              <w:rPr>
                <w:sz w:val="20"/>
                <w:szCs w:val="20"/>
                <w:color w:val="auto"/>
              </w:rPr>
            </w:pPr>
            <w:r>
              <w:rPr>
                <w:rFonts w:ascii="Arial" w:cs="Arial" w:eastAsia="Arial" w:hAnsi="Arial"/>
                <w:sz w:val="16"/>
                <w:szCs w:val="16"/>
                <w:color w:val="auto"/>
              </w:rPr>
              <w:t>Pierre R. Breber</w:t>
            </w:r>
          </w:p>
        </w:tc>
        <w:tc>
          <w:tcPr>
            <w:tcW w:w="2440" w:type="dxa"/>
            <w:vAlign w:val="bottom"/>
          </w:tcPr>
          <w:p>
            <w:pPr>
              <w:jc w:val="right"/>
              <w:ind w:right="699"/>
              <w:spacing w:after="0"/>
              <w:rPr>
                <w:sz w:val="20"/>
                <w:szCs w:val="20"/>
                <w:color w:val="auto"/>
              </w:rPr>
            </w:pPr>
            <w:r>
              <w:rPr>
                <w:rFonts w:ascii="Arial" w:cs="Arial" w:eastAsia="Arial" w:hAnsi="Arial"/>
                <w:sz w:val="16"/>
                <w:szCs w:val="16"/>
                <w:color w:val="auto"/>
              </w:rPr>
              <w:t>1.50</w:t>
            </w:r>
          </w:p>
        </w:tc>
        <w:tc>
          <w:tcPr>
            <w:tcW w:w="420" w:type="dxa"/>
            <w:vAlign w:val="bottom"/>
          </w:tcPr>
          <w:p>
            <w:pPr>
              <w:ind w:left="60"/>
              <w:spacing w:after="0"/>
              <w:rPr>
                <w:sz w:val="20"/>
                <w:szCs w:val="20"/>
                <w:color w:val="auto"/>
              </w:rPr>
            </w:pPr>
            <w:r>
              <w:rPr>
                <w:rFonts w:ascii="Arial" w:cs="Arial" w:eastAsia="Arial" w:hAnsi="Arial"/>
                <w:sz w:val="16"/>
                <w:szCs w:val="16"/>
                <w:b w:val="1"/>
                <w:bCs w:val="1"/>
                <w:color w:val="auto"/>
              </w:rPr>
              <w:t>x</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$ 1,200,000</w:t>
            </w:r>
          </w:p>
        </w:tc>
        <w:tc>
          <w:tcPr>
            <w:tcW w:w="360" w:type="dxa"/>
            <w:vAlign w:val="bottom"/>
          </w:tcPr>
          <w:p>
            <w:pPr>
              <w:jc w:val="right"/>
              <w:spacing w:after="0"/>
              <w:rPr>
                <w:sz w:val="20"/>
                <w:szCs w:val="20"/>
                <w:color w:val="auto"/>
              </w:rPr>
            </w:pPr>
            <w:r>
              <w:rPr>
                <w:rFonts w:ascii="Arial" w:cs="Arial" w:eastAsia="Arial" w:hAnsi="Arial"/>
                <w:sz w:val="16"/>
                <w:szCs w:val="16"/>
                <w:color w:val="auto"/>
              </w:rPr>
              <w:t>( $</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1,020,000</w:t>
            </w:r>
          </w:p>
        </w:tc>
        <w:tc>
          <w:tcPr>
            <w:tcW w:w="460" w:type="dxa"/>
            <w:vAlign w:val="bottom"/>
          </w:tcPr>
          <w:p>
            <w:pPr>
              <w:ind w:left="140"/>
              <w:spacing w:after="0"/>
              <w:rPr>
                <w:sz w:val="20"/>
                <w:szCs w:val="20"/>
                <w:color w:val="auto"/>
              </w:rPr>
            </w:pPr>
            <w:r>
              <w:rPr>
                <w:rFonts w:ascii="Arial" w:cs="Arial" w:eastAsia="Arial" w:hAnsi="Arial"/>
                <w:sz w:val="16"/>
                <w:szCs w:val="16"/>
                <w:b w:val="1"/>
                <w:bCs w:val="1"/>
                <w:color w:val="auto"/>
              </w:rPr>
              <w:t>x</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118% )</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ind w:left="80"/>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7F7F7F"/>
            </w:tcBorders>
          </w:tcPr>
          <w:p>
            <w:pPr>
              <w:jc w:val="right"/>
              <w:ind w:right="39"/>
              <w:spacing w:after="0"/>
              <w:rPr>
                <w:sz w:val="20"/>
                <w:szCs w:val="20"/>
                <w:color w:val="auto"/>
              </w:rPr>
            </w:pPr>
            <w:r>
              <w:rPr>
                <w:rFonts w:ascii="Arial" w:cs="Arial" w:eastAsia="Arial" w:hAnsi="Arial"/>
                <w:sz w:val="16"/>
                <w:szCs w:val="16"/>
                <w:color w:val="auto"/>
              </w:rPr>
              <w:t>1,800,000</w:t>
            </w:r>
          </w:p>
        </w:tc>
        <w:tc>
          <w:tcPr>
            <w:tcW w:w="0" w:type="dxa"/>
            <w:vAlign w:val="bottom"/>
          </w:tcPr>
          <w:p>
            <w:pPr>
              <w:spacing w:after="0"/>
              <w:rPr>
                <w:sz w:val="1"/>
                <w:szCs w:val="1"/>
                <w:color w:val="auto"/>
              </w:rPr>
            </w:pPr>
          </w:p>
        </w:tc>
      </w:tr>
      <w:tr>
        <w:trPr>
          <w:trHeight w:val="189"/>
        </w:trPr>
        <w:tc>
          <w:tcPr>
            <w:tcW w:w="2360" w:type="dxa"/>
            <w:vAlign w:val="bottom"/>
            <w:tcBorders>
              <w:left w:val="single" w:sz="8" w:color="7F7F7F"/>
            </w:tcBorders>
            <w:shd w:val="clear" w:color="auto" w:fill="D8D8D8"/>
          </w:tcPr>
          <w:p>
            <w:pPr>
              <w:ind w:left="140"/>
              <w:spacing w:after="0"/>
              <w:rPr>
                <w:sz w:val="20"/>
                <w:szCs w:val="20"/>
                <w:color w:val="auto"/>
              </w:rPr>
            </w:pPr>
            <w:r>
              <w:rPr>
                <w:rFonts w:ascii="Arial" w:cs="Arial" w:eastAsia="Arial" w:hAnsi="Arial"/>
                <w:sz w:val="16"/>
                <w:szCs w:val="16"/>
                <w:color w:val="auto"/>
              </w:rPr>
              <w:t>James W. Johnson</w:t>
            </w:r>
          </w:p>
        </w:tc>
        <w:tc>
          <w:tcPr>
            <w:tcW w:w="2440" w:type="dxa"/>
            <w:vAlign w:val="bottom"/>
            <w:shd w:val="clear" w:color="auto" w:fill="D8D8D8"/>
          </w:tcPr>
          <w:p>
            <w:pPr>
              <w:jc w:val="right"/>
              <w:ind w:right="699"/>
              <w:spacing w:after="0"/>
              <w:rPr>
                <w:sz w:val="20"/>
                <w:szCs w:val="20"/>
                <w:color w:val="auto"/>
              </w:rPr>
            </w:pPr>
            <w:r>
              <w:rPr>
                <w:rFonts w:ascii="Arial" w:cs="Arial" w:eastAsia="Arial" w:hAnsi="Arial"/>
                <w:sz w:val="16"/>
                <w:szCs w:val="16"/>
                <w:color w:val="auto"/>
              </w:rPr>
              <w:t>1.50</w:t>
            </w:r>
          </w:p>
        </w:tc>
        <w:tc>
          <w:tcPr>
            <w:tcW w:w="420" w:type="dxa"/>
            <w:vAlign w:val="bottom"/>
            <w:shd w:val="clear" w:color="auto" w:fill="D8D8D8"/>
          </w:tcPr>
          <w:p>
            <w:pPr>
              <w:ind w:left="60"/>
              <w:spacing w:after="0"/>
              <w:rPr>
                <w:sz w:val="20"/>
                <w:szCs w:val="20"/>
                <w:color w:val="auto"/>
              </w:rPr>
            </w:pPr>
            <w:r>
              <w:rPr>
                <w:rFonts w:ascii="Arial" w:cs="Arial" w:eastAsia="Arial" w:hAnsi="Arial"/>
                <w:sz w:val="16"/>
                <w:szCs w:val="16"/>
                <w:b w:val="1"/>
                <w:bCs w:val="1"/>
                <w:color w:val="auto"/>
              </w:rPr>
              <w:t>x</w:t>
            </w:r>
          </w:p>
        </w:tc>
        <w:tc>
          <w:tcPr>
            <w:tcW w:w="1300" w:type="dxa"/>
            <w:vAlign w:val="bottom"/>
            <w:shd w:val="clear" w:color="auto" w:fill="D8D8D8"/>
          </w:tcPr>
          <w:p>
            <w:pPr>
              <w:jc w:val="right"/>
              <w:ind w:right="79"/>
              <w:spacing w:after="0"/>
              <w:rPr>
                <w:sz w:val="20"/>
                <w:szCs w:val="20"/>
                <w:color w:val="auto"/>
              </w:rPr>
            </w:pPr>
            <w:r>
              <w:rPr>
                <w:rFonts w:ascii="Arial" w:cs="Arial" w:eastAsia="Arial" w:hAnsi="Arial"/>
                <w:sz w:val="16"/>
                <w:szCs w:val="16"/>
                <w:color w:val="auto"/>
              </w:rPr>
              <w:t>$ 1,500,000</w:t>
            </w:r>
          </w:p>
        </w:tc>
        <w:tc>
          <w:tcPr>
            <w:tcW w:w="3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 $</w:t>
            </w:r>
          </w:p>
        </w:tc>
        <w:tc>
          <w:tcPr>
            <w:tcW w:w="88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1,210,000</w:t>
            </w:r>
          </w:p>
        </w:tc>
        <w:tc>
          <w:tcPr>
            <w:tcW w:w="460" w:type="dxa"/>
            <w:vAlign w:val="bottom"/>
            <w:shd w:val="clear" w:color="auto" w:fill="D8D8D8"/>
          </w:tcPr>
          <w:p>
            <w:pPr>
              <w:ind w:left="140"/>
              <w:spacing w:after="0"/>
              <w:rPr>
                <w:sz w:val="20"/>
                <w:szCs w:val="20"/>
                <w:color w:val="auto"/>
              </w:rPr>
            </w:pPr>
            <w:r>
              <w:rPr>
                <w:rFonts w:ascii="Arial" w:cs="Arial" w:eastAsia="Arial" w:hAnsi="Arial"/>
                <w:sz w:val="16"/>
                <w:szCs w:val="16"/>
                <w:b w:val="1"/>
                <w:bCs w:val="1"/>
                <w:color w:val="auto"/>
              </w:rPr>
              <w:t>x</w:t>
            </w:r>
          </w:p>
        </w:tc>
        <w:tc>
          <w:tcPr>
            <w:tcW w:w="860" w:type="dxa"/>
            <w:vAlign w:val="bottom"/>
            <w:shd w:val="clear" w:color="auto" w:fill="D8D8D8"/>
          </w:tcPr>
          <w:p>
            <w:pPr>
              <w:jc w:val="right"/>
              <w:ind w:right="199"/>
              <w:spacing w:after="0"/>
              <w:rPr>
                <w:sz w:val="20"/>
                <w:szCs w:val="20"/>
                <w:color w:val="auto"/>
              </w:rPr>
            </w:pPr>
            <w:r>
              <w:rPr>
                <w:rFonts w:ascii="Arial" w:cs="Arial" w:eastAsia="Arial" w:hAnsi="Arial"/>
                <w:sz w:val="16"/>
                <w:szCs w:val="16"/>
                <w:color w:val="auto"/>
              </w:rPr>
              <w:t>124% )</w:t>
            </w:r>
          </w:p>
        </w:tc>
        <w:tc>
          <w:tcPr>
            <w:tcW w:w="4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7F7F7F"/>
            </w:tcBorders>
            <w:shd w:val="clear" w:color="auto" w:fill="D8D8D8"/>
          </w:tcPr>
          <w:p>
            <w:pPr>
              <w:jc w:val="right"/>
              <w:ind w:right="39"/>
              <w:spacing w:after="0"/>
              <w:rPr>
                <w:sz w:val="20"/>
                <w:szCs w:val="20"/>
                <w:color w:val="auto"/>
              </w:rPr>
            </w:pPr>
            <w:r>
              <w:rPr>
                <w:rFonts w:ascii="Arial" w:cs="Arial" w:eastAsia="Arial" w:hAnsi="Arial"/>
                <w:sz w:val="16"/>
                <w:szCs w:val="16"/>
                <w:color w:val="auto"/>
              </w:rPr>
              <w:t>2,250,000</w:t>
            </w:r>
          </w:p>
        </w:tc>
        <w:tc>
          <w:tcPr>
            <w:tcW w:w="0" w:type="dxa"/>
            <w:vAlign w:val="bottom"/>
          </w:tcPr>
          <w:p>
            <w:pPr>
              <w:spacing w:after="0"/>
              <w:rPr>
                <w:sz w:val="1"/>
                <w:szCs w:val="1"/>
                <w:color w:val="auto"/>
              </w:rPr>
            </w:pPr>
          </w:p>
        </w:tc>
      </w:tr>
      <w:tr>
        <w:trPr>
          <w:trHeight w:val="189"/>
        </w:trPr>
        <w:tc>
          <w:tcPr>
            <w:tcW w:w="2360" w:type="dxa"/>
            <w:vAlign w:val="bottom"/>
            <w:tcBorders>
              <w:left w:val="single" w:sz="8" w:color="7F7F7F"/>
            </w:tcBorders>
          </w:tcPr>
          <w:p>
            <w:pPr>
              <w:ind w:left="140"/>
              <w:spacing w:after="0"/>
              <w:rPr>
                <w:sz w:val="20"/>
                <w:szCs w:val="20"/>
                <w:color w:val="auto"/>
              </w:rPr>
            </w:pPr>
            <w:r>
              <w:rPr>
                <w:rFonts w:ascii="Arial" w:cs="Arial" w:eastAsia="Arial" w:hAnsi="Arial"/>
                <w:sz w:val="16"/>
                <w:szCs w:val="16"/>
                <w:color w:val="auto"/>
              </w:rPr>
              <w:t>Joseph C. Geagea</w:t>
            </w:r>
          </w:p>
        </w:tc>
        <w:tc>
          <w:tcPr>
            <w:tcW w:w="2440" w:type="dxa"/>
            <w:vAlign w:val="bottom"/>
          </w:tcPr>
          <w:p>
            <w:pPr>
              <w:jc w:val="right"/>
              <w:ind w:right="699"/>
              <w:spacing w:after="0"/>
              <w:rPr>
                <w:sz w:val="20"/>
                <w:szCs w:val="20"/>
                <w:color w:val="auto"/>
              </w:rPr>
            </w:pPr>
            <w:r>
              <w:rPr>
                <w:rFonts w:ascii="Arial" w:cs="Arial" w:eastAsia="Arial" w:hAnsi="Arial"/>
                <w:sz w:val="16"/>
                <w:szCs w:val="16"/>
                <w:color w:val="auto"/>
              </w:rPr>
              <w:t>1.50</w:t>
            </w:r>
          </w:p>
        </w:tc>
        <w:tc>
          <w:tcPr>
            <w:tcW w:w="420" w:type="dxa"/>
            <w:vAlign w:val="bottom"/>
          </w:tcPr>
          <w:p>
            <w:pPr>
              <w:ind w:left="60"/>
              <w:spacing w:after="0"/>
              <w:rPr>
                <w:sz w:val="20"/>
                <w:szCs w:val="20"/>
                <w:color w:val="auto"/>
              </w:rPr>
            </w:pPr>
            <w:r>
              <w:rPr>
                <w:rFonts w:ascii="Arial" w:cs="Arial" w:eastAsia="Arial" w:hAnsi="Arial"/>
                <w:sz w:val="16"/>
                <w:szCs w:val="16"/>
                <w:b w:val="1"/>
                <w:bCs w:val="1"/>
                <w:color w:val="auto"/>
              </w:rPr>
              <w:t>x</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$ 1,200,000</w:t>
            </w:r>
          </w:p>
        </w:tc>
        <w:tc>
          <w:tcPr>
            <w:tcW w:w="360" w:type="dxa"/>
            <w:vAlign w:val="bottom"/>
          </w:tcPr>
          <w:p>
            <w:pPr>
              <w:jc w:val="right"/>
              <w:spacing w:after="0"/>
              <w:rPr>
                <w:sz w:val="20"/>
                <w:szCs w:val="20"/>
                <w:color w:val="auto"/>
              </w:rPr>
            </w:pPr>
            <w:r>
              <w:rPr>
                <w:rFonts w:ascii="Arial" w:cs="Arial" w:eastAsia="Arial" w:hAnsi="Arial"/>
                <w:sz w:val="16"/>
                <w:szCs w:val="16"/>
                <w:color w:val="auto"/>
              </w:rPr>
              <w:t>( $</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1,020,000</w:t>
            </w:r>
          </w:p>
        </w:tc>
        <w:tc>
          <w:tcPr>
            <w:tcW w:w="460" w:type="dxa"/>
            <w:vAlign w:val="bottom"/>
          </w:tcPr>
          <w:p>
            <w:pPr>
              <w:ind w:left="140"/>
              <w:spacing w:after="0"/>
              <w:rPr>
                <w:sz w:val="20"/>
                <w:szCs w:val="20"/>
                <w:color w:val="auto"/>
              </w:rPr>
            </w:pPr>
            <w:r>
              <w:rPr>
                <w:rFonts w:ascii="Arial" w:cs="Arial" w:eastAsia="Arial" w:hAnsi="Arial"/>
                <w:sz w:val="16"/>
                <w:szCs w:val="16"/>
                <w:b w:val="1"/>
                <w:bCs w:val="1"/>
                <w:color w:val="auto"/>
              </w:rPr>
              <w:t>x</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118% )</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ind w:left="80"/>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7F7F7F"/>
            </w:tcBorders>
          </w:tcPr>
          <w:p>
            <w:pPr>
              <w:jc w:val="right"/>
              <w:ind w:right="39"/>
              <w:spacing w:after="0"/>
              <w:rPr>
                <w:sz w:val="20"/>
                <w:szCs w:val="20"/>
                <w:color w:val="auto"/>
              </w:rPr>
            </w:pPr>
            <w:r>
              <w:rPr>
                <w:rFonts w:ascii="Arial" w:cs="Arial" w:eastAsia="Arial" w:hAnsi="Arial"/>
                <w:sz w:val="16"/>
                <w:szCs w:val="16"/>
                <w:color w:val="auto"/>
              </w:rPr>
              <w:t>1,800,000</w:t>
            </w:r>
          </w:p>
        </w:tc>
        <w:tc>
          <w:tcPr>
            <w:tcW w:w="0" w:type="dxa"/>
            <w:vAlign w:val="bottom"/>
          </w:tcPr>
          <w:p>
            <w:pPr>
              <w:spacing w:after="0"/>
              <w:rPr>
                <w:sz w:val="1"/>
                <w:szCs w:val="1"/>
                <w:color w:val="auto"/>
              </w:rPr>
            </w:pPr>
          </w:p>
        </w:tc>
      </w:tr>
      <w:tr>
        <w:trPr>
          <w:trHeight w:val="189"/>
        </w:trPr>
        <w:tc>
          <w:tcPr>
            <w:tcW w:w="2360" w:type="dxa"/>
            <w:vAlign w:val="bottom"/>
            <w:tcBorders>
              <w:left w:val="single" w:sz="8" w:color="7F7F7F"/>
              <w:bottom w:val="single" w:sz="8" w:color="7F7F7F"/>
            </w:tcBorders>
            <w:shd w:val="clear" w:color="auto" w:fill="D8D8D8"/>
          </w:tcPr>
          <w:p>
            <w:pPr>
              <w:ind w:left="140"/>
              <w:spacing w:after="0"/>
              <w:rPr>
                <w:sz w:val="20"/>
                <w:szCs w:val="20"/>
                <w:color w:val="auto"/>
              </w:rPr>
            </w:pPr>
            <w:r>
              <w:rPr>
                <w:rFonts w:ascii="Arial" w:cs="Arial" w:eastAsia="Arial" w:hAnsi="Arial"/>
                <w:sz w:val="16"/>
                <w:szCs w:val="16"/>
                <w:color w:val="auto"/>
              </w:rPr>
              <w:t>Mark A. Nelson</w:t>
            </w:r>
          </w:p>
        </w:tc>
        <w:tc>
          <w:tcPr>
            <w:tcW w:w="2440" w:type="dxa"/>
            <w:vAlign w:val="bottom"/>
            <w:tcBorders>
              <w:bottom w:val="single" w:sz="8" w:color="7F7F7F"/>
            </w:tcBorders>
            <w:shd w:val="clear" w:color="auto" w:fill="D8D8D8"/>
          </w:tcPr>
          <w:p>
            <w:pPr>
              <w:jc w:val="right"/>
              <w:ind w:right="699"/>
              <w:spacing w:after="0"/>
              <w:rPr>
                <w:sz w:val="20"/>
                <w:szCs w:val="20"/>
                <w:color w:val="auto"/>
              </w:rPr>
            </w:pPr>
            <w:r>
              <w:rPr>
                <w:rFonts w:ascii="Arial" w:cs="Arial" w:eastAsia="Arial" w:hAnsi="Arial"/>
                <w:sz w:val="16"/>
                <w:szCs w:val="16"/>
                <w:color w:val="auto"/>
              </w:rPr>
              <w:t>1.50</w:t>
            </w:r>
          </w:p>
        </w:tc>
        <w:tc>
          <w:tcPr>
            <w:tcW w:w="420" w:type="dxa"/>
            <w:vAlign w:val="bottom"/>
            <w:tcBorders>
              <w:bottom w:val="single" w:sz="8" w:color="7F7F7F"/>
            </w:tcBorders>
            <w:shd w:val="clear" w:color="auto" w:fill="D8D8D8"/>
          </w:tcPr>
          <w:p>
            <w:pPr>
              <w:ind w:left="60"/>
              <w:spacing w:after="0"/>
              <w:rPr>
                <w:sz w:val="20"/>
                <w:szCs w:val="20"/>
                <w:color w:val="auto"/>
              </w:rPr>
            </w:pPr>
            <w:r>
              <w:rPr>
                <w:rFonts w:ascii="Arial" w:cs="Arial" w:eastAsia="Arial" w:hAnsi="Arial"/>
                <w:sz w:val="16"/>
                <w:szCs w:val="16"/>
                <w:b w:val="1"/>
                <w:bCs w:val="1"/>
                <w:color w:val="auto"/>
              </w:rPr>
              <w:t>x</w:t>
            </w:r>
          </w:p>
        </w:tc>
        <w:tc>
          <w:tcPr>
            <w:tcW w:w="1300" w:type="dxa"/>
            <w:vAlign w:val="bottom"/>
            <w:tcBorders>
              <w:bottom w:val="single" w:sz="8" w:color="7F7F7F"/>
            </w:tcBorders>
            <w:shd w:val="clear" w:color="auto" w:fill="D8D8D8"/>
          </w:tcPr>
          <w:p>
            <w:pPr>
              <w:jc w:val="right"/>
              <w:ind w:right="79"/>
              <w:spacing w:after="0"/>
              <w:rPr>
                <w:sz w:val="20"/>
                <w:szCs w:val="20"/>
                <w:color w:val="auto"/>
              </w:rPr>
            </w:pPr>
            <w:r>
              <w:rPr>
                <w:rFonts w:ascii="Arial" w:cs="Arial" w:eastAsia="Arial" w:hAnsi="Arial"/>
                <w:sz w:val="16"/>
                <w:szCs w:val="16"/>
                <w:color w:val="auto"/>
              </w:rPr>
              <w:t>$ 1,200,000</w:t>
            </w:r>
          </w:p>
        </w:tc>
        <w:tc>
          <w:tcPr>
            <w:tcW w:w="36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 $</w:t>
            </w:r>
          </w:p>
        </w:tc>
        <w:tc>
          <w:tcPr>
            <w:tcW w:w="880" w:type="dxa"/>
            <w:vAlign w:val="bottom"/>
            <w:tcBorders>
              <w:bottom w:val="single" w:sz="8" w:color="7F7F7F"/>
            </w:tcBorders>
            <w:shd w:val="clear" w:color="auto" w:fill="D8D8D8"/>
          </w:tcPr>
          <w:p>
            <w:pPr>
              <w:jc w:val="right"/>
              <w:ind w:right="39"/>
              <w:spacing w:after="0"/>
              <w:rPr>
                <w:sz w:val="20"/>
                <w:szCs w:val="20"/>
                <w:color w:val="auto"/>
              </w:rPr>
            </w:pPr>
            <w:r>
              <w:rPr>
                <w:rFonts w:ascii="Arial" w:cs="Arial" w:eastAsia="Arial" w:hAnsi="Arial"/>
                <w:sz w:val="16"/>
                <w:szCs w:val="16"/>
                <w:color w:val="auto"/>
              </w:rPr>
              <w:t>950,000</w:t>
            </w:r>
          </w:p>
        </w:tc>
        <w:tc>
          <w:tcPr>
            <w:tcW w:w="460" w:type="dxa"/>
            <w:vAlign w:val="bottom"/>
            <w:tcBorders>
              <w:bottom w:val="single" w:sz="8" w:color="7F7F7F"/>
            </w:tcBorders>
            <w:shd w:val="clear" w:color="auto" w:fill="D8D8D8"/>
          </w:tcPr>
          <w:p>
            <w:pPr>
              <w:ind w:left="140"/>
              <w:spacing w:after="0"/>
              <w:rPr>
                <w:sz w:val="20"/>
                <w:szCs w:val="20"/>
                <w:color w:val="auto"/>
              </w:rPr>
            </w:pPr>
            <w:r>
              <w:rPr>
                <w:rFonts w:ascii="Arial" w:cs="Arial" w:eastAsia="Arial" w:hAnsi="Arial"/>
                <w:sz w:val="16"/>
                <w:szCs w:val="16"/>
                <w:b w:val="1"/>
                <w:bCs w:val="1"/>
                <w:color w:val="auto"/>
              </w:rPr>
              <w:t>x</w:t>
            </w:r>
          </w:p>
        </w:tc>
        <w:tc>
          <w:tcPr>
            <w:tcW w:w="860" w:type="dxa"/>
            <w:vAlign w:val="bottom"/>
            <w:tcBorders>
              <w:bottom w:val="single" w:sz="8" w:color="7F7F7F"/>
            </w:tcBorders>
            <w:shd w:val="clear" w:color="auto" w:fill="D8D8D8"/>
          </w:tcPr>
          <w:p>
            <w:pPr>
              <w:jc w:val="right"/>
              <w:ind w:right="199"/>
              <w:spacing w:after="0"/>
              <w:rPr>
                <w:sz w:val="20"/>
                <w:szCs w:val="20"/>
                <w:color w:val="auto"/>
              </w:rPr>
            </w:pPr>
            <w:r>
              <w:rPr>
                <w:rFonts w:ascii="Arial" w:cs="Arial" w:eastAsia="Arial" w:hAnsi="Arial"/>
                <w:sz w:val="16"/>
                <w:szCs w:val="16"/>
                <w:color w:val="auto"/>
              </w:rPr>
              <w:t>126% )</w:t>
            </w:r>
          </w:p>
        </w:tc>
        <w:tc>
          <w:tcPr>
            <w:tcW w:w="48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7F7F7F"/>
            </w:tcBorders>
            <w:shd w:val="clear" w:color="auto" w:fill="D8D8D8"/>
          </w:tcPr>
          <w:p>
            <w:pPr>
              <w:ind w:left="8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7F7F7F"/>
              <w:right w:val="single" w:sz="8" w:color="7F7F7F"/>
            </w:tcBorders>
            <w:shd w:val="clear" w:color="auto" w:fill="D8D8D8"/>
          </w:tcPr>
          <w:p>
            <w:pPr>
              <w:jc w:val="right"/>
              <w:ind w:right="39"/>
              <w:spacing w:after="0"/>
              <w:rPr>
                <w:sz w:val="20"/>
                <w:szCs w:val="20"/>
                <w:color w:val="auto"/>
              </w:rPr>
            </w:pPr>
            <w:r>
              <w:rPr>
                <w:rFonts w:ascii="Arial" w:cs="Arial" w:eastAsia="Arial" w:hAnsi="Arial"/>
                <w:sz w:val="16"/>
                <w:szCs w:val="16"/>
                <w:color w:val="auto"/>
              </w:rPr>
              <w:t>1,800,000</w:t>
            </w:r>
          </w:p>
        </w:tc>
        <w:tc>
          <w:tcPr>
            <w:tcW w:w="0" w:type="dxa"/>
            <w:vAlign w:val="bottom"/>
          </w:tcPr>
          <w:p>
            <w:pPr>
              <w:spacing w:after="0"/>
              <w:rPr>
                <w:sz w:val="1"/>
                <w:szCs w:val="1"/>
                <w:color w:val="auto"/>
              </w:rPr>
            </w:pPr>
          </w:p>
        </w:tc>
      </w:tr>
    </w:tbl>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Chevron Corporation – 2022 Proxy Statement</w:t>
      </w:r>
    </w:p>
    <w:p>
      <w:pPr>
        <w:spacing w:after="0" w:line="53"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53</w:t>
      </w:r>
    </w:p>
    <w:p>
      <w:pPr>
        <w:sectPr>
          <w:pgSz w:w="11900" w:h="16838" w:orient="portrait"/>
          <w:cols w:equalWidth="0" w:num="1">
            <w:col w:w="11120"/>
          </w:cols>
          <w:pgMar w:left="320" w:top="455" w:right="459" w:bottom="1440" w:gutter="0" w:footer="0" w:header="0"/>
          <w:type w:val="continuous"/>
        </w:sectPr>
      </w:pPr>
    </w:p>
    <w:bookmarkStart w:id="60" w:name="page61"/>
    <w:bookmarkEnd w:id="6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1405890" cy="146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05890" cy="146050"/>
                    </a:xfrm>
                    <a:prstGeom prst="rect">
                      <a:avLst/>
                    </a:prstGeom>
                    <a:noFill/>
                  </pic:spPr>
                </pic:pic>
              </a:graphicData>
            </a:graphic>
          </wp:anchor>
        </w:drawing>
      </w:r>
    </w:p>
    <w:p>
      <w:pPr>
        <w:sectPr>
          <w:pgSz w:w="11900" w:h="16838" w:orient="portrait"/>
          <w:cols w:equalWidth="0" w:num="1">
            <w:col w:w="11060"/>
          </w:cols>
          <w:pgMar w:left="320" w:top="455" w:right="519" w:bottom="1440" w:gutter="0" w:footer="0" w:header="0"/>
        </w:sectPr>
      </w:pPr>
    </w:p>
    <w:p>
      <w:pPr>
        <w:spacing w:after="0" w:line="371"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Executive compensation</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B2D71"/>
        </w:rPr>
        <w:t>Long-term incentive plan</w:t>
      </w:r>
    </w:p>
    <w:p>
      <w:pPr>
        <w:spacing w:after="0" w:line="290"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The key objective of our Long-Term Incentive Plan is to encourage performance that drives stockholder value over the long term. The target value of an NEO’s LTIP award at the time of grant is determined by the MCC, with input from its independent compensation consultant and referencing external benchmark comparisons. The objective is to ensure that Chevron is competitive against its industry peer companies on the overall target compensation (cash plus equity), after allowing for appropriate differentiation based on size, scale, scope and job responsibilities.</w:t>
      </w:r>
    </w:p>
    <w:p>
      <w:pPr>
        <w:spacing w:after="0" w:line="77"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Each year in January, the MCC determines a target value for LTIP awards for the CEO and the other NEOs based on industry competitive data. These awards provide incentive compensation opportunities tied to Chevron’s future long-term performance.</w:t>
      </w:r>
    </w:p>
    <w:p>
      <w:pPr>
        <w:spacing w:after="0" w:line="70"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In recommending the LTIP target value for the CEO, the MCC relies on input from its independent compensation consultant and benchmark research, focusing on the form and amount of similar compensation opportunities in the Oil Industry Peer Group. The MCC also considers the CEO’s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demonstrated performance and the Company’s size, scope, and complexity relative to the comparison companies. For the other NEOs, the MCC sets an annual LTIP target value for each salary grade as a multiple of salary, referencing median incentive opportunities for executives in similar positions at companies in the Oil Industry Peer Group. All NEOs in the same salary grade receive the same LTIP award, comprised of the three equity vehicles listed in the table. In addition, in line with the Company’s grant practice for all LTIP-eligible employees, the MCC may grant additional RSUs to differentiate and recognize exceptional individual performance. These RSUs are typically awarded up to 15% of the LTIP-eligible participants each year, accrue dividend equivalents and vest at the end of the three years. The MCC may also make a downward adjustment to LTIP awards based on an NEO’s performance assessment.</w:t>
      </w:r>
    </w:p>
    <w:p>
      <w:pPr>
        <w:spacing w:after="0" w:line="83"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The LTIP award represents a pay opportunity. The ultimate realized value of equity-based awards is determined by absolute and relative stock price performance over a three- to 10-year period.</w:t>
      </w:r>
    </w:p>
    <w:p>
      <w:pPr>
        <w:spacing w:after="0" w:line="677" w:lineRule="exact"/>
        <w:rPr>
          <w:sz w:val="20"/>
          <w:szCs w:val="20"/>
          <w:color w:val="auto"/>
        </w:rPr>
      </w:pPr>
    </w:p>
    <w:p>
      <w:pPr>
        <w:sectPr>
          <w:pgSz w:w="11900" w:h="16838" w:orient="portrait"/>
          <w:cols w:equalWidth="0" w:num="2">
            <w:col w:w="5360" w:space="380"/>
            <w:col w:w="5320"/>
          </w:cols>
          <w:pgMar w:left="320" w:top="455" w:right="519" w:bottom="1440" w:gutter="0" w:footer="0" w:header="0"/>
          <w:type w:val="continuous"/>
        </w:sectPr>
      </w:pPr>
    </w:p>
    <w:p>
      <w:pPr>
        <w:spacing w:after="0" w:line="57"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Chevron Corporation – 2022 Proxy Statement</w:t>
      </w:r>
    </w:p>
    <w:p>
      <w:pPr>
        <w:spacing w:after="0" w:line="78"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54</w:t>
      </w:r>
    </w:p>
    <w:p>
      <w:pPr>
        <w:sectPr>
          <w:pgSz w:w="11900" w:h="16838" w:orient="portrait"/>
          <w:cols w:equalWidth="0" w:num="1">
            <w:col w:w="11060"/>
          </w:cols>
          <w:pgMar w:left="320" w:top="455" w:right="519" w:bottom="1440" w:gutter="0" w:footer="0" w:header="0"/>
          <w:type w:val="continuous"/>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208280</wp:posOffset>
            </wp:positionV>
            <wp:extent cx="1474470" cy="146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74470" cy="146050"/>
                    </a:xfrm>
                    <a:prstGeom prst="rect">
                      <a:avLst/>
                    </a:prstGeom>
                    <a:noFill/>
                  </pic:spPr>
                </pic:pic>
              </a:graphicData>
            </a:graphic>
          </wp:anchor>
        </w:drawing>
      </w:r>
    </w:p>
    <w:p>
      <w:pPr>
        <w:spacing w:after="0" w:line="339" w:lineRule="exact"/>
        <w:rPr>
          <w:sz w:val="20"/>
          <w:szCs w:val="20"/>
          <w:color w:val="auto"/>
        </w:rPr>
      </w:pPr>
    </w:p>
    <w:p>
      <w:pPr>
        <w:jc w:val="right"/>
        <w:ind w:right="280"/>
        <w:spacing w:after="0"/>
        <w:rPr>
          <w:sz w:val="20"/>
          <w:szCs w:val="20"/>
          <w:color w:val="auto"/>
        </w:rPr>
      </w:pPr>
      <w:r>
        <w:rPr>
          <w:rFonts w:ascii="Arial" w:cs="Arial" w:eastAsia="Arial" w:hAnsi="Arial"/>
          <w:sz w:val="14"/>
          <w:szCs w:val="14"/>
          <w:b w:val="1"/>
          <w:bCs w:val="1"/>
          <w:color w:val="FFFFFF"/>
        </w:rPr>
        <w:t>Executive compensation</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LTIP program comprises the following three equity vehicles:</w:t>
      </w:r>
    </w:p>
    <w:p>
      <w:pPr>
        <w:sectPr>
          <w:pgSz w:w="11900" w:h="16838" w:orient="portrait"/>
          <w:cols w:equalWidth="0" w:num="1">
            <w:col w:w="11100"/>
          </w:cols>
          <w:pgMar w:left="320" w:top="455" w:right="479" w:bottom="1440" w:gutter="0" w:footer="0" w:header="0"/>
        </w:sectPr>
      </w:pPr>
    </w:p>
    <w:p>
      <w:pPr>
        <w:spacing w:after="0" w:line="356"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FFFFFF"/>
        </w:rPr>
        <w:t>Component</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Performance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shares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-1183005</wp:posOffset>
            </wp:positionH>
            <wp:positionV relativeFrom="paragraph">
              <wp:posOffset>-115570</wp:posOffset>
            </wp:positionV>
            <wp:extent cx="6960870" cy="56064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60870" cy="5606415"/>
                    </a:xfrm>
                    <a:prstGeom prst="rect">
                      <a:avLst/>
                    </a:prstGeom>
                    <a:noFill/>
                  </pic:spPr>
                </pic:pic>
              </a:graphicData>
            </a:graphic>
          </wp:anchor>
        </w:drawing>
      </w:r>
    </w:p>
    <w:p>
      <w:pPr>
        <w:spacing w:after="0" w:line="1" w:lineRule="exact"/>
        <w:rPr>
          <w:sz w:val="20"/>
          <w:szCs w:val="20"/>
          <w:color w:val="auto"/>
        </w:rPr>
      </w:pPr>
    </w:p>
    <w:p>
      <w:pPr>
        <w:spacing w:after="0"/>
        <w:tabs>
          <w:tab w:leader="none" w:pos="1020" w:val="left"/>
        </w:tabs>
        <w:rPr>
          <w:sz w:val="20"/>
          <w:szCs w:val="20"/>
          <w:color w:val="auto"/>
        </w:rPr>
      </w:pPr>
      <w:r>
        <w:rPr>
          <w:rFonts w:ascii="Arial" w:cs="Arial" w:eastAsia="Arial" w:hAnsi="Arial"/>
          <w:sz w:val="16"/>
          <w:szCs w:val="16"/>
          <w:b w:val="1"/>
          <w:bCs w:val="1"/>
          <w:color w:val="FFFFFF"/>
        </w:rPr>
        <w:t>Proportion</w:t>
        <w:tab/>
        <w:t>How it works</w:t>
      </w:r>
    </w:p>
    <w:p>
      <w:pPr>
        <w:spacing w:after="0" w:line="57" w:lineRule="exact"/>
        <w:rPr>
          <w:sz w:val="20"/>
          <w:szCs w:val="20"/>
          <w:color w:val="auto"/>
        </w:rPr>
      </w:pPr>
    </w:p>
    <w:p>
      <w:pPr>
        <w:jc w:val="both"/>
        <w:ind w:left="1040" w:right="360" w:hanging="1218"/>
        <w:spacing w:after="0" w:line="259" w:lineRule="auto"/>
        <w:tabs>
          <w:tab w:leader="none" w:pos="1020" w:val="left"/>
        </w:tabs>
        <w:rPr>
          <w:sz w:val="20"/>
          <w:szCs w:val="20"/>
          <w:color w:val="auto"/>
        </w:rPr>
      </w:pPr>
      <w:r>
        <w:rPr>
          <w:rFonts w:ascii="Arial" w:cs="Arial" w:eastAsia="Arial" w:hAnsi="Arial"/>
          <w:sz w:val="16"/>
          <w:szCs w:val="16"/>
          <w:color w:val="auto"/>
        </w:rPr>
        <w:t>50%</w:t>
      </w:r>
      <w:r>
        <w:rPr>
          <w:sz w:val="20"/>
          <w:szCs w:val="20"/>
          <w:color w:val="auto"/>
        </w:rPr>
        <w:tab/>
      </w:r>
      <w:r>
        <w:rPr>
          <w:rFonts w:ascii="Arial" w:cs="Arial" w:eastAsia="Arial" w:hAnsi="Arial"/>
          <w:sz w:val="16"/>
          <w:szCs w:val="16"/>
          <w:color w:val="auto"/>
        </w:rPr>
        <w:t>• Payout weighted 70% based on Relative TSR as measured against the LTIP Performance Share Peer Group (ExxonMobil, BP, Shell, TotalEnergies, and the S&amp;P 500 Total Return Index) and 30% based on Relative ROCE Improvement (ROCE-I) as measured against large-cap integrated energy companies (BP, ExxonMobil, Shell, and TotalEnergies).</w:t>
      </w:r>
    </w:p>
    <w:p>
      <w:pPr>
        <w:spacing w:after="0" w:line="91" w:lineRule="exact"/>
        <w:rPr>
          <w:sz w:val="20"/>
          <w:szCs w:val="20"/>
          <w:color w:val="auto"/>
        </w:rPr>
      </w:pPr>
    </w:p>
    <w:tbl>
      <w:tblPr>
        <w:tblLayout w:type="fixed"/>
        <w:tblInd w:w="840" w:type="dxa"/>
        <w:tblCellMar>
          <w:top w:w="0" w:type="dxa"/>
          <w:left w:w="0" w:type="dxa"/>
          <w:bottom w:w="0" w:type="dxa"/>
          <w:right w:w="0" w:type="dxa"/>
        </w:tblCellMar>
      </w:tblPr>
      <w:tr>
        <w:trPr>
          <w:trHeight w:val="243"/>
        </w:trPr>
        <w:tc>
          <w:tcPr>
            <w:tcW w:w="4560" w:type="dxa"/>
            <w:vAlign w:val="bottom"/>
            <w:tcBorders>
              <w:top w:val="single" w:sz="8" w:color="7F7F7F"/>
            </w:tcBorders>
            <w:shd w:val="clear" w:color="auto" w:fill="D8D8D8"/>
          </w:tcPr>
          <w:p>
            <w:pPr>
              <w:ind w:left="200"/>
              <w:spacing w:after="0"/>
              <w:rPr>
                <w:sz w:val="20"/>
                <w:szCs w:val="20"/>
                <w:color w:val="auto"/>
              </w:rPr>
            </w:pPr>
            <w:r>
              <w:rPr>
                <w:rFonts w:ascii="Arial" w:cs="Arial" w:eastAsia="Arial" w:hAnsi="Arial"/>
                <w:sz w:val="18"/>
                <w:szCs w:val="18"/>
                <w:b w:val="1"/>
                <w:bCs w:val="1"/>
                <w:color w:val="auto"/>
              </w:rPr>
              <w:t>Relative ranking</w:t>
            </w:r>
          </w:p>
        </w:tc>
        <w:tc>
          <w:tcPr>
            <w:tcW w:w="1140" w:type="dxa"/>
            <w:vAlign w:val="bottom"/>
            <w:tcBorders>
              <w:top w:val="single" w:sz="8" w:color="7F7F7F"/>
            </w:tcBorders>
            <w:shd w:val="clear" w:color="auto" w:fill="D8D8D8"/>
          </w:tcPr>
          <w:p>
            <w:pPr>
              <w:jc w:val="center"/>
              <w:ind w:left="516"/>
              <w:spacing w:after="0"/>
              <w:rPr>
                <w:sz w:val="20"/>
                <w:szCs w:val="20"/>
                <w:color w:val="auto"/>
              </w:rPr>
            </w:pPr>
            <w:r>
              <w:rPr>
                <w:rFonts w:ascii="Arial" w:cs="Arial" w:eastAsia="Arial" w:hAnsi="Arial"/>
                <w:sz w:val="18"/>
                <w:szCs w:val="18"/>
                <w:b w:val="1"/>
                <w:bCs w:val="1"/>
                <w:color w:val="auto"/>
                <w:w w:val="99"/>
              </w:rPr>
              <w:t>1</w:t>
            </w:r>
          </w:p>
        </w:tc>
        <w:tc>
          <w:tcPr>
            <w:tcW w:w="520" w:type="dxa"/>
            <w:vAlign w:val="bottom"/>
            <w:tcBorders>
              <w:top w:val="single" w:sz="8" w:color="7F7F7F"/>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99"/>
              </w:rPr>
              <w:t>2</w:t>
            </w:r>
          </w:p>
        </w:tc>
        <w:tc>
          <w:tcPr>
            <w:tcW w:w="540" w:type="dxa"/>
            <w:vAlign w:val="bottom"/>
            <w:tcBorders>
              <w:top w:val="single" w:sz="8" w:color="7F7F7F"/>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99"/>
              </w:rPr>
              <w:t>3</w:t>
            </w:r>
          </w:p>
        </w:tc>
        <w:tc>
          <w:tcPr>
            <w:tcW w:w="440" w:type="dxa"/>
            <w:vAlign w:val="bottom"/>
            <w:tcBorders>
              <w:top w:val="single" w:sz="8" w:color="7F7F7F"/>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99"/>
              </w:rPr>
              <w:t>4</w:t>
            </w:r>
          </w:p>
        </w:tc>
        <w:tc>
          <w:tcPr>
            <w:tcW w:w="360" w:type="dxa"/>
            <w:vAlign w:val="bottom"/>
            <w:tcBorders>
              <w:top w:val="single" w:sz="8" w:color="7F7F7F"/>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5</w:t>
            </w:r>
          </w:p>
        </w:tc>
        <w:tc>
          <w:tcPr>
            <w:tcW w:w="320" w:type="dxa"/>
            <w:vAlign w:val="bottom"/>
            <w:tcBorders>
              <w:top w:val="single" w:sz="8" w:color="7F7F7F"/>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6</w:t>
            </w:r>
          </w:p>
        </w:tc>
      </w:tr>
      <w:tr>
        <w:trPr>
          <w:trHeight w:val="226"/>
        </w:trPr>
        <w:tc>
          <w:tcPr>
            <w:tcW w:w="4560" w:type="dxa"/>
            <w:vAlign w:val="bottom"/>
            <w:tcBorders>
              <w:bottom w:val="single" w:sz="8" w:color="7F7F7F"/>
            </w:tcBorders>
          </w:tcPr>
          <w:p>
            <w:pPr>
              <w:ind w:left="200"/>
              <w:spacing w:after="0"/>
              <w:rPr>
                <w:sz w:val="20"/>
                <w:szCs w:val="20"/>
                <w:color w:val="auto"/>
              </w:rPr>
            </w:pPr>
            <w:r>
              <w:rPr>
                <w:rFonts w:ascii="Arial" w:cs="Arial" w:eastAsia="Arial" w:hAnsi="Arial"/>
                <w:sz w:val="16"/>
                <w:szCs w:val="16"/>
                <w:b w:val="1"/>
                <w:bCs w:val="1"/>
                <w:color w:val="auto"/>
              </w:rPr>
              <w:t>TSR (70% weight, ranking includes S&amp;P 500)</w:t>
            </w:r>
          </w:p>
        </w:tc>
        <w:tc>
          <w:tcPr>
            <w:tcW w:w="1140" w:type="dxa"/>
            <w:vAlign w:val="bottom"/>
            <w:tcBorders>
              <w:bottom w:val="single" w:sz="8" w:color="7F7F7F"/>
            </w:tcBorders>
          </w:tcPr>
          <w:p>
            <w:pPr>
              <w:jc w:val="center"/>
              <w:ind w:left="516"/>
              <w:spacing w:after="0"/>
              <w:rPr>
                <w:sz w:val="20"/>
                <w:szCs w:val="20"/>
                <w:color w:val="auto"/>
              </w:rPr>
            </w:pPr>
            <w:r>
              <w:rPr>
                <w:rFonts w:ascii="Arial" w:cs="Arial" w:eastAsia="Arial" w:hAnsi="Arial"/>
                <w:sz w:val="16"/>
                <w:szCs w:val="16"/>
                <w:b w:val="1"/>
                <w:bCs w:val="1"/>
                <w:color w:val="auto"/>
              </w:rPr>
              <w:t>200%</w:t>
            </w:r>
          </w:p>
        </w:tc>
        <w:tc>
          <w:tcPr>
            <w:tcW w:w="5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b w:val="1"/>
                <w:bCs w:val="1"/>
                <w:color w:val="auto"/>
                <w:w w:val="97"/>
              </w:rPr>
              <w:t>160%</w:t>
            </w:r>
          </w:p>
        </w:tc>
        <w:tc>
          <w:tcPr>
            <w:tcW w:w="5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b w:val="1"/>
                <w:bCs w:val="1"/>
                <w:color w:val="auto"/>
              </w:rPr>
              <w:t>120%</w:t>
            </w:r>
          </w:p>
        </w:tc>
        <w:tc>
          <w:tcPr>
            <w:tcW w:w="4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b w:val="1"/>
                <w:bCs w:val="1"/>
                <w:color w:val="auto"/>
              </w:rPr>
              <w:t>80%</w:t>
            </w:r>
          </w:p>
        </w:tc>
        <w:tc>
          <w:tcPr>
            <w:tcW w:w="68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b w:val="1"/>
                <w:bCs w:val="1"/>
                <w:color w:val="auto"/>
              </w:rPr>
              <w:t>40% 0%</w:t>
            </w:r>
          </w:p>
        </w:tc>
      </w:tr>
      <w:tr>
        <w:trPr>
          <w:trHeight w:val="226"/>
        </w:trPr>
        <w:tc>
          <w:tcPr>
            <w:tcW w:w="4560" w:type="dxa"/>
            <w:vAlign w:val="bottom"/>
            <w:tcBorders>
              <w:bottom w:val="single" w:sz="8" w:color="7F7F7F"/>
            </w:tcBorders>
          </w:tcPr>
          <w:p>
            <w:pPr>
              <w:ind w:left="200"/>
              <w:spacing w:after="0"/>
              <w:rPr>
                <w:sz w:val="20"/>
                <w:szCs w:val="20"/>
                <w:color w:val="auto"/>
              </w:rPr>
            </w:pPr>
            <w:r>
              <w:rPr>
                <w:rFonts w:ascii="Arial" w:cs="Arial" w:eastAsia="Arial" w:hAnsi="Arial"/>
                <w:sz w:val="16"/>
                <w:szCs w:val="16"/>
                <w:b w:val="1"/>
                <w:bCs w:val="1"/>
                <w:color w:val="auto"/>
              </w:rPr>
              <w:t>ROCE-I (30% weight, ranking excludes S&amp;P 500)</w:t>
            </w:r>
          </w:p>
        </w:tc>
        <w:tc>
          <w:tcPr>
            <w:tcW w:w="1140" w:type="dxa"/>
            <w:vAlign w:val="bottom"/>
            <w:tcBorders>
              <w:bottom w:val="single" w:sz="8" w:color="7F7F7F"/>
            </w:tcBorders>
          </w:tcPr>
          <w:p>
            <w:pPr>
              <w:jc w:val="center"/>
              <w:ind w:left="516"/>
              <w:spacing w:after="0"/>
              <w:rPr>
                <w:sz w:val="20"/>
                <w:szCs w:val="20"/>
                <w:color w:val="auto"/>
              </w:rPr>
            </w:pPr>
            <w:r>
              <w:rPr>
                <w:rFonts w:ascii="Arial" w:cs="Arial" w:eastAsia="Arial" w:hAnsi="Arial"/>
                <w:sz w:val="16"/>
                <w:szCs w:val="16"/>
                <w:b w:val="1"/>
                <w:bCs w:val="1"/>
                <w:color w:val="auto"/>
              </w:rPr>
              <w:t>200%</w:t>
            </w:r>
          </w:p>
        </w:tc>
        <w:tc>
          <w:tcPr>
            <w:tcW w:w="5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b w:val="1"/>
                <w:bCs w:val="1"/>
                <w:color w:val="auto"/>
                <w:w w:val="97"/>
              </w:rPr>
              <w:t>150%</w:t>
            </w:r>
          </w:p>
        </w:tc>
        <w:tc>
          <w:tcPr>
            <w:tcW w:w="5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b w:val="1"/>
                <w:bCs w:val="1"/>
                <w:color w:val="auto"/>
              </w:rPr>
              <w:t>100%</w:t>
            </w:r>
          </w:p>
        </w:tc>
        <w:tc>
          <w:tcPr>
            <w:tcW w:w="4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b w:val="1"/>
                <w:bCs w:val="1"/>
                <w:color w:val="auto"/>
              </w:rPr>
              <w:t>50%</w:t>
            </w:r>
          </w:p>
        </w:tc>
        <w:tc>
          <w:tcPr>
            <w:tcW w:w="360" w:type="dxa"/>
            <w:vAlign w:val="bottom"/>
            <w:tcBorders>
              <w:bottom w:val="single" w:sz="8" w:color="7F7F7F"/>
            </w:tcBorders>
          </w:tcPr>
          <w:p>
            <w:pPr>
              <w:ind w:left="60"/>
              <w:spacing w:after="0"/>
              <w:rPr>
                <w:sz w:val="20"/>
                <w:szCs w:val="20"/>
                <w:color w:val="auto"/>
              </w:rPr>
            </w:pPr>
            <w:r>
              <w:rPr>
                <w:rFonts w:ascii="Arial" w:cs="Arial" w:eastAsia="Arial" w:hAnsi="Arial"/>
                <w:sz w:val="16"/>
                <w:szCs w:val="16"/>
                <w:b w:val="1"/>
                <w:bCs w:val="1"/>
                <w:color w:val="auto"/>
              </w:rPr>
              <w:t>0%</w:t>
            </w:r>
          </w:p>
        </w:tc>
        <w:tc>
          <w:tcPr>
            <w:tcW w:w="3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b w:val="1"/>
                <w:bCs w:val="1"/>
                <w:color w:val="auto"/>
                <w:w w:val="94"/>
              </w:rPr>
              <w:t>n/a</w:t>
            </w:r>
          </w:p>
        </w:tc>
      </w:tr>
    </w:tbl>
    <w:p>
      <w:pPr>
        <w:spacing w:after="0" w:line="80" w:lineRule="exact"/>
        <w:rPr>
          <w:sz w:val="20"/>
          <w:szCs w:val="20"/>
          <w:color w:val="auto"/>
        </w:rPr>
      </w:pPr>
    </w:p>
    <w:p>
      <w:pPr>
        <w:jc w:val="both"/>
        <w:ind w:left="1040" w:right="360"/>
        <w:spacing w:after="0" w:line="266" w:lineRule="auto"/>
        <w:rPr>
          <w:sz w:val="20"/>
          <w:szCs w:val="20"/>
          <w:color w:val="auto"/>
        </w:rPr>
      </w:pPr>
      <w:r>
        <w:rPr>
          <w:rFonts w:ascii="Arial" w:cs="Arial" w:eastAsia="Arial" w:hAnsi="Arial"/>
          <w:sz w:val="16"/>
          <w:szCs w:val="16"/>
          <w:color w:val="auto"/>
        </w:rPr>
        <w:t>We believe the addition of Relative ROCE Improvement as a performance measure (effective 2021) further strengthens the Company’s alignment with stockholder interests and reinforces our focus on delivering higher returns.</w:t>
      </w:r>
    </w:p>
    <w:p>
      <w:pPr>
        <w:spacing w:after="0" w:line="158" w:lineRule="exact"/>
        <w:rPr>
          <w:sz w:val="20"/>
          <w:szCs w:val="20"/>
          <w:color w:val="auto"/>
        </w:rPr>
      </w:pPr>
    </w:p>
    <w:p>
      <w:pPr>
        <w:jc w:val="both"/>
        <w:ind w:left="1220" w:right="380" w:hanging="174"/>
        <w:spacing w:after="0" w:line="266" w:lineRule="auto"/>
        <w:tabs>
          <w:tab w:leader="none" w:pos="1221" w:val="left"/>
        </w:tabs>
        <w:numPr>
          <w:ilvl w:val="0"/>
          <w:numId w:val="87"/>
        </w:numPr>
        <w:rPr>
          <w:rFonts w:ascii="Arial" w:cs="Arial" w:eastAsia="Arial" w:hAnsi="Arial"/>
          <w:sz w:val="16"/>
          <w:szCs w:val="16"/>
          <w:color w:val="auto"/>
        </w:rPr>
      </w:pPr>
      <w:r>
        <w:rPr>
          <w:rFonts w:ascii="Arial" w:cs="Arial" w:eastAsia="Arial" w:hAnsi="Arial"/>
          <w:sz w:val="16"/>
          <w:szCs w:val="16"/>
          <w:color w:val="auto"/>
        </w:rPr>
        <w:t>Performance shares accrue dividend equivalents that are reinvested as additional shares, to be paid at the end of the performance period and subject to the same three-year cliff vesting schedule and performance modifier.</w:t>
      </w:r>
    </w:p>
    <w:p>
      <w:pPr>
        <w:spacing w:after="0" w:line="76" w:lineRule="exact"/>
        <w:rPr>
          <w:rFonts w:ascii="Arial" w:cs="Arial" w:eastAsia="Arial" w:hAnsi="Arial"/>
          <w:sz w:val="16"/>
          <w:szCs w:val="16"/>
          <w:color w:val="auto"/>
        </w:rPr>
      </w:pPr>
    </w:p>
    <w:p>
      <w:pPr>
        <w:ind w:left="1220" w:hanging="174"/>
        <w:spacing w:after="0"/>
        <w:tabs>
          <w:tab w:leader="none" w:pos="12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MCC can exercise negative discretion to reduce the payout.</w:t>
      </w:r>
    </w:p>
    <w:p>
      <w:pPr>
        <w:spacing w:after="0" w:line="126" w:lineRule="exact"/>
        <w:rPr>
          <w:rFonts w:ascii="Arial" w:cs="Arial" w:eastAsia="Arial" w:hAnsi="Arial"/>
          <w:sz w:val="16"/>
          <w:szCs w:val="16"/>
          <w:color w:val="auto"/>
        </w:rPr>
      </w:pPr>
    </w:p>
    <w:p>
      <w:pPr>
        <w:ind w:left="1220" w:right="380" w:hanging="174"/>
        <w:spacing w:after="0" w:line="286" w:lineRule="auto"/>
        <w:tabs>
          <w:tab w:leader="none" w:pos="1212" w:val="left"/>
        </w:tabs>
        <w:numPr>
          <w:ilvl w:val="0"/>
          <w:numId w:val="87"/>
        </w:numPr>
        <w:rPr>
          <w:rFonts w:ascii="Arial" w:cs="Arial" w:eastAsia="Arial" w:hAnsi="Arial"/>
          <w:sz w:val="16"/>
          <w:szCs w:val="16"/>
          <w:color w:val="auto"/>
        </w:rPr>
      </w:pPr>
      <w:r>
        <w:rPr>
          <w:rFonts w:ascii="Arial" w:cs="Arial" w:eastAsia="Arial" w:hAnsi="Arial"/>
          <w:sz w:val="16"/>
          <w:szCs w:val="16"/>
          <w:color w:val="auto"/>
        </w:rPr>
        <w:t>Actual number of shares granted is determined by dividing the proportionate target value of the NEO’s LTIP award by Chevron’s closing common stock price on the grant date.</w:t>
      </w:r>
    </w:p>
    <w:p>
      <w:pPr>
        <w:spacing w:after="0" w:line="61" w:lineRule="exact"/>
        <w:rPr>
          <w:rFonts w:ascii="Arial" w:cs="Arial" w:eastAsia="Arial" w:hAnsi="Arial"/>
          <w:sz w:val="16"/>
          <w:szCs w:val="16"/>
          <w:color w:val="auto"/>
        </w:rPr>
      </w:pPr>
    </w:p>
    <w:p>
      <w:pPr>
        <w:ind w:left="1220" w:hanging="174"/>
        <w:spacing w:after="0"/>
        <w:tabs>
          <w:tab w:leader="none" w:pos="12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Payment is made in cash. Refer to footnote 2 on pages 68 and 69 for calculation details.</w:t>
      </w:r>
    </w:p>
    <w:p>
      <w:pPr>
        <w:spacing w:after="0" w:line="154" w:lineRule="exact"/>
        <w:rPr>
          <w:sz w:val="20"/>
          <w:szCs w:val="20"/>
          <w:color w:val="auto"/>
        </w:rPr>
      </w:pPr>
    </w:p>
    <w:p>
      <w:pPr>
        <w:sectPr>
          <w:pgSz w:w="11900" w:h="16838" w:orient="portrait"/>
          <w:cols w:equalWidth="0" w:num="2">
            <w:col w:w="1300" w:space="720"/>
            <w:col w:w="9080"/>
          </w:cols>
          <w:pgMar w:left="320" w:top="455" w:right="479" w:bottom="1440" w:gutter="0" w:footer="0" w:header="0"/>
          <w:type w:val="continuous"/>
        </w:sectPr>
      </w:pPr>
    </w:p>
    <w:tbl>
      <w:tblPr>
        <w:tblLayout w:type="fixed"/>
        <w:tblInd w:w="160" w:type="dxa"/>
        <w:tblCellMar>
          <w:top w:w="0" w:type="dxa"/>
          <w:left w:w="0" w:type="dxa"/>
          <w:bottom w:w="0" w:type="dxa"/>
          <w:right w:w="0" w:type="dxa"/>
        </w:tblCellMar>
      </w:tblPr>
      <w:tr>
        <w:trPr>
          <w:trHeight w:val="283"/>
        </w:trPr>
        <w:tc>
          <w:tcPr>
            <w:tcW w:w="1760" w:type="dxa"/>
            <w:vAlign w:val="bottom"/>
            <w:shd w:val="clear" w:color="auto" w:fill="D8D8D8"/>
          </w:tcPr>
          <w:p>
            <w:pPr>
              <w:ind w:left="140"/>
              <w:spacing w:after="0"/>
              <w:rPr>
                <w:sz w:val="20"/>
                <w:szCs w:val="20"/>
                <w:color w:val="auto"/>
              </w:rPr>
            </w:pPr>
            <w:r>
              <w:rPr>
                <w:rFonts w:ascii="Arial" w:cs="Arial" w:eastAsia="Arial" w:hAnsi="Arial"/>
                <w:sz w:val="16"/>
                <w:szCs w:val="16"/>
                <w:b w:val="1"/>
                <w:bCs w:val="1"/>
                <w:color w:val="auto"/>
              </w:rPr>
              <w:t>RSUs</w:t>
            </w:r>
          </w:p>
        </w:tc>
        <w:tc>
          <w:tcPr>
            <w:tcW w:w="780" w:type="dxa"/>
            <w:vAlign w:val="bottom"/>
            <w:shd w:val="clear" w:color="auto" w:fill="D8D8D8"/>
          </w:tcPr>
          <w:p>
            <w:pPr>
              <w:jc w:val="right"/>
              <w:ind w:right="259"/>
              <w:spacing w:after="0"/>
              <w:rPr>
                <w:sz w:val="20"/>
                <w:szCs w:val="20"/>
                <w:color w:val="auto"/>
              </w:rPr>
            </w:pPr>
            <w:r>
              <w:rPr>
                <w:rFonts w:ascii="Arial" w:cs="Arial" w:eastAsia="Arial" w:hAnsi="Arial"/>
                <w:sz w:val="16"/>
                <w:szCs w:val="16"/>
                <w:color w:val="auto"/>
              </w:rPr>
              <w:t>25%</w:t>
            </w:r>
          </w:p>
        </w:tc>
        <w:tc>
          <w:tcPr>
            <w:tcW w:w="480" w:type="dxa"/>
            <w:vAlign w:val="bottom"/>
            <w:shd w:val="clear" w:color="auto" w:fill="D8D8D8"/>
          </w:tcPr>
          <w:p>
            <w:pPr>
              <w:ind w:left="360"/>
              <w:spacing w:after="0"/>
              <w:rPr>
                <w:sz w:val="20"/>
                <w:szCs w:val="20"/>
                <w:color w:val="auto"/>
              </w:rPr>
            </w:pPr>
            <w:r>
              <w:rPr>
                <w:rFonts w:ascii="Arial" w:cs="Arial" w:eastAsia="Arial" w:hAnsi="Arial"/>
                <w:sz w:val="16"/>
                <w:szCs w:val="16"/>
                <w:color w:val="auto"/>
              </w:rPr>
              <w:t>•</w:t>
            </w:r>
          </w:p>
        </w:tc>
        <w:tc>
          <w:tcPr>
            <w:tcW w:w="7920" w:type="dxa"/>
            <w:vAlign w:val="bottom"/>
            <w:shd w:val="clear" w:color="auto" w:fill="D8D8D8"/>
          </w:tcPr>
          <w:p>
            <w:pPr>
              <w:ind w:left="60"/>
              <w:spacing w:after="0"/>
              <w:rPr>
                <w:sz w:val="20"/>
                <w:szCs w:val="20"/>
                <w:color w:val="auto"/>
              </w:rPr>
            </w:pPr>
            <w:r>
              <w:rPr>
                <w:rFonts w:ascii="Arial" w:cs="Arial" w:eastAsia="Arial" w:hAnsi="Arial"/>
                <w:sz w:val="16"/>
                <w:szCs w:val="16"/>
                <w:color w:val="auto"/>
              </w:rPr>
              <w:t>Actual number of RSUs granted is determined by dividing the proportionate target value of the NEO’s</w:t>
            </w:r>
          </w:p>
        </w:tc>
      </w:tr>
      <w:tr>
        <w:trPr>
          <w:trHeight w:val="215"/>
        </w:trPr>
        <w:tc>
          <w:tcPr>
            <w:tcW w:w="1760" w:type="dxa"/>
            <w:vAlign w:val="bottom"/>
            <w:shd w:val="clear" w:color="auto" w:fill="D8D8D8"/>
          </w:tcPr>
          <w:p>
            <w:pPr>
              <w:spacing w:after="0"/>
              <w:rPr>
                <w:sz w:val="18"/>
                <w:szCs w:val="18"/>
                <w:color w:val="auto"/>
              </w:rPr>
            </w:pPr>
          </w:p>
        </w:tc>
        <w:tc>
          <w:tcPr>
            <w:tcW w:w="780" w:type="dxa"/>
            <w:vAlign w:val="bottom"/>
            <w:shd w:val="clear" w:color="auto" w:fill="D8D8D8"/>
          </w:tcPr>
          <w:p>
            <w:pPr>
              <w:spacing w:after="0"/>
              <w:rPr>
                <w:sz w:val="18"/>
                <w:szCs w:val="18"/>
                <w:color w:val="auto"/>
              </w:rPr>
            </w:pPr>
          </w:p>
        </w:tc>
        <w:tc>
          <w:tcPr>
            <w:tcW w:w="480" w:type="dxa"/>
            <w:vAlign w:val="bottom"/>
            <w:shd w:val="clear" w:color="auto" w:fill="D8D8D8"/>
          </w:tcPr>
          <w:p>
            <w:pPr>
              <w:spacing w:after="0"/>
              <w:rPr>
                <w:sz w:val="18"/>
                <w:szCs w:val="18"/>
                <w:color w:val="auto"/>
              </w:rPr>
            </w:pPr>
          </w:p>
        </w:tc>
        <w:tc>
          <w:tcPr>
            <w:tcW w:w="7920" w:type="dxa"/>
            <w:vAlign w:val="bottom"/>
            <w:shd w:val="clear" w:color="auto" w:fill="D8D8D8"/>
          </w:tcPr>
          <w:p>
            <w:pPr>
              <w:ind w:left="60"/>
              <w:spacing w:after="0"/>
              <w:rPr>
                <w:sz w:val="20"/>
                <w:szCs w:val="20"/>
                <w:color w:val="auto"/>
              </w:rPr>
            </w:pPr>
            <w:r>
              <w:rPr>
                <w:rFonts w:ascii="Arial" w:cs="Arial" w:eastAsia="Arial" w:hAnsi="Arial"/>
                <w:sz w:val="16"/>
                <w:szCs w:val="16"/>
                <w:color w:val="auto"/>
              </w:rPr>
              <w:t>LTIP award by Chevron’s closing common stock price on the grant date.</w:t>
            </w:r>
          </w:p>
        </w:tc>
      </w:tr>
      <w:tr>
        <w:trPr>
          <w:trHeight w:val="285"/>
        </w:trPr>
        <w:tc>
          <w:tcPr>
            <w:tcW w:w="1760" w:type="dxa"/>
            <w:vAlign w:val="bottom"/>
            <w:shd w:val="clear" w:color="auto" w:fill="D8D8D8"/>
          </w:tcPr>
          <w:p>
            <w:pPr>
              <w:spacing w:after="0"/>
              <w:rPr>
                <w:sz w:val="24"/>
                <w:szCs w:val="24"/>
                <w:color w:val="auto"/>
              </w:rPr>
            </w:pPr>
          </w:p>
        </w:tc>
        <w:tc>
          <w:tcPr>
            <w:tcW w:w="780" w:type="dxa"/>
            <w:vAlign w:val="bottom"/>
            <w:shd w:val="clear" w:color="auto" w:fill="D8D8D8"/>
          </w:tcPr>
          <w:p>
            <w:pPr>
              <w:spacing w:after="0"/>
              <w:rPr>
                <w:sz w:val="24"/>
                <w:szCs w:val="24"/>
                <w:color w:val="auto"/>
              </w:rPr>
            </w:pPr>
          </w:p>
        </w:tc>
        <w:tc>
          <w:tcPr>
            <w:tcW w:w="480" w:type="dxa"/>
            <w:vAlign w:val="bottom"/>
            <w:shd w:val="clear" w:color="auto" w:fill="D8D8D8"/>
          </w:tcPr>
          <w:p>
            <w:pPr>
              <w:ind w:left="360"/>
              <w:spacing w:after="0"/>
              <w:rPr>
                <w:sz w:val="20"/>
                <w:szCs w:val="20"/>
                <w:color w:val="auto"/>
              </w:rPr>
            </w:pPr>
            <w:r>
              <w:rPr>
                <w:rFonts w:ascii="Arial" w:cs="Arial" w:eastAsia="Arial" w:hAnsi="Arial"/>
                <w:sz w:val="16"/>
                <w:szCs w:val="16"/>
                <w:color w:val="auto"/>
              </w:rPr>
              <w:t>•</w:t>
            </w:r>
          </w:p>
        </w:tc>
        <w:tc>
          <w:tcPr>
            <w:tcW w:w="7920" w:type="dxa"/>
            <w:vAlign w:val="bottom"/>
            <w:shd w:val="clear" w:color="auto" w:fill="D8D8D8"/>
          </w:tcPr>
          <w:p>
            <w:pPr>
              <w:ind w:left="60"/>
              <w:spacing w:after="0"/>
              <w:rPr>
                <w:sz w:val="20"/>
                <w:szCs w:val="20"/>
                <w:color w:val="auto"/>
              </w:rPr>
            </w:pPr>
            <w:r>
              <w:rPr>
                <w:rFonts w:ascii="Arial" w:cs="Arial" w:eastAsia="Arial" w:hAnsi="Arial"/>
                <w:sz w:val="16"/>
                <w:szCs w:val="16"/>
                <w:color w:val="auto"/>
              </w:rPr>
              <w:t>Five-year cliff vesting lengthens equity holding time, which enhances retention and alignment with</w:t>
            </w:r>
          </w:p>
        </w:tc>
      </w:tr>
      <w:tr>
        <w:trPr>
          <w:trHeight w:val="215"/>
        </w:trPr>
        <w:tc>
          <w:tcPr>
            <w:tcW w:w="1760" w:type="dxa"/>
            <w:vAlign w:val="bottom"/>
            <w:shd w:val="clear" w:color="auto" w:fill="D8D8D8"/>
          </w:tcPr>
          <w:p>
            <w:pPr>
              <w:spacing w:after="0"/>
              <w:rPr>
                <w:sz w:val="18"/>
                <w:szCs w:val="18"/>
                <w:color w:val="auto"/>
              </w:rPr>
            </w:pPr>
          </w:p>
        </w:tc>
        <w:tc>
          <w:tcPr>
            <w:tcW w:w="780" w:type="dxa"/>
            <w:vAlign w:val="bottom"/>
            <w:shd w:val="clear" w:color="auto" w:fill="D8D8D8"/>
          </w:tcPr>
          <w:p>
            <w:pPr>
              <w:spacing w:after="0"/>
              <w:rPr>
                <w:sz w:val="18"/>
                <w:szCs w:val="18"/>
                <w:color w:val="auto"/>
              </w:rPr>
            </w:pPr>
          </w:p>
        </w:tc>
        <w:tc>
          <w:tcPr>
            <w:tcW w:w="480" w:type="dxa"/>
            <w:vAlign w:val="bottom"/>
            <w:shd w:val="clear" w:color="auto" w:fill="D8D8D8"/>
          </w:tcPr>
          <w:p>
            <w:pPr>
              <w:spacing w:after="0"/>
              <w:rPr>
                <w:sz w:val="18"/>
                <w:szCs w:val="18"/>
                <w:color w:val="auto"/>
              </w:rPr>
            </w:pPr>
          </w:p>
        </w:tc>
        <w:tc>
          <w:tcPr>
            <w:tcW w:w="7920" w:type="dxa"/>
            <w:vAlign w:val="bottom"/>
            <w:shd w:val="clear" w:color="auto" w:fill="D8D8D8"/>
          </w:tcPr>
          <w:p>
            <w:pPr>
              <w:ind w:left="60"/>
              <w:spacing w:after="0"/>
              <w:rPr>
                <w:sz w:val="20"/>
                <w:szCs w:val="20"/>
                <w:color w:val="auto"/>
              </w:rPr>
            </w:pPr>
            <w:r>
              <w:rPr>
                <w:rFonts w:ascii="Arial" w:cs="Arial" w:eastAsia="Arial" w:hAnsi="Arial"/>
                <w:sz w:val="16"/>
                <w:szCs w:val="16"/>
                <w:color w:val="auto"/>
              </w:rPr>
              <w:t>stockholders.</w:t>
            </w:r>
          </w:p>
        </w:tc>
      </w:tr>
      <w:tr>
        <w:trPr>
          <w:trHeight w:val="285"/>
        </w:trPr>
        <w:tc>
          <w:tcPr>
            <w:tcW w:w="1760" w:type="dxa"/>
            <w:vAlign w:val="bottom"/>
            <w:shd w:val="clear" w:color="auto" w:fill="D8D8D8"/>
          </w:tcPr>
          <w:p>
            <w:pPr>
              <w:spacing w:after="0"/>
              <w:rPr>
                <w:sz w:val="24"/>
                <w:szCs w:val="24"/>
                <w:color w:val="auto"/>
              </w:rPr>
            </w:pPr>
          </w:p>
        </w:tc>
        <w:tc>
          <w:tcPr>
            <w:tcW w:w="780" w:type="dxa"/>
            <w:vAlign w:val="bottom"/>
            <w:shd w:val="clear" w:color="auto" w:fill="D8D8D8"/>
          </w:tcPr>
          <w:p>
            <w:pPr>
              <w:spacing w:after="0"/>
              <w:rPr>
                <w:sz w:val="24"/>
                <w:szCs w:val="24"/>
                <w:color w:val="auto"/>
              </w:rPr>
            </w:pPr>
          </w:p>
        </w:tc>
        <w:tc>
          <w:tcPr>
            <w:tcW w:w="480" w:type="dxa"/>
            <w:vAlign w:val="bottom"/>
            <w:shd w:val="clear" w:color="auto" w:fill="D8D8D8"/>
          </w:tcPr>
          <w:p>
            <w:pPr>
              <w:ind w:left="360"/>
              <w:spacing w:after="0"/>
              <w:rPr>
                <w:sz w:val="20"/>
                <w:szCs w:val="20"/>
                <w:color w:val="auto"/>
              </w:rPr>
            </w:pPr>
            <w:r>
              <w:rPr>
                <w:rFonts w:ascii="Arial" w:cs="Arial" w:eastAsia="Arial" w:hAnsi="Arial"/>
                <w:sz w:val="16"/>
                <w:szCs w:val="16"/>
                <w:color w:val="auto"/>
              </w:rPr>
              <w:t>•</w:t>
            </w:r>
          </w:p>
        </w:tc>
        <w:tc>
          <w:tcPr>
            <w:tcW w:w="7920" w:type="dxa"/>
            <w:vAlign w:val="bottom"/>
            <w:shd w:val="clear" w:color="auto" w:fill="D8D8D8"/>
          </w:tcPr>
          <w:p>
            <w:pPr>
              <w:ind w:left="60"/>
              <w:spacing w:after="0"/>
              <w:rPr>
                <w:sz w:val="20"/>
                <w:szCs w:val="20"/>
                <w:color w:val="auto"/>
              </w:rPr>
            </w:pPr>
            <w:r>
              <w:rPr>
                <w:rFonts w:ascii="Arial" w:cs="Arial" w:eastAsia="Arial" w:hAnsi="Arial"/>
                <w:sz w:val="16"/>
                <w:szCs w:val="16"/>
                <w:color w:val="auto"/>
              </w:rPr>
              <w:t>RSUs accrue dividend equivalents that are reinvested as additional RSUs, to be paid at the time of</w:t>
            </w:r>
          </w:p>
        </w:tc>
      </w:tr>
      <w:tr>
        <w:trPr>
          <w:trHeight w:val="215"/>
        </w:trPr>
        <w:tc>
          <w:tcPr>
            <w:tcW w:w="1760" w:type="dxa"/>
            <w:vAlign w:val="bottom"/>
            <w:shd w:val="clear" w:color="auto" w:fill="D8D8D8"/>
          </w:tcPr>
          <w:p>
            <w:pPr>
              <w:spacing w:after="0"/>
              <w:rPr>
                <w:sz w:val="18"/>
                <w:szCs w:val="18"/>
                <w:color w:val="auto"/>
              </w:rPr>
            </w:pPr>
          </w:p>
        </w:tc>
        <w:tc>
          <w:tcPr>
            <w:tcW w:w="780" w:type="dxa"/>
            <w:vAlign w:val="bottom"/>
            <w:shd w:val="clear" w:color="auto" w:fill="D8D8D8"/>
          </w:tcPr>
          <w:p>
            <w:pPr>
              <w:spacing w:after="0"/>
              <w:rPr>
                <w:sz w:val="18"/>
                <w:szCs w:val="18"/>
                <w:color w:val="auto"/>
              </w:rPr>
            </w:pPr>
          </w:p>
        </w:tc>
        <w:tc>
          <w:tcPr>
            <w:tcW w:w="480" w:type="dxa"/>
            <w:vAlign w:val="bottom"/>
            <w:shd w:val="clear" w:color="auto" w:fill="D8D8D8"/>
          </w:tcPr>
          <w:p>
            <w:pPr>
              <w:spacing w:after="0"/>
              <w:rPr>
                <w:sz w:val="18"/>
                <w:szCs w:val="18"/>
                <w:color w:val="auto"/>
              </w:rPr>
            </w:pPr>
          </w:p>
        </w:tc>
        <w:tc>
          <w:tcPr>
            <w:tcW w:w="7920" w:type="dxa"/>
            <w:vAlign w:val="bottom"/>
            <w:shd w:val="clear" w:color="auto" w:fill="D8D8D8"/>
          </w:tcPr>
          <w:p>
            <w:pPr>
              <w:ind w:left="60"/>
              <w:spacing w:after="0"/>
              <w:rPr>
                <w:sz w:val="20"/>
                <w:szCs w:val="20"/>
                <w:color w:val="auto"/>
              </w:rPr>
            </w:pPr>
            <w:r>
              <w:rPr>
                <w:rFonts w:ascii="Arial" w:cs="Arial" w:eastAsia="Arial" w:hAnsi="Arial"/>
                <w:sz w:val="16"/>
                <w:szCs w:val="16"/>
                <w:color w:val="auto"/>
              </w:rPr>
              <w:t>vesting.</w:t>
            </w:r>
          </w:p>
        </w:tc>
      </w:tr>
      <w:tr>
        <w:trPr>
          <w:trHeight w:val="310"/>
        </w:trPr>
        <w:tc>
          <w:tcPr>
            <w:tcW w:w="1760" w:type="dxa"/>
            <w:vAlign w:val="bottom"/>
            <w:shd w:val="clear" w:color="auto" w:fill="D8D8D8"/>
          </w:tcPr>
          <w:p>
            <w:pPr>
              <w:spacing w:after="0"/>
              <w:rPr>
                <w:sz w:val="24"/>
                <w:szCs w:val="24"/>
                <w:color w:val="auto"/>
              </w:rPr>
            </w:pPr>
          </w:p>
        </w:tc>
        <w:tc>
          <w:tcPr>
            <w:tcW w:w="780" w:type="dxa"/>
            <w:vAlign w:val="bottom"/>
            <w:shd w:val="clear" w:color="auto" w:fill="D8D8D8"/>
          </w:tcPr>
          <w:p>
            <w:pPr>
              <w:spacing w:after="0"/>
              <w:rPr>
                <w:sz w:val="24"/>
                <w:szCs w:val="24"/>
                <w:color w:val="auto"/>
              </w:rPr>
            </w:pPr>
          </w:p>
        </w:tc>
        <w:tc>
          <w:tcPr>
            <w:tcW w:w="8400" w:type="dxa"/>
            <w:vAlign w:val="bottom"/>
            <w:gridSpan w:val="2"/>
            <w:shd w:val="clear" w:color="auto" w:fill="D8D8D8"/>
          </w:tcPr>
          <w:p>
            <w:pPr>
              <w:ind w:left="360"/>
              <w:spacing w:after="0"/>
              <w:rPr>
                <w:sz w:val="20"/>
                <w:szCs w:val="20"/>
                <w:color w:val="auto"/>
              </w:rPr>
            </w:pPr>
            <w:r>
              <w:rPr>
                <w:rFonts w:ascii="Arial" w:cs="Arial" w:eastAsia="Arial" w:hAnsi="Arial"/>
                <w:sz w:val="16"/>
                <w:szCs w:val="16"/>
                <w:color w:val="auto"/>
              </w:rPr>
              <w:t>•  Payment is made in cash based on the closing common stock price on the vesting date.</w:t>
            </w:r>
          </w:p>
        </w:tc>
      </w:tr>
      <w:tr>
        <w:trPr>
          <w:trHeight w:val="123"/>
        </w:trPr>
        <w:tc>
          <w:tcPr>
            <w:tcW w:w="1760" w:type="dxa"/>
            <w:vAlign w:val="bottom"/>
            <w:shd w:val="clear" w:color="auto" w:fill="D8D8D8"/>
          </w:tcPr>
          <w:p>
            <w:pPr>
              <w:spacing w:after="0"/>
              <w:rPr>
                <w:sz w:val="10"/>
                <w:szCs w:val="10"/>
                <w:color w:val="auto"/>
              </w:rPr>
            </w:pPr>
          </w:p>
        </w:tc>
        <w:tc>
          <w:tcPr>
            <w:tcW w:w="780" w:type="dxa"/>
            <w:vAlign w:val="bottom"/>
            <w:shd w:val="clear" w:color="auto" w:fill="D8D8D8"/>
          </w:tcPr>
          <w:p>
            <w:pPr>
              <w:spacing w:after="0"/>
              <w:rPr>
                <w:sz w:val="10"/>
                <w:szCs w:val="10"/>
                <w:color w:val="auto"/>
              </w:rPr>
            </w:pPr>
          </w:p>
        </w:tc>
        <w:tc>
          <w:tcPr>
            <w:tcW w:w="480" w:type="dxa"/>
            <w:vAlign w:val="bottom"/>
            <w:shd w:val="clear" w:color="auto" w:fill="D8D8D8"/>
          </w:tcPr>
          <w:p>
            <w:pPr>
              <w:spacing w:after="0"/>
              <w:rPr>
                <w:sz w:val="10"/>
                <w:szCs w:val="10"/>
                <w:color w:val="auto"/>
              </w:rPr>
            </w:pPr>
          </w:p>
        </w:tc>
        <w:tc>
          <w:tcPr>
            <w:tcW w:w="7920" w:type="dxa"/>
            <w:vAlign w:val="bottom"/>
            <w:shd w:val="clear" w:color="auto" w:fill="D8D8D8"/>
          </w:tcPr>
          <w:p>
            <w:pPr>
              <w:spacing w:after="0"/>
              <w:rPr>
                <w:sz w:val="10"/>
                <w:szCs w:val="10"/>
                <w:color w:val="auto"/>
              </w:rPr>
            </w:pPr>
          </w:p>
        </w:tc>
      </w:tr>
      <w:tr>
        <w:trPr>
          <w:trHeight w:val="317"/>
        </w:trPr>
        <w:tc>
          <w:tcPr>
            <w:tcW w:w="1760" w:type="dxa"/>
            <w:vAlign w:val="bottom"/>
          </w:tcPr>
          <w:p>
            <w:pPr>
              <w:ind w:left="140"/>
              <w:spacing w:after="0"/>
              <w:rPr>
                <w:sz w:val="20"/>
                <w:szCs w:val="20"/>
                <w:color w:val="auto"/>
              </w:rPr>
            </w:pPr>
            <w:r>
              <w:rPr>
                <w:rFonts w:ascii="Arial" w:cs="Arial" w:eastAsia="Arial" w:hAnsi="Arial"/>
                <w:sz w:val="16"/>
                <w:szCs w:val="16"/>
                <w:b w:val="1"/>
                <w:bCs w:val="1"/>
                <w:color w:val="auto"/>
              </w:rPr>
              <w:t>Stock options</w:t>
            </w: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25%</w:t>
            </w:r>
          </w:p>
        </w:tc>
        <w:tc>
          <w:tcPr>
            <w:tcW w:w="480" w:type="dxa"/>
            <w:vAlign w:val="bottom"/>
          </w:tcPr>
          <w:p>
            <w:pPr>
              <w:ind w:left="360"/>
              <w:spacing w:after="0"/>
              <w:rPr>
                <w:sz w:val="20"/>
                <w:szCs w:val="20"/>
                <w:color w:val="auto"/>
              </w:rPr>
            </w:pPr>
            <w:r>
              <w:rPr>
                <w:rFonts w:ascii="Arial" w:cs="Arial" w:eastAsia="Arial" w:hAnsi="Arial"/>
                <w:sz w:val="16"/>
                <w:szCs w:val="16"/>
                <w:color w:val="auto"/>
              </w:rPr>
              <w:t>•</w:t>
            </w:r>
          </w:p>
        </w:tc>
        <w:tc>
          <w:tcPr>
            <w:tcW w:w="7920" w:type="dxa"/>
            <w:vAlign w:val="bottom"/>
          </w:tcPr>
          <w:p>
            <w:pPr>
              <w:ind w:left="60"/>
              <w:spacing w:after="0"/>
              <w:rPr>
                <w:sz w:val="20"/>
                <w:szCs w:val="20"/>
                <w:color w:val="auto"/>
              </w:rPr>
            </w:pPr>
            <w:r>
              <w:rPr>
                <w:rFonts w:ascii="Arial" w:cs="Arial" w:eastAsia="Arial" w:hAnsi="Arial"/>
                <w:sz w:val="16"/>
                <w:szCs w:val="16"/>
                <w:color w:val="auto"/>
              </w:rPr>
              <w:t>Strike price is equal to Chevron’s closing common stock price on the grant date.</w:t>
            </w:r>
          </w:p>
        </w:tc>
      </w:tr>
      <w:tr>
        <w:trPr>
          <w:trHeight w:val="277"/>
        </w:trPr>
        <w:tc>
          <w:tcPr>
            <w:tcW w:w="1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0" w:type="dxa"/>
            <w:vAlign w:val="bottom"/>
            <w:gridSpan w:val="2"/>
          </w:tcPr>
          <w:p>
            <w:pPr>
              <w:ind w:left="360"/>
              <w:spacing w:after="0"/>
              <w:rPr>
                <w:sz w:val="20"/>
                <w:szCs w:val="20"/>
                <w:color w:val="auto"/>
              </w:rPr>
            </w:pPr>
            <w:r>
              <w:rPr>
                <w:rFonts w:ascii="Arial" w:cs="Arial" w:eastAsia="Arial" w:hAnsi="Arial"/>
                <w:sz w:val="16"/>
                <w:szCs w:val="16"/>
                <w:color w:val="auto"/>
              </w:rPr>
              <w:t>•  Options vest and become exercisable at a rate of one-third per year for the first three years and expire</w:t>
            </w:r>
          </w:p>
        </w:tc>
      </w:tr>
      <w:tr>
        <w:trPr>
          <w:trHeight w:val="215"/>
        </w:trPr>
        <w:tc>
          <w:tcPr>
            <w:tcW w:w="1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920" w:type="dxa"/>
            <w:vAlign w:val="bottom"/>
          </w:tcPr>
          <w:p>
            <w:pPr>
              <w:ind w:left="60"/>
              <w:spacing w:after="0"/>
              <w:rPr>
                <w:sz w:val="20"/>
                <w:szCs w:val="20"/>
                <w:color w:val="auto"/>
              </w:rPr>
            </w:pPr>
            <w:r>
              <w:rPr>
                <w:rFonts w:ascii="Arial" w:cs="Arial" w:eastAsia="Arial" w:hAnsi="Arial"/>
                <w:sz w:val="16"/>
                <w:szCs w:val="16"/>
                <w:color w:val="auto"/>
              </w:rPr>
              <w:t>10 years after the grant date.</w:t>
            </w:r>
          </w:p>
        </w:tc>
      </w:tr>
      <w:tr>
        <w:trPr>
          <w:trHeight w:val="285"/>
        </w:trPr>
        <w:tc>
          <w:tcPr>
            <w:tcW w:w="1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ind w:left="360"/>
              <w:spacing w:after="0"/>
              <w:rPr>
                <w:sz w:val="20"/>
                <w:szCs w:val="20"/>
                <w:color w:val="auto"/>
              </w:rPr>
            </w:pPr>
            <w:r>
              <w:rPr>
                <w:rFonts w:ascii="Arial" w:cs="Arial" w:eastAsia="Arial" w:hAnsi="Arial"/>
                <w:sz w:val="16"/>
                <w:szCs w:val="16"/>
                <w:color w:val="auto"/>
              </w:rPr>
              <w:t>•</w:t>
            </w:r>
          </w:p>
        </w:tc>
        <w:tc>
          <w:tcPr>
            <w:tcW w:w="7920" w:type="dxa"/>
            <w:vAlign w:val="bottom"/>
          </w:tcPr>
          <w:p>
            <w:pPr>
              <w:ind w:left="60"/>
              <w:spacing w:after="0"/>
              <w:rPr>
                <w:sz w:val="20"/>
                <w:szCs w:val="20"/>
                <w:color w:val="auto"/>
              </w:rPr>
            </w:pPr>
            <w:r>
              <w:rPr>
                <w:rFonts w:ascii="Arial" w:cs="Arial" w:eastAsia="Arial" w:hAnsi="Arial"/>
                <w:sz w:val="16"/>
                <w:szCs w:val="16"/>
                <w:color w:val="auto"/>
              </w:rPr>
              <w:t>Gains realized depend on the Chevron common stock price at the time of exercise compared with the</w:t>
            </w:r>
          </w:p>
        </w:tc>
      </w:tr>
      <w:tr>
        <w:trPr>
          <w:trHeight w:val="215"/>
        </w:trPr>
        <w:tc>
          <w:tcPr>
            <w:tcW w:w="1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920" w:type="dxa"/>
            <w:vAlign w:val="bottom"/>
          </w:tcPr>
          <w:p>
            <w:pPr>
              <w:ind w:left="60"/>
              <w:spacing w:after="0"/>
              <w:rPr>
                <w:sz w:val="20"/>
                <w:szCs w:val="20"/>
                <w:color w:val="auto"/>
              </w:rPr>
            </w:pPr>
            <w:r>
              <w:rPr>
                <w:rFonts w:ascii="Arial" w:cs="Arial" w:eastAsia="Arial" w:hAnsi="Arial"/>
                <w:sz w:val="16"/>
                <w:szCs w:val="16"/>
                <w:color w:val="auto"/>
              </w:rPr>
              <w:t>strike price.</w:t>
            </w:r>
          </w:p>
        </w:tc>
      </w:tr>
      <w:tr>
        <w:trPr>
          <w:trHeight w:val="285"/>
        </w:trPr>
        <w:tc>
          <w:tcPr>
            <w:tcW w:w="1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ind w:left="360"/>
              <w:spacing w:after="0"/>
              <w:rPr>
                <w:sz w:val="20"/>
                <w:szCs w:val="20"/>
                <w:color w:val="auto"/>
              </w:rPr>
            </w:pPr>
            <w:r>
              <w:rPr>
                <w:rFonts w:ascii="Arial" w:cs="Arial" w:eastAsia="Arial" w:hAnsi="Arial"/>
                <w:sz w:val="16"/>
                <w:szCs w:val="16"/>
                <w:color w:val="auto"/>
              </w:rPr>
              <w:t>•</w:t>
            </w:r>
          </w:p>
        </w:tc>
        <w:tc>
          <w:tcPr>
            <w:tcW w:w="7920" w:type="dxa"/>
            <w:vAlign w:val="bottom"/>
          </w:tcPr>
          <w:p>
            <w:pPr>
              <w:ind w:left="60"/>
              <w:spacing w:after="0"/>
              <w:rPr>
                <w:sz w:val="20"/>
                <w:szCs w:val="20"/>
                <w:color w:val="auto"/>
              </w:rPr>
            </w:pPr>
            <w:r>
              <w:rPr>
                <w:rFonts w:ascii="Arial" w:cs="Arial" w:eastAsia="Arial" w:hAnsi="Arial"/>
                <w:sz w:val="16"/>
                <w:szCs w:val="16"/>
                <w:color w:val="auto"/>
              </w:rPr>
              <w:t>Actual number of stock options granted is determined by dividing the proportionate target value of the</w:t>
            </w:r>
          </w:p>
        </w:tc>
      </w:tr>
      <w:tr>
        <w:trPr>
          <w:trHeight w:val="189"/>
        </w:trPr>
        <w:tc>
          <w:tcPr>
            <w:tcW w:w="1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920" w:type="dxa"/>
            <w:vAlign w:val="bottom"/>
          </w:tcPr>
          <w:p>
            <w:pPr>
              <w:ind w:left="60"/>
              <w:spacing w:after="0"/>
              <w:rPr>
                <w:sz w:val="20"/>
                <w:szCs w:val="20"/>
                <w:color w:val="auto"/>
              </w:rPr>
            </w:pPr>
            <w:r>
              <w:rPr>
                <w:rFonts w:ascii="Arial" w:cs="Arial" w:eastAsia="Arial" w:hAnsi="Arial"/>
                <w:sz w:val="16"/>
                <w:szCs w:val="16"/>
                <w:color w:val="auto"/>
              </w:rPr>
              <w:t>NEO’s LTIP award by the Black-Scholes option value on the grant date, consistent with the grant date</w:t>
            </w:r>
          </w:p>
        </w:tc>
      </w:tr>
      <w:tr>
        <w:trPr>
          <w:trHeight w:val="215"/>
        </w:trPr>
        <w:tc>
          <w:tcPr>
            <w:tcW w:w="1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920" w:type="dxa"/>
            <w:vAlign w:val="bottom"/>
          </w:tcPr>
          <w:p>
            <w:pPr>
              <w:ind w:left="60"/>
              <w:spacing w:after="0"/>
              <w:rPr>
                <w:sz w:val="20"/>
                <w:szCs w:val="20"/>
                <w:color w:val="auto"/>
              </w:rPr>
            </w:pPr>
            <w:r>
              <w:rPr>
                <w:rFonts w:ascii="Arial" w:cs="Arial" w:eastAsia="Arial" w:hAnsi="Arial"/>
                <w:sz w:val="16"/>
                <w:szCs w:val="16"/>
                <w:color w:val="auto"/>
              </w:rPr>
              <w:t>fair value calculation as presented in the Summary Compensation Table.</w:t>
            </w:r>
          </w:p>
        </w:tc>
      </w:tr>
    </w:tbl>
    <w:p>
      <w:pPr>
        <w:spacing w:after="0" w:line="200" w:lineRule="exact"/>
        <w:rPr>
          <w:sz w:val="20"/>
          <w:szCs w:val="20"/>
          <w:color w:val="auto"/>
        </w:rPr>
      </w:pPr>
    </w:p>
    <w:p>
      <w:pPr>
        <w:spacing w:after="0" w:line="311"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11100"/>
          </w:cols>
          <w:pgMar w:left="320" w:top="455" w:right="479" w:bottom="1440" w:gutter="0" w:footer="0" w:header="0"/>
          <w:type w:val="continuous"/>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405890" cy="146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405890" cy="146050"/>
                    </a:xfrm>
                    <a:prstGeom prst="rect">
                      <a:avLst/>
                    </a:prstGeom>
                    <a:noFill/>
                  </pic:spPr>
                </pic:pic>
              </a:graphicData>
            </a:graphic>
          </wp:anchor>
        </w:drawing>
      </w:r>
    </w:p>
    <w:p>
      <w:pPr>
        <w:spacing w:after="0" w:line="33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Executive compensation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LTIP metrics</w:t>
      </w:r>
    </w:p>
    <w:p>
      <w:pPr>
        <w:spacing w:after="0" w:line="153"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color w:val="auto"/>
        </w:rPr>
        <w:t>The MCC continues to believe TSR should be the primary pay-for-performance measure to align our CEO’s and other NEOs’ performance with stockholder interests. It is objectively determined and allows for meaningful comparisons of our performance relative to other companies within the same industry and to our stockholders’ other investment alternatives within the S&amp;P 500 Total Return Index. Like TSR, ROCE is a standard performance measure by which stockholders measure a company’s performance, and it allows for meaningful comparisons relative to peers within our industry. The MCC believes that the addition of Relative ROCE Improvement as a performance measure in our performance shares further strengthens the Company’s alignment with stockholder interests and reinforces our focus on delivering higher returns.</w:t>
      </w:r>
    </w:p>
    <w:p>
      <w:pPr>
        <w:spacing w:after="0" w:line="74"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auto"/>
        </w:rPr>
        <w:t>The majority of the LTIP award derives value directly from TSR (relative and absolute). For the CEO and the other NEOs to earn their originally targeted compensation, Chevron must show competitive TSR performance.</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2019–2021 performance share payout</w:t>
      </w:r>
    </w:p>
    <w:p>
      <w:pPr>
        <w:spacing w:after="0" w:line="180" w:lineRule="exact"/>
        <w:rPr>
          <w:sz w:val="20"/>
          <w:szCs w:val="20"/>
          <w:color w:val="auto"/>
        </w:rPr>
      </w:pPr>
    </w:p>
    <w:p>
      <w:pPr>
        <w:ind w:left="120" w:right="5880"/>
        <w:spacing w:after="0" w:line="256" w:lineRule="auto"/>
        <w:rPr>
          <w:sz w:val="20"/>
          <w:szCs w:val="20"/>
          <w:color w:val="auto"/>
        </w:rPr>
      </w:pPr>
      <w:r>
        <w:rPr>
          <w:rFonts w:ascii="Arial" w:cs="Arial" w:eastAsia="Arial" w:hAnsi="Arial"/>
          <w:sz w:val="16"/>
          <w:szCs w:val="16"/>
          <w:color w:val="auto"/>
        </w:rPr>
        <w:t>The three-year performance period for performance shares granted in January 2019 ended on December 31, 2021. For this three-year period, Chevron ranked second in TSR when compared with the LTIP Performance Share Peer Group, which includes the S&amp;P 500 Total Return Index, resulting in a payout modifier of 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-613410</wp:posOffset>
            </wp:positionV>
            <wp:extent cx="2820035" cy="16198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820035" cy="1619885"/>
                    </a:xfrm>
                    <a:prstGeom prst="rect">
                      <a:avLst/>
                    </a:prstGeom>
                    <a:noFill/>
                  </pic:spPr>
                </pic:pic>
              </a:graphicData>
            </a:graphic>
          </wp:anchor>
        </w:drawing>
      </w:r>
    </w:p>
    <w:p>
      <w:pPr>
        <w:spacing w:after="0" w:line="52" w:lineRule="exact"/>
        <w:rPr>
          <w:sz w:val="20"/>
          <w:szCs w:val="20"/>
          <w:color w:val="auto"/>
        </w:rPr>
      </w:pPr>
    </w:p>
    <w:p>
      <w:pPr>
        <w:ind w:left="120" w:right="5780"/>
        <w:spacing w:after="0" w:line="266" w:lineRule="auto"/>
        <w:rPr>
          <w:sz w:val="20"/>
          <w:szCs w:val="20"/>
          <w:color w:val="auto"/>
        </w:rPr>
      </w:pPr>
      <w:r>
        <w:rPr>
          <w:rFonts w:ascii="Arial" w:cs="Arial" w:eastAsia="Arial" w:hAnsi="Arial"/>
          <w:sz w:val="16"/>
          <w:szCs w:val="16"/>
          <w:color w:val="auto"/>
        </w:rPr>
        <w:t>The inclusion of the S&amp;P 500 Total Return Index was implemented in 2017 and has led to lower payout modifiers in the 2017-2019, 2018-2020 and 2019-2021 performance periods.</w:t>
      </w:r>
    </w:p>
    <w:p>
      <w:pPr>
        <w:spacing w:after="0" w:line="63" w:lineRule="exact"/>
        <w:rPr>
          <w:sz w:val="20"/>
          <w:szCs w:val="20"/>
          <w:color w:val="auto"/>
        </w:rPr>
      </w:pPr>
    </w:p>
    <w:p>
      <w:pPr>
        <w:ind w:left="120" w:right="5860"/>
        <w:spacing w:after="0" w:line="286" w:lineRule="auto"/>
        <w:rPr>
          <w:sz w:val="20"/>
          <w:szCs w:val="20"/>
          <w:color w:val="auto"/>
        </w:rPr>
      </w:pPr>
      <w:r>
        <w:rPr>
          <w:rFonts w:ascii="Arial" w:cs="Arial" w:eastAsia="Arial" w:hAnsi="Arial"/>
          <w:sz w:val="16"/>
          <w:szCs w:val="16"/>
          <w:color w:val="auto"/>
        </w:rPr>
        <w:t>Refer to “Option Exercises and Stock Vested in Fiscal Year 2021” tables on pages 68 and 69 for details on the performance payout calculation.</w:t>
      </w:r>
    </w:p>
    <w:p>
      <w:pPr>
        <w:spacing w:after="0" w:line="200" w:lineRule="exact"/>
        <w:rPr>
          <w:sz w:val="20"/>
          <w:szCs w:val="20"/>
          <w:color w:val="auto"/>
        </w:rPr>
      </w:pPr>
    </w:p>
    <w:p>
      <w:pPr>
        <w:spacing w:after="0" w:line="244" w:lineRule="exact"/>
        <w:rPr>
          <w:sz w:val="20"/>
          <w:szCs w:val="20"/>
          <w:color w:val="auto"/>
        </w:rPr>
      </w:pPr>
    </w:p>
    <w:p>
      <w:pPr>
        <w:ind w:left="5840"/>
        <w:spacing w:after="0"/>
        <w:rPr>
          <w:sz w:val="20"/>
          <w:szCs w:val="20"/>
          <w:color w:val="auto"/>
        </w:rPr>
      </w:pPr>
      <w:r>
        <w:rPr>
          <w:rFonts w:ascii="Arial" w:cs="Arial" w:eastAsia="Arial" w:hAnsi="Arial"/>
          <w:sz w:val="14"/>
          <w:szCs w:val="14"/>
          <w:b w:val="1"/>
          <w:bCs w:val="1"/>
          <w:color w:val="auto"/>
        </w:rPr>
        <w:t>Note</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(1)Per program rules, annualized returns based on average closing stock price for</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4"/>
          <w:szCs w:val="14"/>
          <w:color w:val="auto"/>
        </w:rPr>
        <w:t>the 20 trading days prior to the beginning of the performance period (January 1,</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4"/>
          <w:szCs w:val="14"/>
          <w:color w:val="auto"/>
        </w:rPr>
        <w:t>2019) and the last 20 trading days of the performance period (ending</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4"/>
          <w:szCs w:val="14"/>
          <w:color w:val="auto"/>
        </w:rPr>
        <w:t>December 31, 2021). Figures rounded.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2021 LTIP grants</w:t>
      </w:r>
    </w:p>
    <w:p>
      <w:pPr>
        <w:spacing w:after="0" w:line="112"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In January 2021, the independent Directors, upon recommendation of the MCC, approved the LTIP award to the CEO and ratified the following LTIP awards to the other NEOs. In addition, the MCC awarded Mr. Geagea additional RSUs of 18,150 shares in recognition of his extraordinary leadership in managing Chevron’s global COVID-19 pandemic response, serving as integration executive for the acquisition of Noble Energy, Inc., and leading the enterprise-wide business restructuring, in addition to his regular responsibilities. This is the first additional RSU award to a NEO since 2016. The MCC will continue to limit the grant of additional RSUs to NEOs, except in extraordinary circumstances.</w:t>
      </w:r>
    </w:p>
    <w:p>
      <w:pPr>
        <w:spacing w:after="0" w:line="221" w:lineRule="exact"/>
        <w:rPr>
          <w:sz w:val="20"/>
          <w:szCs w:val="20"/>
          <w:color w:val="auto"/>
        </w:rPr>
      </w:pPr>
    </w:p>
    <w:tbl>
      <w:tblPr>
        <w:tblLayout w:type="fixed"/>
        <w:tblInd w:w="170" w:type="dxa"/>
        <w:tblCellMar>
          <w:top w:w="0" w:type="dxa"/>
          <w:left w:w="0" w:type="dxa"/>
          <w:bottom w:w="0" w:type="dxa"/>
          <w:right w:w="0" w:type="dxa"/>
        </w:tblCellMar>
      </w:tblPr>
      <w:tr>
        <w:trPr>
          <w:trHeight w:val="229"/>
        </w:trPr>
        <w:tc>
          <w:tcPr>
            <w:tcW w:w="3740" w:type="dxa"/>
            <w:vAlign w:val="bottom"/>
            <w:tcBorders>
              <w:left w:val="single" w:sz="8" w:color="7F7F7F"/>
            </w:tcBorders>
            <w:shd w:val="clear" w:color="auto" w:fill="0066B2"/>
          </w:tcPr>
          <w:p>
            <w:pPr>
              <w:spacing w:after="0"/>
              <w:rPr>
                <w:sz w:val="19"/>
                <w:szCs w:val="19"/>
                <w:color w:val="auto"/>
              </w:rPr>
            </w:pPr>
          </w:p>
        </w:tc>
        <w:tc>
          <w:tcPr>
            <w:tcW w:w="2520" w:type="dxa"/>
            <w:vAlign w:val="bottom"/>
            <w:shd w:val="clear" w:color="auto" w:fill="0066B2"/>
          </w:tcPr>
          <w:p>
            <w:pPr>
              <w:spacing w:after="0"/>
              <w:rPr>
                <w:sz w:val="19"/>
                <w:szCs w:val="19"/>
                <w:color w:val="auto"/>
              </w:rPr>
            </w:pPr>
          </w:p>
        </w:tc>
        <w:tc>
          <w:tcPr>
            <w:tcW w:w="1260" w:type="dxa"/>
            <w:vAlign w:val="bottom"/>
            <w:shd w:val="clear" w:color="auto" w:fill="0066B2"/>
          </w:tcPr>
          <w:p>
            <w:pPr>
              <w:jc w:val="right"/>
              <w:ind w:right="619"/>
              <w:spacing w:after="0"/>
              <w:rPr>
                <w:sz w:val="20"/>
                <w:szCs w:val="20"/>
                <w:color w:val="auto"/>
              </w:rPr>
            </w:pPr>
            <w:r>
              <w:rPr>
                <w:rFonts w:ascii="Arial" w:cs="Arial" w:eastAsia="Arial" w:hAnsi="Arial"/>
                <w:sz w:val="16"/>
                <w:szCs w:val="16"/>
                <w:b w:val="1"/>
                <w:bCs w:val="1"/>
                <w:color w:val="FFFFFF"/>
              </w:rPr>
              <w:t>2021</w:t>
            </w:r>
          </w:p>
        </w:tc>
        <w:tc>
          <w:tcPr>
            <w:tcW w:w="1440" w:type="dxa"/>
            <w:vAlign w:val="bottom"/>
            <w:shd w:val="clear" w:color="auto" w:fill="0066B2"/>
          </w:tcPr>
          <w:p>
            <w:pPr>
              <w:jc w:val="right"/>
              <w:ind w:right="159"/>
              <w:spacing w:after="0"/>
              <w:rPr>
                <w:sz w:val="20"/>
                <w:szCs w:val="20"/>
                <w:color w:val="auto"/>
              </w:rPr>
            </w:pPr>
            <w:r>
              <w:rPr>
                <w:rFonts w:ascii="Arial" w:cs="Arial" w:eastAsia="Arial" w:hAnsi="Arial"/>
                <w:sz w:val="16"/>
                <w:szCs w:val="16"/>
                <w:b w:val="1"/>
                <w:bCs w:val="1"/>
                <w:color w:val="FFFFFF"/>
              </w:rPr>
              <w:t>Performance</w:t>
            </w:r>
          </w:p>
        </w:tc>
        <w:tc>
          <w:tcPr>
            <w:tcW w:w="940" w:type="dxa"/>
            <w:vAlign w:val="bottom"/>
            <w:shd w:val="clear" w:color="auto" w:fill="0066B2"/>
          </w:tcPr>
          <w:p>
            <w:pPr>
              <w:spacing w:after="0"/>
              <w:rPr>
                <w:sz w:val="19"/>
                <w:szCs w:val="19"/>
                <w:color w:val="auto"/>
              </w:rPr>
            </w:pPr>
          </w:p>
        </w:tc>
        <w:tc>
          <w:tcPr>
            <w:tcW w:w="1060" w:type="dxa"/>
            <w:vAlign w:val="bottom"/>
            <w:tcBorders>
              <w:right w:val="single" w:sz="8" w:color="7F7F7F"/>
            </w:tcBorders>
            <w:shd w:val="clear" w:color="auto" w:fill="0066B2"/>
          </w:tcPr>
          <w:p>
            <w:pPr>
              <w:jc w:val="right"/>
              <w:ind w:right="239"/>
              <w:spacing w:after="0"/>
              <w:rPr>
                <w:sz w:val="20"/>
                <w:szCs w:val="20"/>
                <w:color w:val="auto"/>
              </w:rPr>
            </w:pPr>
            <w:r>
              <w:rPr>
                <w:rFonts w:ascii="Arial" w:cs="Arial" w:eastAsia="Arial" w:hAnsi="Arial"/>
                <w:sz w:val="16"/>
                <w:szCs w:val="16"/>
                <w:b w:val="1"/>
                <w:bCs w:val="1"/>
                <w:color w:val="FFFFFF"/>
              </w:rPr>
              <w:t>Stock</w:t>
            </w:r>
          </w:p>
        </w:tc>
      </w:tr>
      <w:tr>
        <w:trPr>
          <w:trHeight w:val="244"/>
        </w:trPr>
        <w:tc>
          <w:tcPr>
            <w:tcW w:w="3740" w:type="dxa"/>
            <w:vAlign w:val="bottom"/>
            <w:tcBorders>
              <w:left w:val="single" w:sz="8" w:color="7F7F7F"/>
            </w:tcBorders>
            <w:shd w:val="clear" w:color="auto" w:fill="0066B2"/>
          </w:tcPr>
          <w:p>
            <w:pPr>
              <w:ind w:left="140"/>
              <w:spacing w:after="0"/>
              <w:rPr>
                <w:sz w:val="20"/>
                <w:szCs w:val="20"/>
                <w:color w:val="auto"/>
              </w:rPr>
            </w:pPr>
            <w:r>
              <w:rPr>
                <w:rFonts w:ascii="Arial" w:cs="Arial" w:eastAsia="Arial" w:hAnsi="Arial"/>
                <w:sz w:val="16"/>
                <w:szCs w:val="16"/>
                <w:b w:val="1"/>
                <w:bCs w:val="1"/>
                <w:color w:val="FFFFFF"/>
              </w:rPr>
              <w:t>Name</w:t>
            </w:r>
          </w:p>
        </w:tc>
        <w:tc>
          <w:tcPr>
            <w:tcW w:w="3780" w:type="dxa"/>
            <w:vAlign w:val="bottom"/>
            <w:gridSpan w:val="2"/>
            <w:shd w:val="clear" w:color="auto" w:fill="0066B2"/>
          </w:tcPr>
          <w:p>
            <w:pPr>
              <w:ind w:left="2220"/>
              <w:spacing w:after="0"/>
              <w:rPr>
                <w:sz w:val="20"/>
                <w:szCs w:val="20"/>
                <w:color w:val="auto"/>
              </w:rPr>
            </w:pPr>
            <w:r>
              <w:rPr>
                <w:rFonts w:ascii="Arial" w:cs="Arial" w:eastAsia="Arial" w:hAnsi="Arial"/>
                <w:sz w:val="16"/>
                <w:szCs w:val="16"/>
                <w:b w:val="1"/>
                <w:bCs w:val="1"/>
                <w:color w:val="FFFFFF"/>
              </w:rPr>
              <w:t>LTIP target value*</w:t>
            </w:r>
          </w:p>
        </w:tc>
        <w:tc>
          <w:tcPr>
            <w:tcW w:w="1440" w:type="dxa"/>
            <w:vAlign w:val="bottom"/>
            <w:shd w:val="clear" w:color="auto" w:fill="0066B2"/>
          </w:tcPr>
          <w:p>
            <w:pPr>
              <w:jc w:val="right"/>
              <w:ind w:right="399"/>
              <w:spacing w:after="0"/>
              <w:rPr>
                <w:sz w:val="20"/>
                <w:szCs w:val="20"/>
                <w:color w:val="auto"/>
              </w:rPr>
            </w:pPr>
            <w:r>
              <w:rPr>
                <w:rFonts w:ascii="Arial" w:cs="Arial" w:eastAsia="Arial" w:hAnsi="Arial"/>
                <w:sz w:val="16"/>
                <w:szCs w:val="16"/>
                <w:b w:val="1"/>
                <w:bCs w:val="1"/>
                <w:color w:val="FFFFFF"/>
              </w:rPr>
              <w:t>shares</w:t>
            </w:r>
          </w:p>
        </w:tc>
        <w:tc>
          <w:tcPr>
            <w:tcW w:w="940" w:type="dxa"/>
            <w:vAlign w:val="bottom"/>
            <w:shd w:val="clear" w:color="auto" w:fill="0066B2"/>
          </w:tcPr>
          <w:p>
            <w:pPr>
              <w:jc w:val="right"/>
              <w:ind w:right="199"/>
              <w:spacing w:after="0"/>
              <w:rPr>
                <w:sz w:val="20"/>
                <w:szCs w:val="20"/>
                <w:color w:val="auto"/>
              </w:rPr>
            </w:pPr>
            <w:r>
              <w:rPr>
                <w:rFonts w:ascii="Arial" w:cs="Arial" w:eastAsia="Arial" w:hAnsi="Arial"/>
                <w:sz w:val="16"/>
                <w:szCs w:val="16"/>
                <w:b w:val="1"/>
                <w:bCs w:val="1"/>
                <w:color w:val="FFFFFF"/>
              </w:rPr>
              <w:t>RSUs</w:t>
            </w:r>
          </w:p>
        </w:tc>
        <w:tc>
          <w:tcPr>
            <w:tcW w:w="1060" w:type="dxa"/>
            <w:vAlign w:val="bottom"/>
            <w:tcBorders>
              <w:right w:val="single" w:sz="8" w:color="7F7F7F"/>
            </w:tcBorders>
            <w:shd w:val="clear" w:color="auto" w:fill="0066B2"/>
          </w:tcPr>
          <w:p>
            <w:pPr>
              <w:jc w:val="right"/>
              <w:ind w:right="179"/>
              <w:spacing w:after="0"/>
              <w:rPr>
                <w:sz w:val="20"/>
                <w:szCs w:val="20"/>
                <w:color w:val="auto"/>
              </w:rPr>
            </w:pPr>
            <w:r>
              <w:rPr>
                <w:rFonts w:ascii="Arial" w:cs="Arial" w:eastAsia="Arial" w:hAnsi="Arial"/>
                <w:sz w:val="16"/>
                <w:szCs w:val="16"/>
                <w:b w:val="1"/>
                <w:bCs w:val="1"/>
                <w:color w:val="FFFFFF"/>
              </w:rPr>
              <w:t>options</w:t>
            </w:r>
          </w:p>
        </w:tc>
      </w:tr>
      <w:tr>
        <w:trPr>
          <w:trHeight w:val="230"/>
        </w:trPr>
        <w:tc>
          <w:tcPr>
            <w:tcW w:w="3740" w:type="dxa"/>
            <w:vAlign w:val="bottom"/>
            <w:tcBorders>
              <w:left w:val="single" w:sz="8" w:color="7F7F7F"/>
            </w:tcBorders>
            <w:shd w:val="clear" w:color="auto" w:fill="D8D8D8"/>
          </w:tcPr>
          <w:p>
            <w:pPr>
              <w:ind w:left="140"/>
              <w:spacing w:after="0"/>
              <w:rPr>
                <w:sz w:val="20"/>
                <w:szCs w:val="20"/>
                <w:color w:val="auto"/>
              </w:rPr>
            </w:pPr>
            <w:r>
              <w:rPr>
                <w:rFonts w:ascii="Arial" w:cs="Arial" w:eastAsia="Arial" w:hAnsi="Arial"/>
                <w:sz w:val="16"/>
                <w:szCs w:val="16"/>
                <w:color w:val="auto"/>
              </w:rPr>
              <w:t>Michael K. Wirth</w:t>
            </w:r>
          </w:p>
        </w:tc>
        <w:tc>
          <w:tcPr>
            <w:tcW w:w="2520" w:type="dxa"/>
            <w:vAlign w:val="bottom"/>
            <w:shd w:val="clear" w:color="auto" w:fill="D8D8D8"/>
          </w:tcPr>
          <w:p>
            <w:pPr>
              <w:ind w:left="22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D8D8D8"/>
          </w:tcPr>
          <w:p>
            <w:pPr>
              <w:jc w:val="right"/>
              <w:ind w:right="119"/>
              <w:spacing w:after="0"/>
              <w:rPr>
                <w:sz w:val="20"/>
                <w:szCs w:val="20"/>
                <w:color w:val="auto"/>
              </w:rPr>
            </w:pPr>
            <w:r>
              <w:rPr>
                <w:rFonts w:ascii="Arial" w:cs="Arial" w:eastAsia="Arial" w:hAnsi="Arial"/>
                <w:sz w:val="16"/>
                <w:szCs w:val="16"/>
                <w:color w:val="auto"/>
              </w:rPr>
              <w:t>15,500,000</w:t>
            </w:r>
          </w:p>
        </w:tc>
        <w:tc>
          <w:tcPr>
            <w:tcW w:w="1440" w:type="dxa"/>
            <w:vAlign w:val="bottom"/>
            <w:shd w:val="clear" w:color="auto" w:fill="D8D8D8"/>
          </w:tcPr>
          <w:p>
            <w:pPr>
              <w:jc w:val="right"/>
              <w:ind w:right="159"/>
              <w:spacing w:after="0"/>
              <w:rPr>
                <w:sz w:val="20"/>
                <w:szCs w:val="20"/>
                <w:color w:val="auto"/>
              </w:rPr>
            </w:pPr>
            <w:r>
              <w:rPr>
                <w:rFonts w:ascii="Arial" w:cs="Arial" w:eastAsia="Arial" w:hAnsi="Arial"/>
                <w:sz w:val="16"/>
                <w:szCs w:val="16"/>
                <w:color w:val="auto"/>
              </w:rPr>
              <w:t>87,870</w:t>
            </w:r>
          </w:p>
        </w:tc>
        <w:tc>
          <w:tcPr>
            <w:tcW w:w="940" w:type="dxa"/>
            <w:vAlign w:val="bottom"/>
            <w:shd w:val="clear" w:color="auto" w:fill="D8D8D8"/>
          </w:tcPr>
          <w:p>
            <w:pPr>
              <w:jc w:val="right"/>
              <w:ind w:right="139"/>
              <w:spacing w:after="0"/>
              <w:rPr>
                <w:sz w:val="20"/>
                <w:szCs w:val="20"/>
                <w:color w:val="auto"/>
              </w:rPr>
            </w:pPr>
            <w:r>
              <w:rPr>
                <w:rFonts w:ascii="Arial" w:cs="Arial" w:eastAsia="Arial" w:hAnsi="Arial"/>
                <w:sz w:val="16"/>
                <w:szCs w:val="16"/>
                <w:color w:val="auto"/>
              </w:rPr>
              <w:t>43,930</w:t>
            </w:r>
          </w:p>
        </w:tc>
        <w:tc>
          <w:tcPr>
            <w:tcW w:w="1060" w:type="dxa"/>
            <w:vAlign w:val="bottom"/>
            <w:tcBorders>
              <w:right w:val="single" w:sz="8" w:color="7F7F7F"/>
            </w:tcBorders>
            <w:shd w:val="clear" w:color="auto" w:fill="D8D8D8"/>
          </w:tcPr>
          <w:p>
            <w:pPr>
              <w:jc w:val="right"/>
              <w:ind w:right="139"/>
              <w:spacing w:after="0"/>
              <w:rPr>
                <w:sz w:val="20"/>
                <w:szCs w:val="20"/>
                <w:color w:val="auto"/>
              </w:rPr>
            </w:pPr>
            <w:r>
              <w:rPr>
                <w:rFonts w:ascii="Arial" w:cs="Arial" w:eastAsia="Arial" w:hAnsi="Arial"/>
                <w:sz w:val="16"/>
                <w:szCs w:val="16"/>
                <w:color w:val="auto"/>
              </w:rPr>
              <w:t>317,100</w:t>
            </w:r>
          </w:p>
        </w:tc>
      </w:tr>
      <w:tr>
        <w:trPr>
          <w:trHeight w:val="222"/>
        </w:trPr>
        <w:tc>
          <w:tcPr>
            <w:tcW w:w="3740" w:type="dxa"/>
            <w:vAlign w:val="bottom"/>
            <w:tcBorders>
              <w:left w:val="single" w:sz="8" w:color="7F7F7F"/>
            </w:tcBorders>
          </w:tcPr>
          <w:p>
            <w:pPr>
              <w:ind w:left="140"/>
              <w:spacing w:after="0"/>
              <w:rPr>
                <w:sz w:val="20"/>
                <w:szCs w:val="20"/>
                <w:color w:val="auto"/>
              </w:rPr>
            </w:pPr>
            <w:r>
              <w:rPr>
                <w:rFonts w:ascii="Arial" w:cs="Arial" w:eastAsia="Arial" w:hAnsi="Arial"/>
                <w:sz w:val="16"/>
                <w:szCs w:val="16"/>
                <w:color w:val="auto"/>
              </w:rPr>
              <w:t>Pierre R. Breber</w:t>
            </w:r>
          </w:p>
        </w:tc>
        <w:tc>
          <w:tcPr>
            <w:tcW w:w="2520" w:type="dxa"/>
            <w:vAlign w:val="bottom"/>
          </w:tcPr>
          <w:p>
            <w:pPr>
              <w:ind w:left="22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4,002,300</w:t>
            </w:r>
          </w:p>
        </w:tc>
        <w:tc>
          <w:tcPr>
            <w:tcW w:w="1440" w:type="dxa"/>
            <w:vAlign w:val="bottom"/>
          </w:tcPr>
          <w:p>
            <w:pPr>
              <w:jc w:val="right"/>
              <w:ind w:right="159"/>
              <w:spacing w:after="0"/>
              <w:rPr>
                <w:sz w:val="20"/>
                <w:szCs w:val="20"/>
                <w:color w:val="auto"/>
              </w:rPr>
            </w:pPr>
            <w:r>
              <w:rPr>
                <w:rFonts w:ascii="Arial" w:cs="Arial" w:eastAsia="Arial" w:hAnsi="Arial"/>
                <w:sz w:val="16"/>
                <w:szCs w:val="16"/>
                <w:color w:val="auto"/>
              </w:rPr>
              <w:t>22,690</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11,340</w:t>
            </w:r>
          </w:p>
        </w:tc>
        <w:tc>
          <w:tcPr>
            <w:tcW w:w="1060" w:type="dxa"/>
            <w:vAlign w:val="bottom"/>
            <w:tcBorders>
              <w:right w:val="single" w:sz="8" w:color="7F7F7F"/>
            </w:tcBorders>
          </w:tcPr>
          <w:p>
            <w:pPr>
              <w:jc w:val="right"/>
              <w:ind w:right="139"/>
              <w:spacing w:after="0"/>
              <w:rPr>
                <w:sz w:val="20"/>
                <w:szCs w:val="20"/>
                <w:color w:val="auto"/>
              </w:rPr>
            </w:pPr>
            <w:r>
              <w:rPr>
                <w:rFonts w:ascii="Arial" w:cs="Arial" w:eastAsia="Arial" w:hAnsi="Arial"/>
                <w:sz w:val="16"/>
                <w:szCs w:val="16"/>
                <w:color w:val="auto"/>
              </w:rPr>
              <w:t>81,900</w:t>
            </w:r>
          </w:p>
        </w:tc>
      </w:tr>
      <w:tr>
        <w:trPr>
          <w:trHeight w:val="237"/>
        </w:trPr>
        <w:tc>
          <w:tcPr>
            <w:tcW w:w="3740" w:type="dxa"/>
            <w:vAlign w:val="bottom"/>
            <w:tcBorders>
              <w:left w:val="single" w:sz="8" w:color="7F7F7F"/>
            </w:tcBorders>
            <w:shd w:val="clear" w:color="auto" w:fill="D8D8D8"/>
          </w:tcPr>
          <w:p>
            <w:pPr>
              <w:ind w:left="140"/>
              <w:spacing w:after="0"/>
              <w:rPr>
                <w:sz w:val="20"/>
                <w:szCs w:val="20"/>
                <w:color w:val="auto"/>
              </w:rPr>
            </w:pPr>
            <w:r>
              <w:rPr>
                <w:rFonts w:ascii="Arial" w:cs="Arial" w:eastAsia="Arial" w:hAnsi="Arial"/>
                <w:sz w:val="16"/>
                <w:szCs w:val="16"/>
                <w:color w:val="auto"/>
              </w:rPr>
              <w:t>James W. Johnson</w:t>
            </w:r>
          </w:p>
        </w:tc>
        <w:tc>
          <w:tcPr>
            <w:tcW w:w="2520" w:type="dxa"/>
            <w:vAlign w:val="bottom"/>
            <w:shd w:val="clear" w:color="auto" w:fill="D8D8D8"/>
          </w:tcPr>
          <w:p>
            <w:pPr>
              <w:ind w:left="22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D8D8D8"/>
          </w:tcPr>
          <w:p>
            <w:pPr>
              <w:jc w:val="right"/>
              <w:ind w:right="119"/>
              <w:spacing w:after="0"/>
              <w:rPr>
                <w:sz w:val="20"/>
                <w:szCs w:val="20"/>
                <w:color w:val="auto"/>
              </w:rPr>
            </w:pPr>
            <w:r>
              <w:rPr>
                <w:rFonts w:ascii="Arial" w:cs="Arial" w:eastAsia="Arial" w:hAnsi="Arial"/>
                <w:sz w:val="16"/>
                <w:szCs w:val="16"/>
                <w:color w:val="auto"/>
              </w:rPr>
              <w:t>5,197,500</w:t>
            </w:r>
          </w:p>
        </w:tc>
        <w:tc>
          <w:tcPr>
            <w:tcW w:w="1440" w:type="dxa"/>
            <w:vAlign w:val="bottom"/>
            <w:shd w:val="clear" w:color="auto" w:fill="D8D8D8"/>
          </w:tcPr>
          <w:p>
            <w:pPr>
              <w:jc w:val="right"/>
              <w:ind w:right="159"/>
              <w:spacing w:after="0"/>
              <w:rPr>
                <w:sz w:val="20"/>
                <w:szCs w:val="20"/>
                <w:color w:val="auto"/>
              </w:rPr>
            </w:pPr>
            <w:r>
              <w:rPr>
                <w:rFonts w:ascii="Arial" w:cs="Arial" w:eastAsia="Arial" w:hAnsi="Arial"/>
                <w:sz w:val="16"/>
                <w:szCs w:val="16"/>
                <w:color w:val="auto"/>
              </w:rPr>
              <w:t>29,460</w:t>
            </w:r>
          </w:p>
        </w:tc>
        <w:tc>
          <w:tcPr>
            <w:tcW w:w="940" w:type="dxa"/>
            <w:vAlign w:val="bottom"/>
            <w:shd w:val="clear" w:color="auto" w:fill="D8D8D8"/>
          </w:tcPr>
          <w:p>
            <w:pPr>
              <w:jc w:val="right"/>
              <w:ind w:right="139"/>
              <w:spacing w:after="0"/>
              <w:rPr>
                <w:sz w:val="20"/>
                <w:szCs w:val="20"/>
                <w:color w:val="auto"/>
              </w:rPr>
            </w:pPr>
            <w:r>
              <w:rPr>
                <w:rFonts w:ascii="Arial" w:cs="Arial" w:eastAsia="Arial" w:hAnsi="Arial"/>
                <w:sz w:val="16"/>
                <w:szCs w:val="16"/>
                <w:color w:val="auto"/>
              </w:rPr>
              <w:t>14,730</w:t>
            </w:r>
          </w:p>
        </w:tc>
        <w:tc>
          <w:tcPr>
            <w:tcW w:w="1060" w:type="dxa"/>
            <w:vAlign w:val="bottom"/>
            <w:tcBorders>
              <w:right w:val="single" w:sz="8" w:color="7F7F7F"/>
            </w:tcBorders>
            <w:shd w:val="clear" w:color="auto" w:fill="D8D8D8"/>
          </w:tcPr>
          <w:p>
            <w:pPr>
              <w:jc w:val="right"/>
              <w:ind w:right="139"/>
              <w:spacing w:after="0"/>
              <w:rPr>
                <w:sz w:val="20"/>
                <w:szCs w:val="20"/>
                <w:color w:val="auto"/>
              </w:rPr>
            </w:pPr>
            <w:r>
              <w:rPr>
                <w:rFonts w:ascii="Arial" w:cs="Arial" w:eastAsia="Arial" w:hAnsi="Arial"/>
                <w:sz w:val="16"/>
                <w:szCs w:val="16"/>
                <w:color w:val="auto"/>
              </w:rPr>
              <w:t>106,300</w:t>
            </w:r>
          </w:p>
        </w:tc>
      </w:tr>
      <w:tr>
        <w:trPr>
          <w:trHeight w:val="222"/>
        </w:trPr>
        <w:tc>
          <w:tcPr>
            <w:tcW w:w="3740" w:type="dxa"/>
            <w:vAlign w:val="bottom"/>
            <w:tcBorders>
              <w:left w:val="single" w:sz="8" w:color="7F7F7F"/>
            </w:tcBorders>
          </w:tcPr>
          <w:p>
            <w:pPr>
              <w:ind w:left="140"/>
              <w:spacing w:after="0"/>
              <w:rPr>
                <w:sz w:val="20"/>
                <w:szCs w:val="20"/>
                <w:color w:val="auto"/>
              </w:rPr>
            </w:pPr>
            <w:r>
              <w:rPr>
                <w:rFonts w:ascii="Arial" w:cs="Arial" w:eastAsia="Arial" w:hAnsi="Arial"/>
                <w:sz w:val="16"/>
                <w:szCs w:val="16"/>
                <w:color w:val="auto"/>
              </w:rPr>
              <w:t>Joseph C. Geagea</w:t>
            </w:r>
          </w:p>
        </w:tc>
        <w:tc>
          <w:tcPr>
            <w:tcW w:w="2520" w:type="dxa"/>
            <w:vAlign w:val="bottom"/>
          </w:tcPr>
          <w:p>
            <w:pPr>
              <w:ind w:left="22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5,603,200</w:t>
            </w:r>
          </w:p>
        </w:tc>
        <w:tc>
          <w:tcPr>
            <w:tcW w:w="1440" w:type="dxa"/>
            <w:vAlign w:val="bottom"/>
          </w:tcPr>
          <w:p>
            <w:pPr>
              <w:jc w:val="right"/>
              <w:ind w:right="159"/>
              <w:spacing w:after="0"/>
              <w:rPr>
                <w:sz w:val="20"/>
                <w:szCs w:val="20"/>
                <w:color w:val="auto"/>
              </w:rPr>
            </w:pPr>
            <w:r>
              <w:rPr>
                <w:rFonts w:ascii="Arial" w:cs="Arial" w:eastAsia="Arial" w:hAnsi="Arial"/>
                <w:sz w:val="16"/>
                <w:szCs w:val="16"/>
                <w:color w:val="auto"/>
              </w:rPr>
              <w:t>22,690</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29,490</w:t>
            </w:r>
          </w:p>
        </w:tc>
        <w:tc>
          <w:tcPr>
            <w:tcW w:w="1060" w:type="dxa"/>
            <w:vAlign w:val="bottom"/>
            <w:tcBorders>
              <w:right w:val="single" w:sz="8" w:color="7F7F7F"/>
            </w:tcBorders>
          </w:tcPr>
          <w:p>
            <w:pPr>
              <w:jc w:val="right"/>
              <w:ind w:right="139"/>
              <w:spacing w:after="0"/>
              <w:rPr>
                <w:sz w:val="20"/>
                <w:szCs w:val="20"/>
                <w:color w:val="auto"/>
              </w:rPr>
            </w:pPr>
            <w:r>
              <w:rPr>
                <w:rFonts w:ascii="Arial" w:cs="Arial" w:eastAsia="Arial" w:hAnsi="Arial"/>
                <w:sz w:val="16"/>
                <w:szCs w:val="16"/>
                <w:color w:val="auto"/>
              </w:rPr>
              <w:t>81,900</w:t>
            </w:r>
          </w:p>
        </w:tc>
      </w:tr>
      <w:tr>
        <w:trPr>
          <w:trHeight w:val="230"/>
        </w:trPr>
        <w:tc>
          <w:tcPr>
            <w:tcW w:w="3740" w:type="dxa"/>
            <w:vAlign w:val="bottom"/>
            <w:tcBorders>
              <w:left w:val="single" w:sz="8" w:color="7F7F7F"/>
              <w:bottom w:val="single" w:sz="8" w:color="7F7F7F"/>
            </w:tcBorders>
            <w:shd w:val="clear" w:color="auto" w:fill="D8D8D8"/>
          </w:tcPr>
          <w:p>
            <w:pPr>
              <w:ind w:left="140"/>
              <w:spacing w:after="0"/>
              <w:rPr>
                <w:sz w:val="20"/>
                <w:szCs w:val="20"/>
                <w:color w:val="auto"/>
              </w:rPr>
            </w:pPr>
            <w:r>
              <w:rPr>
                <w:rFonts w:ascii="Arial" w:cs="Arial" w:eastAsia="Arial" w:hAnsi="Arial"/>
                <w:sz w:val="16"/>
                <w:szCs w:val="16"/>
                <w:color w:val="auto"/>
              </w:rPr>
              <w:t>Mark A. Nelson</w:t>
            </w:r>
          </w:p>
        </w:tc>
        <w:tc>
          <w:tcPr>
            <w:tcW w:w="2520" w:type="dxa"/>
            <w:vAlign w:val="bottom"/>
            <w:tcBorders>
              <w:bottom w:val="single" w:sz="8" w:color="7F7F7F"/>
            </w:tcBorders>
            <w:shd w:val="clear" w:color="auto" w:fill="D8D8D8"/>
          </w:tcPr>
          <w:p>
            <w:pPr>
              <w:ind w:left="22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7F7F7F"/>
            </w:tcBorders>
            <w:shd w:val="clear" w:color="auto" w:fill="D8D8D8"/>
          </w:tcPr>
          <w:p>
            <w:pPr>
              <w:jc w:val="right"/>
              <w:ind w:right="119"/>
              <w:spacing w:after="0"/>
              <w:rPr>
                <w:sz w:val="20"/>
                <w:szCs w:val="20"/>
                <w:color w:val="auto"/>
              </w:rPr>
            </w:pPr>
            <w:r>
              <w:rPr>
                <w:rFonts w:ascii="Arial" w:cs="Arial" w:eastAsia="Arial" w:hAnsi="Arial"/>
                <w:sz w:val="16"/>
                <w:szCs w:val="16"/>
                <w:color w:val="auto"/>
              </w:rPr>
              <w:t>4,002,300</w:t>
            </w:r>
          </w:p>
        </w:tc>
        <w:tc>
          <w:tcPr>
            <w:tcW w:w="1440" w:type="dxa"/>
            <w:vAlign w:val="bottom"/>
            <w:tcBorders>
              <w:bottom w:val="single" w:sz="8" w:color="7F7F7F"/>
            </w:tcBorders>
            <w:shd w:val="clear" w:color="auto" w:fill="D8D8D8"/>
          </w:tcPr>
          <w:p>
            <w:pPr>
              <w:jc w:val="right"/>
              <w:ind w:right="159"/>
              <w:spacing w:after="0"/>
              <w:rPr>
                <w:sz w:val="20"/>
                <w:szCs w:val="20"/>
                <w:color w:val="auto"/>
              </w:rPr>
            </w:pPr>
            <w:r>
              <w:rPr>
                <w:rFonts w:ascii="Arial" w:cs="Arial" w:eastAsia="Arial" w:hAnsi="Arial"/>
                <w:sz w:val="16"/>
                <w:szCs w:val="16"/>
                <w:color w:val="auto"/>
              </w:rPr>
              <w:t>22,690</w:t>
            </w:r>
          </w:p>
        </w:tc>
        <w:tc>
          <w:tcPr>
            <w:tcW w:w="940" w:type="dxa"/>
            <w:vAlign w:val="bottom"/>
            <w:tcBorders>
              <w:bottom w:val="single" w:sz="8" w:color="7F7F7F"/>
            </w:tcBorders>
            <w:shd w:val="clear" w:color="auto" w:fill="D8D8D8"/>
          </w:tcPr>
          <w:p>
            <w:pPr>
              <w:jc w:val="right"/>
              <w:ind w:right="139"/>
              <w:spacing w:after="0"/>
              <w:rPr>
                <w:sz w:val="20"/>
                <w:szCs w:val="20"/>
                <w:color w:val="auto"/>
              </w:rPr>
            </w:pPr>
            <w:r>
              <w:rPr>
                <w:rFonts w:ascii="Arial" w:cs="Arial" w:eastAsia="Arial" w:hAnsi="Arial"/>
                <w:sz w:val="16"/>
                <w:szCs w:val="16"/>
                <w:color w:val="auto"/>
              </w:rPr>
              <w:t>11,340</w:t>
            </w:r>
          </w:p>
        </w:tc>
        <w:tc>
          <w:tcPr>
            <w:tcW w:w="1060" w:type="dxa"/>
            <w:vAlign w:val="bottom"/>
            <w:tcBorders>
              <w:bottom w:val="single" w:sz="8" w:color="7F7F7F"/>
              <w:right w:val="single" w:sz="8" w:color="7F7F7F"/>
            </w:tcBorders>
            <w:shd w:val="clear" w:color="auto" w:fill="D8D8D8"/>
          </w:tcPr>
          <w:p>
            <w:pPr>
              <w:jc w:val="right"/>
              <w:ind w:right="139"/>
              <w:spacing w:after="0"/>
              <w:rPr>
                <w:sz w:val="20"/>
                <w:szCs w:val="20"/>
                <w:color w:val="auto"/>
              </w:rPr>
            </w:pPr>
            <w:r>
              <w:rPr>
                <w:rFonts w:ascii="Arial" w:cs="Arial" w:eastAsia="Arial" w:hAnsi="Arial"/>
                <w:sz w:val="16"/>
                <w:szCs w:val="16"/>
                <w:color w:val="auto"/>
              </w:rPr>
              <w:t>81,900</w:t>
            </w:r>
          </w:p>
        </w:tc>
      </w:tr>
    </w:tbl>
    <w:p>
      <w:pPr>
        <w:spacing w:after="0" w:line="112" w:lineRule="exact"/>
        <w:rPr>
          <w:sz w:val="20"/>
          <w:szCs w:val="20"/>
          <w:color w:val="auto"/>
        </w:rPr>
      </w:pPr>
    </w:p>
    <w:p>
      <w:pPr>
        <w:ind w:left="540" w:right="60" w:hanging="424"/>
        <w:spacing w:after="0" w:line="252" w:lineRule="auto"/>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number of awarded performance shares, RSUs, and stock options was determined based on the Company’s common stock price on January 27, 2021, the grant date Black-Scholes value for stock options, and a performance share factor of 100% reflecting expected performance at target. As these inputs may vary from those used for financial reporting, the target value shown above may not match the values presented in the “Summary Compensation Table” or the “Grants of Plan-Based Awards in Fiscal Year 2021” table in this Proxy Statement on pages 62 and 65, respectively. Mr. Geagea’s LTIP target value and awarded RSU shares include additional RSUs as described above.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Chevron Corporation – 2022 Proxy Statement</w:t>
      </w:r>
    </w:p>
    <w:p>
      <w:pPr>
        <w:spacing w:after="0" w:line="53"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11120"/>
          </w:cols>
          <w:pgMar w:left="320" w:top="455" w:right="4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208280</wp:posOffset>
            </wp:positionV>
            <wp:extent cx="1474470" cy="146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74470" cy="146050"/>
                    </a:xfrm>
                    <a:prstGeom prst="rect">
                      <a:avLst/>
                    </a:prstGeom>
                    <a:noFill/>
                  </pic:spPr>
                </pic:pic>
              </a:graphicData>
            </a:graphic>
          </wp:anchor>
        </w:drawing>
      </w:r>
    </w:p>
    <w:p>
      <w:pPr>
        <w:spacing w:after="0" w:line="339"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FFFFFF"/>
        </w:rPr>
        <w:t>Executive compensation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2022 LTIP grants</w:t>
      </w:r>
    </w:p>
    <w:p>
      <w:pPr>
        <w:spacing w:after="0" w:line="112"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In January 2022, the independent Directors, upon the recommendation of the MCC, approved the LTIP award to the CEO and ratified the following LTIP awards to the other NEOs. The MCC and the independent Directors increased the CEO’s 2022 LTIP target value by 3.2%, and the other NEOs’ 2022 LTIP target values by 1.4% to 2.0%. No change was made to the share calculation methodology. Mr. Geagea did not receive a 2022 LTIP grant due to his upcoming retirement.</w:t>
      </w:r>
    </w:p>
    <w:p>
      <w:pPr>
        <w:spacing w:after="0" w:line="219" w:lineRule="exact"/>
        <w:rPr>
          <w:sz w:val="20"/>
          <w:szCs w:val="20"/>
          <w:color w:val="auto"/>
        </w:rPr>
      </w:pPr>
    </w:p>
    <w:tbl>
      <w:tblPr>
        <w:tblLayout w:type="fixed"/>
        <w:tblInd w:w="170" w:type="dxa"/>
        <w:tblCellMar>
          <w:top w:w="0" w:type="dxa"/>
          <w:left w:w="0" w:type="dxa"/>
          <w:bottom w:w="0" w:type="dxa"/>
          <w:right w:w="0" w:type="dxa"/>
        </w:tblCellMar>
      </w:tblPr>
      <w:tr>
        <w:trPr>
          <w:trHeight w:val="229"/>
        </w:trPr>
        <w:tc>
          <w:tcPr>
            <w:tcW w:w="3740" w:type="dxa"/>
            <w:vAlign w:val="bottom"/>
            <w:tcBorders>
              <w:left w:val="single" w:sz="8" w:color="7F7F7F"/>
            </w:tcBorders>
            <w:shd w:val="clear" w:color="auto" w:fill="0066B2"/>
          </w:tcPr>
          <w:p>
            <w:pPr>
              <w:spacing w:after="0"/>
              <w:rPr>
                <w:sz w:val="19"/>
                <w:szCs w:val="19"/>
                <w:color w:val="auto"/>
              </w:rPr>
            </w:pPr>
          </w:p>
        </w:tc>
        <w:tc>
          <w:tcPr>
            <w:tcW w:w="2520" w:type="dxa"/>
            <w:vAlign w:val="bottom"/>
            <w:shd w:val="clear" w:color="auto" w:fill="0066B2"/>
          </w:tcPr>
          <w:p>
            <w:pPr>
              <w:spacing w:after="0"/>
              <w:rPr>
                <w:sz w:val="19"/>
                <w:szCs w:val="19"/>
                <w:color w:val="auto"/>
              </w:rPr>
            </w:pPr>
          </w:p>
        </w:tc>
        <w:tc>
          <w:tcPr>
            <w:tcW w:w="1260" w:type="dxa"/>
            <w:vAlign w:val="bottom"/>
            <w:shd w:val="clear" w:color="auto" w:fill="0066B2"/>
          </w:tcPr>
          <w:p>
            <w:pPr>
              <w:jc w:val="right"/>
              <w:ind w:right="619"/>
              <w:spacing w:after="0"/>
              <w:rPr>
                <w:sz w:val="20"/>
                <w:szCs w:val="20"/>
                <w:color w:val="auto"/>
              </w:rPr>
            </w:pPr>
            <w:r>
              <w:rPr>
                <w:rFonts w:ascii="Arial" w:cs="Arial" w:eastAsia="Arial" w:hAnsi="Arial"/>
                <w:sz w:val="16"/>
                <w:szCs w:val="16"/>
                <w:b w:val="1"/>
                <w:bCs w:val="1"/>
                <w:color w:val="FFFFFF"/>
              </w:rPr>
              <w:t>2022</w:t>
            </w:r>
          </w:p>
        </w:tc>
        <w:tc>
          <w:tcPr>
            <w:tcW w:w="1440" w:type="dxa"/>
            <w:vAlign w:val="bottom"/>
            <w:shd w:val="clear" w:color="auto" w:fill="0066B2"/>
          </w:tcPr>
          <w:p>
            <w:pPr>
              <w:jc w:val="right"/>
              <w:ind w:right="159"/>
              <w:spacing w:after="0"/>
              <w:rPr>
                <w:sz w:val="20"/>
                <w:szCs w:val="20"/>
                <w:color w:val="auto"/>
              </w:rPr>
            </w:pPr>
            <w:r>
              <w:rPr>
                <w:rFonts w:ascii="Arial" w:cs="Arial" w:eastAsia="Arial" w:hAnsi="Arial"/>
                <w:sz w:val="16"/>
                <w:szCs w:val="16"/>
                <w:b w:val="1"/>
                <w:bCs w:val="1"/>
                <w:color w:val="FFFFFF"/>
              </w:rPr>
              <w:t>Performance</w:t>
            </w:r>
          </w:p>
        </w:tc>
        <w:tc>
          <w:tcPr>
            <w:tcW w:w="940" w:type="dxa"/>
            <w:vAlign w:val="bottom"/>
            <w:shd w:val="clear" w:color="auto" w:fill="0066B2"/>
          </w:tcPr>
          <w:p>
            <w:pPr>
              <w:spacing w:after="0"/>
              <w:rPr>
                <w:sz w:val="19"/>
                <w:szCs w:val="19"/>
                <w:color w:val="auto"/>
              </w:rPr>
            </w:pPr>
          </w:p>
        </w:tc>
        <w:tc>
          <w:tcPr>
            <w:tcW w:w="1060" w:type="dxa"/>
            <w:vAlign w:val="bottom"/>
            <w:tcBorders>
              <w:right w:val="single" w:sz="8" w:color="7F7F7F"/>
            </w:tcBorders>
            <w:shd w:val="clear" w:color="auto" w:fill="0066B2"/>
          </w:tcPr>
          <w:p>
            <w:pPr>
              <w:jc w:val="right"/>
              <w:ind w:right="239"/>
              <w:spacing w:after="0"/>
              <w:rPr>
                <w:sz w:val="20"/>
                <w:szCs w:val="20"/>
                <w:color w:val="auto"/>
              </w:rPr>
            </w:pPr>
            <w:r>
              <w:rPr>
                <w:rFonts w:ascii="Arial" w:cs="Arial" w:eastAsia="Arial" w:hAnsi="Arial"/>
                <w:sz w:val="16"/>
                <w:szCs w:val="16"/>
                <w:b w:val="1"/>
                <w:bCs w:val="1"/>
                <w:color w:val="FFFFFF"/>
              </w:rPr>
              <w:t>Stock</w:t>
            </w:r>
          </w:p>
        </w:tc>
      </w:tr>
      <w:tr>
        <w:trPr>
          <w:trHeight w:val="244"/>
        </w:trPr>
        <w:tc>
          <w:tcPr>
            <w:tcW w:w="3740" w:type="dxa"/>
            <w:vAlign w:val="bottom"/>
            <w:tcBorders>
              <w:left w:val="single" w:sz="8" w:color="7F7F7F"/>
            </w:tcBorders>
            <w:shd w:val="clear" w:color="auto" w:fill="0066B2"/>
          </w:tcPr>
          <w:p>
            <w:pPr>
              <w:ind w:left="140"/>
              <w:spacing w:after="0"/>
              <w:rPr>
                <w:sz w:val="20"/>
                <w:szCs w:val="20"/>
                <w:color w:val="auto"/>
              </w:rPr>
            </w:pPr>
            <w:r>
              <w:rPr>
                <w:rFonts w:ascii="Arial" w:cs="Arial" w:eastAsia="Arial" w:hAnsi="Arial"/>
                <w:sz w:val="16"/>
                <w:szCs w:val="16"/>
                <w:b w:val="1"/>
                <w:bCs w:val="1"/>
                <w:color w:val="FFFFFF"/>
              </w:rPr>
              <w:t>Name</w:t>
            </w:r>
          </w:p>
        </w:tc>
        <w:tc>
          <w:tcPr>
            <w:tcW w:w="3780" w:type="dxa"/>
            <w:vAlign w:val="bottom"/>
            <w:gridSpan w:val="2"/>
            <w:shd w:val="clear" w:color="auto" w:fill="0066B2"/>
          </w:tcPr>
          <w:p>
            <w:pPr>
              <w:ind w:left="2220"/>
              <w:spacing w:after="0"/>
              <w:rPr>
                <w:sz w:val="20"/>
                <w:szCs w:val="20"/>
                <w:color w:val="auto"/>
              </w:rPr>
            </w:pPr>
            <w:r>
              <w:rPr>
                <w:rFonts w:ascii="Arial" w:cs="Arial" w:eastAsia="Arial" w:hAnsi="Arial"/>
                <w:sz w:val="16"/>
                <w:szCs w:val="16"/>
                <w:b w:val="1"/>
                <w:bCs w:val="1"/>
                <w:color w:val="FFFFFF"/>
              </w:rPr>
              <w:t>LTIP target value*</w:t>
            </w:r>
          </w:p>
        </w:tc>
        <w:tc>
          <w:tcPr>
            <w:tcW w:w="1440" w:type="dxa"/>
            <w:vAlign w:val="bottom"/>
            <w:shd w:val="clear" w:color="auto" w:fill="0066B2"/>
          </w:tcPr>
          <w:p>
            <w:pPr>
              <w:jc w:val="right"/>
              <w:ind w:right="399"/>
              <w:spacing w:after="0"/>
              <w:rPr>
                <w:sz w:val="20"/>
                <w:szCs w:val="20"/>
                <w:color w:val="auto"/>
              </w:rPr>
            </w:pPr>
            <w:r>
              <w:rPr>
                <w:rFonts w:ascii="Arial" w:cs="Arial" w:eastAsia="Arial" w:hAnsi="Arial"/>
                <w:sz w:val="16"/>
                <w:szCs w:val="16"/>
                <w:b w:val="1"/>
                <w:bCs w:val="1"/>
                <w:color w:val="FFFFFF"/>
              </w:rPr>
              <w:t>shares</w:t>
            </w:r>
          </w:p>
        </w:tc>
        <w:tc>
          <w:tcPr>
            <w:tcW w:w="940" w:type="dxa"/>
            <w:vAlign w:val="bottom"/>
            <w:shd w:val="clear" w:color="auto" w:fill="0066B2"/>
          </w:tcPr>
          <w:p>
            <w:pPr>
              <w:jc w:val="right"/>
              <w:ind w:right="199"/>
              <w:spacing w:after="0"/>
              <w:rPr>
                <w:sz w:val="20"/>
                <w:szCs w:val="20"/>
                <w:color w:val="auto"/>
              </w:rPr>
            </w:pPr>
            <w:r>
              <w:rPr>
                <w:rFonts w:ascii="Arial" w:cs="Arial" w:eastAsia="Arial" w:hAnsi="Arial"/>
                <w:sz w:val="16"/>
                <w:szCs w:val="16"/>
                <w:b w:val="1"/>
                <w:bCs w:val="1"/>
                <w:color w:val="FFFFFF"/>
              </w:rPr>
              <w:t>RSUs</w:t>
            </w:r>
          </w:p>
        </w:tc>
        <w:tc>
          <w:tcPr>
            <w:tcW w:w="1060" w:type="dxa"/>
            <w:vAlign w:val="bottom"/>
            <w:tcBorders>
              <w:right w:val="single" w:sz="8" w:color="7F7F7F"/>
            </w:tcBorders>
            <w:shd w:val="clear" w:color="auto" w:fill="0066B2"/>
          </w:tcPr>
          <w:p>
            <w:pPr>
              <w:jc w:val="right"/>
              <w:ind w:right="179"/>
              <w:spacing w:after="0"/>
              <w:rPr>
                <w:sz w:val="20"/>
                <w:szCs w:val="20"/>
                <w:color w:val="auto"/>
              </w:rPr>
            </w:pPr>
            <w:r>
              <w:rPr>
                <w:rFonts w:ascii="Arial" w:cs="Arial" w:eastAsia="Arial" w:hAnsi="Arial"/>
                <w:sz w:val="16"/>
                <w:szCs w:val="16"/>
                <w:b w:val="1"/>
                <w:bCs w:val="1"/>
                <w:color w:val="FFFFFF"/>
              </w:rPr>
              <w:t>options</w:t>
            </w:r>
          </w:p>
        </w:tc>
      </w:tr>
      <w:tr>
        <w:trPr>
          <w:trHeight w:val="229"/>
        </w:trPr>
        <w:tc>
          <w:tcPr>
            <w:tcW w:w="3740" w:type="dxa"/>
            <w:vAlign w:val="bottom"/>
            <w:tcBorders>
              <w:left w:val="single" w:sz="8" w:color="7F7F7F"/>
            </w:tcBorders>
            <w:shd w:val="clear" w:color="auto" w:fill="D8D8D8"/>
          </w:tcPr>
          <w:p>
            <w:pPr>
              <w:ind w:left="140"/>
              <w:spacing w:after="0"/>
              <w:rPr>
                <w:sz w:val="20"/>
                <w:szCs w:val="20"/>
                <w:color w:val="auto"/>
              </w:rPr>
            </w:pPr>
            <w:r>
              <w:rPr>
                <w:rFonts w:ascii="Arial" w:cs="Arial" w:eastAsia="Arial" w:hAnsi="Arial"/>
                <w:sz w:val="16"/>
                <w:szCs w:val="16"/>
                <w:color w:val="auto"/>
              </w:rPr>
              <w:t>Michael K. Wirth</w:t>
            </w:r>
          </w:p>
        </w:tc>
        <w:tc>
          <w:tcPr>
            <w:tcW w:w="2520" w:type="dxa"/>
            <w:vAlign w:val="bottom"/>
            <w:shd w:val="clear" w:color="auto" w:fill="D8D8D8"/>
          </w:tcPr>
          <w:p>
            <w:pPr>
              <w:ind w:left="22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D8D8D8"/>
          </w:tcPr>
          <w:p>
            <w:pPr>
              <w:jc w:val="right"/>
              <w:ind w:right="119"/>
              <w:spacing w:after="0"/>
              <w:rPr>
                <w:sz w:val="20"/>
                <w:szCs w:val="20"/>
                <w:color w:val="auto"/>
              </w:rPr>
            </w:pPr>
            <w:r>
              <w:rPr>
                <w:rFonts w:ascii="Arial" w:cs="Arial" w:eastAsia="Arial" w:hAnsi="Arial"/>
                <w:sz w:val="16"/>
                <w:szCs w:val="16"/>
                <w:color w:val="auto"/>
              </w:rPr>
              <w:t>16,000,000</w:t>
            </w:r>
          </w:p>
        </w:tc>
        <w:tc>
          <w:tcPr>
            <w:tcW w:w="1440" w:type="dxa"/>
            <w:vAlign w:val="bottom"/>
            <w:shd w:val="clear" w:color="auto" w:fill="D8D8D8"/>
          </w:tcPr>
          <w:p>
            <w:pPr>
              <w:jc w:val="right"/>
              <w:ind w:right="159"/>
              <w:spacing w:after="0"/>
              <w:rPr>
                <w:sz w:val="20"/>
                <w:szCs w:val="20"/>
                <w:color w:val="auto"/>
              </w:rPr>
            </w:pPr>
            <w:r>
              <w:rPr>
                <w:rFonts w:ascii="Arial" w:cs="Arial" w:eastAsia="Arial" w:hAnsi="Arial"/>
                <w:sz w:val="16"/>
                <w:szCs w:val="16"/>
                <w:color w:val="auto"/>
              </w:rPr>
              <w:t>60,290</w:t>
            </w:r>
          </w:p>
        </w:tc>
        <w:tc>
          <w:tcPr>
            <w:tcW w:w="940" w:type="dxa"/>
            <w:vAlign w:val="bottom"/>
            <w:shd w:val="clear" w:color="auto" w:fill="D8D8D8"/>
          </w:tcPr>
          <w:p>
            <w:pPr>
              <w:jc w:val="right"/>
              <w:ind w:right="139"/>
              <w:spacing w:after="0"/>
              <w:rPr>
                <w:sz w:val="20"/>
                <w:szCs w:val="20"/>
                <w:color w:val="auto"/>
              </w:rPr>
            </w:pPr>
            <w:r>
              <w:rPr>
                <w:rFonts w:ascii="Arial" w:cs="Arial" w:eastAsia="Arial" w:hAnsi="Arial"/>
                <w:sz w:val="16"/>
                <w:szCs w:val="16"/>
                <w:color w:val="auto"/>
              </w:rPr>
              <w:t>30,150</w:t>
            </w:r>
          </w:p>
        </w:tc>
        <w:tc>
          <w:tcPr>
            <w:tcW w:w="1060" w:type="dxa"/>
            <w:vAlign w:val="bottom"/>
            <w:tcBorders>
              <w:right w:val="single" w:sz="8" w:color="7F7F7F"/>
            </w:tcBorders>
            <w:shd w:val="clear" w:color="auto" w:fill="D8D8D8"/>
          </w:tcPr>
          <w:p>
            <w:pPr>
              <w:jc w:val="right"/>
              <w:ind w:right="139"/>
              <w:spacing w:after="0"/>
              <w:rPr>
                <w:sz w:val="20"/>
                <w:szCs w:val="20"/>
                <w:color w:val="auto"/>
              </w:rPr>
            </w:pPr>
            <w:r>
              <w:rPr>
                <w:rFonts w:ascii="Arial" w:cs="Arial" w:eastAsia="Arial" w:hAnsi="Arial"/>
                <w:sz w:val="16"/>
                <w:szCs w:val="16"/>
                <w:color w:val="auto"/>
              </w:rPr>
              <w:t>169,800</w:t>
            </w:r>
          </w:p>
        </w:tc>
      </w:tr>
      <w:tr>
        <w:trPr>
          <w:trHeight w:val="222"/>
        </w:trPr>
        <w:tc>
          <w:tcPr>
            <w:tcW w:w="3740" w:type="dxa"/>
            <w:vAlign w:val="bottom"/>
            <w:tcBorders>
              <w:left w:val="single" w:sz="8" w:color="7F7F7F"/>
            </w:tcBorders>
          </w:tcPr>
          <w:p>
            <w:pPr>
              <w:ind w:left="140"/>
              <w:spacing w:after="0"/>
              <w:rPr>
                <w:sz w:val="20"/>
                <w:szCs w:val="20"/>
                <w:color w:val="auto"/>
              </w:rPr>
            </w:pPr>
            <w:r>
              <w:rPr>
                <w:rFonts w:ascii="Arial" w:cs="Arial" w:eastAsia="Arial" w:hAnsi="Arial"/>
                <w:sz w:val="16"/>
                <w:szCs w:val="16"/>
                <w:color w:val="auto"/>
              </w:rPr>
              <w:t>Pierre R. Breber</w:t>
            </w:r>
          </w:p>
        </w:tc>
        <w:tc>
          <w:tcPr>
            <w:tcW w:w="2520" w:type="dxa"/>
            <w:vAlign w:val="bottom"/>
          </w:tcPr>
          <w:p>
            <w:pPr>
              <w:ind w:left="22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4,059,900</w:t>
            </w:r>
          </w:p>
        </w:tc>
        <w:tc>
          <w:tcPr>
            <w:tcW w:w="1440" w:type="dxa"/>
            <w:vAlign w:val="bottom"/>
          </w:tcPr>
          <w:p>
            <w:pPr>
              <w:jc w:val="right"/>
              <w:ind w:right="159"/>
              <w:spacing w:after="0"/>
              <w:rPr>
                <w:sz w:val="20"/>
                <w:szCs w:val="20"/>
                <w:color w:val="auto"/>
              </w:rPr>
            </w:pPr>
            <w:r>
              <w:rPr>
                <w:rFonts w:ascii="Arial" w:cs="Arial" w:eastAsia="Arial" w:hAnsi="Arial"/>
                <w:sz w:val="16"/>
                <w:szCs w:val="16"/>
                <w:color w:val="auto"/>
              </w:rPr>
              <w:t>15,300</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7,650</w:t>
            </w:r>
          </w:p>
        </w:tc>
        <w:tc>
          <w:tcPr>
            <w:tcW w:w="1060" w:type="dxa"/>
            <w:vAlign w:val="bottom"/>
            <w:tcBorders>
              <w:right w:val="single" w:sz="8" w:color="7F7F7F"/>
            </w:tcBorders>
          </w:tcPr>
          <w:p>
            <w:pPr>
              <w:jc w:val="right"/>
              <w:ind w:right="139"/>
              <w:spacing w:after="0"/>
              <w:rPr>
                <w:sz w:val="20"/>
                <w:szCs w:val="20"/>
                <w:color w:val="auto"/>
              </w:rPr>
            </w:pPr>
            <w:r>
              <w:rPr>
                <w:rFonts w:ascii="Arial" w:cs="Arial" w:eastAsia="Arial" w:hAnsi="Arial"/>
                <w:sz w:val="16"/>
                <w:szCs w:val="16"/>
                <w:color w:val="auto"/>
              </w:rPr>
              <w:t>43,100</w:t>
            </w:r>
          </w:p>
        </w:tc>
      </w:tr>
      <w:tr>
        <w:trPr>
          <w:trHeight w:val="237"/>
        </w:trPr>
        <w:tc>
          <w:tcPr>
            <w:tcW w:w="3740" w:type="dxa"/>
            <w:vAlign w:val="bottom"/>
            <w:tcBorders>
              <w:left w:val="single" w:sz="8" w:color="7F7F7F"/>
            </w:tcBorders>
            <w:shd w:val="clear" w:color="auto" w:fill="D8D8D8"/>
          </w:tcPr>
          <w:p>
            <w:pPr>
              <w:ind w:left="140"/>
              <w:spacing w:after="0"/>
              <w:rPr>
                <w:sz w:val="20"/>
                <w:szCs w:val="20"/>
                <w:color w:val="auto"/>
              </w:rPr>
            </w:pPr>
            <w:r>
              <w:rPr>
                <w:rFonts w:ascii="Arial" w:cs="Arial" w:eastAsia="Arial" w:hAnsi="Arial"/>
                <w:sz w:val="16"/>
                <w:szCs w:val="16"/>
                <w:color w:val="auto"/>
              </w:rPr>
              <w:t>James W. Johnson</w:t>
            </w:r>
          </w:p>
        </w:tc>
        <w:tc>
          <w:tcPr>
            <w:tcW w:w="2520" w:type="dxa"/>
            <w:vAlign w:val="bottom"/>
            <w:shd w:val="clear" w:color="auto" w:fill="D8D8D8"/>
          </w:tcPr>
          <w:p>
            <w:pPr>
              <w:ind w:left="22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D8D8D8"/>
          </w:tcPr>
          <w:p>
            <w:pPr>
              <w:jc w:val="right"/>
              <w:ind w:right="119"/>
              <w:spacing w:after="0"/>
              <w:rPr>
                <w:sz w:val="20"/>
                <w:szCs w:val="20"/>
                <w:color w:val="auto"/>
              </w:rPr>
            </w:pPr>
            <w:r>
              <w:rPr>
                <w:rFonts w:ascii="Arial" w:cs="Arial" w:eastAsia="Arial" w:hAnsi="Arial"/>
                <w:sz w:val="16"/>
                <w:szCs w:val="16"/>
                <w:color w:val="auto"/>
              </w:rPr>
              <w:t>5,301,000</w:t>
            </w:r>
          </w:p>
        </w:tc>
        <w:tc>
          <w:tcPr>
            <w:tcW w:w="1440" w:type="dxa"/>
            <w:vAlign w:val="bottom"/>
            <w:shd w:val="clear" w:color="auto" w:fill="D8D8D8"/>
          </w:tcPr>
          <w:p>
            <w:pPr>
              <w:jc w:val="right"/>
              <w:ind w:right="159"/>
              <w:spacing w:after="0"/>
              <w:rPr>
                <w:sz w:val="20"/>
                <w:szCs w:val="20"/>
                <w:color w:val="auto"/>
              </w:rPr>
            </w:pPr>
            <w:r>
              <w:rPr>
                <w:rFonts w:ascii="Arial" w:cs="Arial" w:eastAsia="Arial" w:hAnsi="Arial"/>
                <w:sz w:val="16"/>
                <w:szCs w:val="16"/>
                <w:color w:val="auto"/>
              </w:rPr>
              <w:t>19,980</w:t>
            </w:r>
          </w:p>
        </w:tc>
        <w:tc>
          <w:tcPr>
            <w:tcW w:w="940" w:type="dxa"/>
            <w:vAlign w:val="bottom"/>
            <w:shd w:val="clear" w:color="auto" w:fill="D8D8D8"/>
          </w:tcPr>
          <w:p>
            <w:pPr>
              <w:jc w:val="right"/>
              <w:ind w:right="139"/>
              <w:spacing w:after="0"/>
              <w:rPr>
                <w:sz w:val="20"/>
                <w:szCs w:val="20"/>
                <w:color w:val="auto"/>
              </w:rPr>
            </w:pPr>
            <w:r>
              <w:rPr>
                <w:rFonts w:ascii="Arial" w:cs="Arial" w:eastAsia="Arial" w:hAnsi="Arial"/>
                <w:sz w:val="16"/>
                <w:szCs w:val="16"/>
                <w:color w:val="auto"/>
              </w:rPr>
              <w:t>9,990</w:t>
            </w:r>
          </w:p>
        </w:tc>
        <w:tc>
          <w:tcPr>
            <w:tcW w:w="1060" w:type="dxa"/>
            <w:vAlign w:val="bottom"/>
            <w:tcBorders>
              <w:right w:val="single" w:sz="8" w:color="7F7F7F"/>
            </w:tcBorders>
            <w:shd w:val="clear" w:color="auto" w:fill="D8D8D8"/>
          </w:tcPr>
          <w:p>
            <w:pPr>
              <w:jc w:val="right"/>
              <w:ind w:right="139"/>
              <w:spacing w:after="0"/>
              <w:rPr>
                <w:sz w:val="20"/>
                <w:szCs w:val="20"/>
                <w:color w:val="auto"/>
              </w:rPr>
            </w:pPr>
            <w:r>
              <w:rPr>
                <w:rFonts w:ascii="Arial" w:cs="Arial" w:eastAsia="Arial" w:hAnsi="Arial"/>
                <w:sz w:val="16"/>
                <w:szCs w:val="16"/>
                <w:color w:val="auto"/>
              </w:rPr>
              <w:t>56,300</w:t>
            </w:r>
          </w:p>
        </w:tc>
      </w:tr>
      <w:tr>
        <w:trPr>
          <w:trHeight w:val="222"/>
        </w:trPr>
        <w:tc>
          <w:tcPr>
            <w:tcW w:w="3740" w:type="dxa"/>
            <w:vAlign w:val="bottom"/>
            <w:tcBorders>
              <w:left w:val="single" w:sz="8" w:color="7F7F7F"/>
            </w:tcBorders>
          </w:tcPr>
          <w:p>
            <w:pPr>
              <w:ind w:left="140"/>
              <w:spacing w:after="0"/>
              <w:rPr>
                <w:sz w:val="20"/>
                <w:szCs w:val="20"/>
                <w:color w:val="auto"/>
              </w:rPr>
            </w:pPr>
            <w:r>
              <w:rPr>
                <w:rFonts w:ascii="Arial" w:cs="Arial" w:eastAsia="Arial" w:hAnsi="Arial"/>
                <w:sz w:val="16"/>
                <w:szCs w:val="16"/>
                <w:color w:val="auto"/>
              </w:rPr>
              <w:t>Joseph C. Geagea</w:t>
            </w:r>
          </w:p>
        </w:tc>
        <w:tc>
          <w:tcPr>
            <w:tcW w:w="2520" w:type="dxa"/>
            <w:vAlign w:val="bottom"/>
          </w:tcPr>
          <w:p>
            <w:pPr>
              <w:ind w:left="22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7F7F7F"/>
            </w:tcBorders>
          </w:tcPr>
          <w:p>
            <w:pPr>
              <w:jc w:val="right"/>
              <w:ind w:right="319"/>
              <w:spacing w:after="0"/>
              <w:rPr>
                <w:sz w:val="20"/>
                <w:szCs w:val="20"/>
                <w:color w:val="auto"/>
              </w:rPr>
            </w:pPr>
            <w:r>
              <w:rPr>
                <w:rFonts w:ascii="Arial" w:cs="Arial" w:eastAsia="Arial" w:hAnsi="Arial"/>
                <w:sz w:val="16"/>
                <w:szCs w:val="16"/>
                <w:color w:val="auto"/>
              </w:rPr>
              <w:t>—</w:t>
            </w:r>
          </w:p>
        </w:tc>
      </w:tr>
      <w:tr>
        <w:trPr>
          <w:trHeight w:val="230"/>
        </w:trPr>
        <w:tc>
          <w:tcPr>
            <w:tcW w:w="3740" w:type="dxa"/>
            <w:vAlign w:val="bottom"/>
            <w:tcBorders>
              <w:left w:val="single" w:sz="8" w:color="7F7F7F"/>
              <w:bottom w:val="single" w:sz="8" w:color="7F7F7F"/>
            </w:tcBorders>
            <w:shd w:val="clear" w:color="auto" w:fill="D8D8D8"/>
          </w:tcPr>
          <w:p>
            <w:pPr>
              <w:ind w:left="140"/>
              <w:spacing w:after="0"/>
              <w:rPr>
                <w:sz w:val="20"/>
                <w:szCs w:val="20"/>
                <w:color w:val="auto"/>
              </w:rPr>
            </w:pPr>
            <w:r>
              <w:rPr>
                <w:rFonts w:ascii="Arial" w:cs="Arial" w:eastAsia="Arial" w:hAnsi="Arial"/>
                <w:sz w:val="16"/>
                <w:szCs w:val="16"/>
                <w:color w:val="auto"/>
              </w:rPr>
              <w:t>Mark A. Nelson</w:t>
            </w:r>
          </w:p>
        </w:tc>
        <w:tc>
          <w:tcPr>
            <w:tcW w:w="2520" w:type="dxa"/>
            <w:vAlign w:val="bottom"/>
            <w:tcBorders>
              <w:bottom w:val="single" w:sz="8" w:color="7F7F7F"/>
            </w:tcBorders>
            <w:shd w:val="clear" w:color="auto" w:fill="D8D8D8"/>
          </w:tcPr>
          <w:p>
            <w:pPr>
              <w:ind w:left="22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7F7F7F"/>
            </w:tcBorders>
            <w:shd w:val="clear" w:color="auto" w:fill="D8D8D8"/>
          </w:tcPr>
          <w:p>
            <w:pPr>
              <w:jc w:val="right"/>
              <w:ind w:right="119"/>
              <w:spacing w:after="0"/>
              <w:rPr>
                <w:sz w:val="20"/>
                <w:szCs w:val="20"/>
                <w:color w:val="auto"/>
              </w:rPr>
            </w:pPr>
            <w:r>
              <w:rPr>
                <w:rFonts w:ascii="Arial" w:cs="Arial" w:eastAsia="Arial" w:hAnsi="Arial"/>
                <w:sz w:val="16"/>
                <w:szCs w:val="16"/>
                <w:color w:val="auto"/>
              </w:rPr>
              <w:t>4,059,900</w:t>
            </w:r>
          </w:p>
        </w:tc>
        <w:tc>
          <w:tcPr>
            <w:tcW w:w="1440" w:type="dxa"/>
            <w:vAlign w:val="bottom"/>
            <w:tcBorders>
              <w:bottom w:val="single" w:sz="8" w:color="7F7F7F"/>
            </w:tcBorders>
            <w:shd w:val="clear" w:color="auto" w:fill="D8D8D8"/>
          </w:tcPr>
          <w:p>
            <w:pPr>
              <w:jc w:val="right"/>
              <w:ind w:right="159"/>
              <w:spacing w:after="0"/>
              <w:rPr>
                <w:sz w:val="20"/>
                <w:szCs w:val="20"/>
                <w:color w:val="auto"/>
              </w:rPr>
            </w:pPr>
            <w:r>
              <w:rPr>
                <w:rFonts w:ascii="Arial" w:cs="Arial" w:eastAsia="Arial" w:hAnsi="Arial"/>
                <w:sz w:val="16"/>
                <w:szCs w:val="16"/>
                <w:color w:val="auto"/>
              </w:rPr>
              <w:t>15,300</w:t>
            </w:r>
          </w:p>
        </w:tc>
        <w:tc>
          <w:tcPr>
            <w:tcW w:w="940" w:type="dxa"/>
            <w:vAlign w:val="bottom"/>
            <w:tcBorders>
              <w:bottom w:val="single" w:sz="8" w:color="7F7F7F"/>
            </w:tcBorders>
            <w:shd w:val="clear" w:color="auto" w:fill="D8D8D8"/>
          </w:tcPr>
          <w:p>
            <w:pPr>
              <w:jc w:val="right"/>
              <w:ind w:right="139"/>
              <w:spacing w:after="0"/>
              <w:rPr>
                <w:sz w:val="20"/>
                <w:szCs w:val="20"/>
                <w:color w:val="auto"/>
              </w:rPr>
            </w:pPr>
            <w:r>
              <w:rPr>
                <w:rFonts w:ascii="Arial" w:cs="Arial" w:eastAsia="Arial" w:hAnsi="Arial"/>
                <w:sz w:val="16"/>
                <w:szCs w:val="16"/>
                <w:color w:val="auto"/>
              </w:rPr>
              <w:t>7,650</w:t>
            </w:r>
          </w:p>
        </w:tc>
        <w:tc>
          <w:tcPr>
            <w:tcW w:w="1060" w:type="dxa"/>
            <w:vAlign w:val="bottom"/>
            <w:tcBorders>
              <w:bottom w:val="single" w:sz="8" w:color="7F7F7F"/>
              <w:right w:val="single" w:sz="8" w:color="7F7F7F"/>
            </w:tcBorders>
            <w:shd w:val="clear" w:color="auto" w:fill="D8D8D8"/>
          </w:tcPr>
          <w:p>
            <w:pPr>
              <w:jc w:val="right"/>
              <w:ind w:right="139"/>
              <w:spacing w:after="0"/>
              <w:rPr>
                <w:sz w:val="20"/>
                <w:szCs w:val="20"/>
                <w:color w:val="auto"/>
              </w:rPr>
            </w:pPr>
            <w:r>
              <w:rPr>
                <w:rFonts w:ascii="Arial" w:cs="Arial" w:eastAsia="Arial" w:hAnsi="Arial"/>
                <w:sz w:val="16"/>
                <w:szCs w:val="16"/>
                <w:color w:val="auto"/>
              </w:rPr>
              <w:t>43,100</w:t>
            </w:r>
          </w:p>
        </w:tc>
      </w:tr>
    </w:tbl>
    <w:p>
      <w:pPr>
        <w:spacing w:after="0" w:line="112" w:lineRule="exact"/>
        <w:rPr>
          <w:sz w:val="20"/>
          <w:szCs w:val="20"/>
          <w:color w:val="auto"/>
        </w:rPr>
      </w:pPr>
    </w:p>
    <w:p>
      <w:pPr>
        <w:ind w:left="540" w:right="60" w:hanging="424"/>
        <w:spacing w:after="0" w:line="256" w:lineRule="auto"/>
        <w:tabs>
          <w:tab w:leader="none" w:pos="5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number of awarded performance shares, RSUs, and stock options was determined based on the Company’s common stock price on January 26, 2022, the grant date Black-Scholes value for stock options, and a performance share factor of 100% reflecting expected performance at target. As these inputs may vary from those used for financial reporting, the target value shown above may not match the values presented in the 2023 Proxy Statement’s “Summary Compensation Table” or the “Grants of Plan-Based Awards in Fiscal Year 2022” table.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B2D71"/>
        </w:rPr>
        <w:t>Retirement programs and other benefits</w:t>
      </w:r>
    </w:p>
    <w:p>
      <w:pPr>
        <w:spacing w:after="0" w:line="128"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NEOs, like all other employees, have retirement programs and other benefits as part of their overall compensation package at Chevron. We believe these programs and benefits support our long-term investment cycle and encourage retention and long-term employment.</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Retirement programs</w:t>
      </w:r>
    </w:p>
    <w:p>
      <w:pPr>
        <w:spacing w:after="0" w:line="112"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All of our employees, including our NEOs, have access to retirement programs that are designed to enable them to accumulate retirement income. The defined benefit and defined contribution restoration plans allow highly compensated employees to receive the same benefits they would have earned without the IRS limitations on qualified retirement plans under the Employee Retirement Income and Security Act. The deferred compensation plan allows eligible employees to defer salary, CIP awards, and LTIP payouts.</w:t>
      </w:r>
    </w:p>
    <w:p>
      <w:pPr>
        <w:spacing w:after="0" w:line="199" w:lineRule="exact"/>
        <w:rPr>
          <w:sz w:val="20"/>
          <w:szCs w:val="20"/>
          <w:color w:val="auto"/>
        </w:rPr>
      </w:pPr>
    </w:p>
    <w:tbl>
      <w:tblPr>
        <w:tblLayout w:type="fixed"/>
        <w:tblInd w:w="170" w:type="dxa"/>
        <w:tblCellMar>
          <w:top w:w="0" w:type="dxa"/>
          <w:left w:w="0" w:type="dxa"/>
          <w:bottom w:w="0" w:type="dxa"/>
          <w:right w:w="0" w:type="dxa"/>
        </w:tblCellMar>
      </w:tblPr>
      <w:tr>
        <w:trPr>
          <w:trHeight w:val="284"/>
        </w:trPr>
        <w:tc>
          <w:tcPr>
            <w:tcW w:w="1520" w:type="dxa"/>
            <w:vAlign w:val="bottom"/>
            <w:tcBorders>
              <w:top w:val="single" w:sz="8" w:color="0066B2"/>
              <w:left w:val="single" w:sz="8" w:color="7F7F7F"/>
              <w:bottom w:val="single" w:sz="8" w:color="7F7F7F"/>
            </w:tcBorders>
            <w:shd w:val="clear" w:color="auto" w:fill="0066B2"/>
          </w:tcPr>
          <w:p>
            <w:pPr>
              <w:ind w:left="140"/>
              <w:spacing w:after="0"/>
              <w:rPr>
                <w:sz w:val="20"/>
                <w:szCs w:val="20"/>
                <w:color w:val="auto"/>
              </w:rPr>
            </w:pPr>
            <w:r>
              <w:rPr>
                <w:rFonts w:ascii="Arial" w:cs="Arial" w:eastAsia="Arial" w:hAnsi="Arial"/>
                <w:sz w:val="14"/>
                <w:szCs w:val="14"/>
                <w:b w:val="1"/>
                <w:bCs w:val="1"/>
                <w:color w:val="FFFFFF"/>
              </w:rPr>
              <w:t>Plan name</w:t>
            </w:r>
          </w:p>
        </w:tc>
        <w:tc>
          <w:tcPr>
            <w:tcW w:w="1160" w:type="dxa"/>
            <w:vAlign w:val="bottom"/>
            <w:tcBorders>
              <w:top w:val="single" w:sz="8" w:color="0B2D71"/>
              <w:bottom w:val="single" w:sz="8" w:color="7F7F7F"/>
            </w:tcBorders>
            <w:shd w:val="clear" w:color="auto" w:fill="0066B2"/>
          </w:tcPr>
          <w:p>
            <w:pPr>
              <w:ind w:left="120"/>
              <w:spacing w:after="0"/>
              <w:rPr>
                <w:sz w:val="20"/>
                <w:szCs w:val="20"/>
                <w:color w:val="auto"/>
              </w:rPr>
            </w:pPr>
            <w:r>
              <w:rPr>
                <w:rFonts w:ascii="Arial" w:cs="Arial" w:eastAsia="Arial" w:hAnsi="Arial"/>
                <w:sz w:val="14"/>
                <w:szCs w:val="14"/>
                <w:b w:val="1"/>
                <w:bCs w:val="1"/>
                <w:color w:val="FFFFFF"/>
              </w:rPr>
              <w:t>Plan type</w:t>
            </w:r>
          </w:p>
        </w:tc>
        <w:tc>
          <w:tcPr>
            <w:tcW w:w="2920" w:type="dxa"/>
            <w:vAlign w:val="bottom"/>
            <w:tcBorders>
              <w:top w:val="single" w:sz="8" w:color="0B2D71"/>
              <w:bottom w:val="single" w:sz="8" w:color="7F7F7F"/>
            </w:tcBorders>
            <w:shd w:val="clear" w:color="auto" w:fill="0066B2"/>
          </w:tcPr>
          <w:p>
            <w:pPr>
              <w:ind w:left="160"/>
              <w:spacing w:after="0"/>
              <w:rPr>
                <w:sz w:val="20"/>
                <w:szCs w:val="20"/>
                <w:color w:val="auto"/>
              </w:rPr>
            </w:pPr>
            <w:r>
              <w:rPr>
                <w:rFonts w:ascii="Arial" w:cs="Arial" w:eastAsia="Arial" w:hAnsi="Arial"/>
                <w:sz w:val="14"/>
                <w:szCs w:val="14"/>
                <w:b w:val="1"/>
                <w:bCs w:val="1"/>
                <w:color w:val="FFFFFF"/>
              </w:rPr>
              <w:t>How it works</w:t>
            </w:r>
          </w:p>
        </w:tc>
        <w:tc>
          <w:tcPr>
            <w:tcW w:w="5360" w:type="dxa"/>
            <w:vAlign w:val="bottom"/>
            <w:tcBorders>
              <w:top w:val="single" w:sz="8" w:color="0B2D71"/>
              <w:bottom w:val="single" w:sz="8" w:color="7F7F7F"/>
              <w:right w:val="single" w:sz="8" w:color="7F7F7F"/>
            </w:tcBorders>
            <w:shd w:val="clear" w:color="auto" w:fill="0066B2"/>
          </w:tcPr>
          <w:p>
            <w:pPr>
              <w:ind w:left="80"/>
              <w:spacing w:after="0"/>
              <w:rPr>
                <w:sz w:val="20"/>
                <w:szCs w:val="20"/>
                <w:color w:val="auto"/>
              </w:rPr>
            </w:pPr>
            <w:r>
              <w:rPr>
                <w:rFonts w:ascii="Arial" w:cs="Arial" w:eastAsia="Arial" w:hAnsi="Arial"/>
                <w:sz w:val="14"/>
                <w:szCs w:val="14"/>
                <w:b w:val="1"/>
                <w:bCs w:val="1"/>
                <w:color w:val="FFFFFF"/>
              </w:rPr>
              <w:t>What’s disclosed</w:t>
            </w:r>
          </w:p>
        </w:tc>
      </w:tr>
      <w:tr>
        <w:trPr>
          <w:trHeight w:val="160"/>
        </w:trPr>
        <w:tc>
          <w:tcPr>
            <w:tcW w:w="1520" w:type="dxa"/>
            <w:vAlign w:val="bottom"/>
            <w:tcBorders>
              <w:left w:val="single" w:sz="8" w:color="7F7F7F"/>
            </w:tcBorders>
            <w:shd w:val="clear" w:color="auto" w:fill="D8D8D8"/>
          </w:tcPr>
          <w:p>
            <w:pPr>
              <w:ind w:left="140"/>
              <w:spacing w:after="0" w:line="160" w:lineRule="exact"/>
              <w:rPr>
                <w:sz w:val="20"/>
                <w:szCs w:val="20"/>
                <w:color w:val="auto"/>
              </w:rPr>
            </w:pPr>
            <w:r>
              <w:rPr>
                <w:rFonts w:ascii="Arial" w:cs="Arial" w:eastAsia="Arial" w:hAnsi="Arial"/>
                <w:sz w:val="14"/>
                <w:szCs w:val="14"/>
                <w:color w:val="auto"/>
              </w:rPr>
              <w:t>Chevron Retirement</w:t>
            </w:r>
          </w:p>
        </w:tc>
        <w:tc>
          <w:tcPr>
            <w:tcW w:w="1160" w:type="dxa"/>
            <w:vAlign w:val="bottom"/>
            <w:shd w:val="clear" w:color="auto" w:fill="D8D8D8"/>
          </w:tcPr>
          <w:p>
            <w:pPr>
              <w:ind w:left="120"/>
              <w:spacing w:after="0" w:line="160" w:lineRule="exact"/>
              <w:rPr>
                <w:sz w:val="20"/>
                <w:szCs w:val="20"/>
                <w:color w:val="auto"/>
              </w:rPr>
            </w:pPr>
            <w:r>
              <w:rPr>
                <w:rFonts w:ascii="Arial" w:cs="Arial" w:eastAsia="Arial" w:hAnsi="Arial"/>
                <w:sz w:val="14"/>
                <w:szCs w:val="14"/>
                <w:color w:val="auto"/>
              </w:rPr>
              <w:t>Qualified</w:t>
            </w:r>
          </w:p>
        </w:tc>
        <w:tc>
          <w:tcPr>
            <w:tcW w:w="2920" w:type="dxa"/>
            <w:vAlign w:val="bottom"/>
            <w:shd w:val="clear" w:color="auto" w:fill="D8D8D8"/>
          </w:tcPr>
          <w:p>
            <w:pPr>
              <w:ind w:left="160"/>
              <w:spacing w:after="0" w:line="160" w:lineRule="exact"/>
              <w:rPr>
                <w:sz w:val="20"/>
                <w:szCs w:val="20"/>
                <w:color w:val="auto"/>
              </w:rPr>
            </w:pPr>
            <w:r>
              <w:rPr>
                <w:rFonts w:ascii="Arial" w:cs="Arial" w:eastAsia="Arial" w:hAnsi="Arial"/>
                <w:sz w:val="14"/>
                <w:szCs w:val="14"/>
                <w:color w:val="auto"/>
              </w:rPr>
              <w:t>Participants are eligible for a pension</w:t>
            </w:r>
          </w:p>
        </w:tc>
        <w:tc>
          <w:tcPr>
            <w:tcW w:w="5360" w:type="dxa"/>
            <w:vAlign w:val="bottom"/>
            <w:tcBorders>
              <w:right w:val="single" w:sz="8" w:color="7F7F7F"/>
            </w:tcBorders>
            <w:shd w:val="clear" w:color="auto" w:fill="D8D8D8"/>
          </w:tcPr>
          <w:p>
            <w:pPr>
              <w:ind w:left="80"/>
              <w:spacing w:after="0" w:line="160" w:lineRule="exact"/>
              <w:rPr>
                <w:sz w:val="20"/>
                <w:szCs w:val="20"/>
                <w:color w:val="auto"/>
              </w:rPr>
            </w:pPr>
            <w:r>
              <w:rPr>
                <w:rFonts w:ascii="Arial" w:cs="Arial" w:eastAsia="Arial" w:hAnsi="Arial"/>
                <w:sz w:val="14"/>
                <w:szCs w:val="14"/>
                <w:color w:val="auto"/>
              </w:rPr>
              <w:t>In the “Summary Compensation Table” and the “Pension Benefits Table” in this</w:t>
            </w:r>
          </w:p>
        </w:tc>
      </w:tr>
      <w:tr>
        <w:trPr>
          <w:trHeight w:val="162"/>
        </w:trPr>
        <w:tc>
          <w:tcPr>
            <w:tcW w:w="1520" w:type="dxa"/>
            <w:vAlign w:val="bottom"/>
            <w:tcBorders>
              <w:left w:val="single" w:sz="8" w:color="7F7F7F"/>
            </w:tcBorders>
            <w:shd w:val="clear" w:color="auto" w:fill="D8D8D8"/>
          </w:tcPr>
          <w:p>
            <w:pPr>
              <w:ind w:left="140"/>
              <w:spacing w:after="0"/>
              <w:rPr>
                <w:sz w:val="20"/>
                <w:szCs w:val="20"/>
                <w:color w:val="auto"/>
              </w:rPr>
            </w:pPr>
            <w:r>
              <w:rPr>
                <w:rFonts w:ascii="Arial" w:cs="Arial" w:eastAsia="Arial" w:hAnsi="Arial"/>
                <w:sz w:val="14"/>
                <w:szCs w:val="14"/>
                <w:color w:val="auto"/>
              </w:rPr>
              <w:t>Plan (“CRP”)</w:t>
            </w:r>
          </w:p>
        </w:tc>
        <w:tc>
          <w:tcPr>
            <w:tcW w:w="1160" w:type="dxa"/>
            <w:vAlign w:val="bottom"/>
            <w:shd w:val="clear" w:color="auto" w:fill="D8D8D8"/>
          </w:tcPr>
          <w:p>
            <w:pPr>
              <w:ind w:left="120"/>
              <w:spacing w:after="0"/>
              <w:rPr>
                <w:sz w:val="20"/>
                <w:szCs w:val="20"/>
                <w:color w:val="auto"/>
              </w:rPr>
            </w:pPr>
            <w:r>
              <w:rPr>
                <w:rFonts w:ascii="Arial" w:cs="Arial" w:eastAsia="Arial" w:hAnsi="Arial"/>
                <w:sz w:val="14"/>
                <w:szCs w:val="14"/>
                <w:color w:val="auto"/>
              </w:rPr>
              <w:t>Defined</w:t>
            </w:r>
          </w:p>
        </w:tc>
        <w:tc>
          <w:tcPr>
            <w:tcW w:w="2920" w:type="dxa"/>
            <w:vAlign w:val="bottom"/>
            <w:shd w:val="clear" w:color="auto" w:fill="D8D8D8"/>
          </w:tcPr>
          <w:p>
            <w:pPr>
              <w:ind w:left="160"/>
              <w:spacing w:after="0"/>
              <w:rPr>
                <w:sz w:val="20"/>
                <w:szCs w:val="20"/>
                <w:color w:val="auto"/>
              </w:rPr>
            </w:pPr>
            <w:r>
              <w:rPr>
                <w:rFonts w:ascii="Arial" w:cs="Arial" w:eastAsia="Arial" w:hAnsi="Arial"/>
                <w:sz w:val="14"/>
                <w:szCs w:val="14"/>
                <w:color w:val="auto"/>
              </w:rPr>
              <w:t>benefit when they leave the Company as</w:t>
            </w:r>
          </w:p>
        </w:tc>
        <w:tc>
          <w:tcPr>
            <w:tcW w:w="5360" w:type="dxa"/>
            <w:vAlign w:val="bottom"/>
            <w:tcBorders>
              <w:right w:val="single" w:sz="8" w:color="7F7F7F"/>
            </w:tcBorders>
            <w:shd w:val="clear" w:color="auto" w:fill="D8D8D8"/>
          </w:tcPr>
          <w:p>
            <w:pPr>
              <w:ind w:left="80"/>
              <w:spacing w:after="0"/>
              <w:rPr>
                <w:sz w:val="20"/>
                <w:szCs w:val="20"/>
                <w:color w:val="auto"/>
              </w:rPr>
            </w:pPr>
            <w:r>
              <w:rPr>
                <w:rFonts w:ascii="Arial" w:cs="Arial" w:eastAsia="Arial" w:hAnsi="Arial"/>
                <w:sz w:val="14"/>
                <w:szCs w:val="14"/>
                <w:color w:val="auto"/>
              </w:rPr>
              <w:t>Proxy Statement, we report the change in pension value in 2021 and the present</w:t>
            </w:r>
          </w:p>
        </w:tc>
      </w:tr>
      <w:tr>
        <w:trPr>
          <w:trHeight w:val="162"/>
        </w:trPr>
        <w:tc>
          <w:tcPr>
            <w:tcW w:w="1520" w:type="dxa"/>
            <w:vAlign w:val="bottom"/>
            <w:tcBorders>
              <w:left w:val="single" w:sz="8" w:color="7F7F7F"/>
            </w:tcBorders>
            <w:shd w:val="clear" w:color="auto" w:fill="D8D8D8"/>
          </w:tcPr>
          <w:p>
            <w:pPr>
              <w:spacing w:after="0"/>
              <w:rPr>
                <w:sz w:val="14"/>
                <w:szCs w:val="14"/>
                <w:color w:val="auto"/>
              </w:rPr>
            </w:pPr>
          </w:p>
        </w:tc>
        <w:tc>
          <w:tcPr>
            <w:tcW w:w="1160" w:type="dxa"/>
            <w:vAlign w:val="bottom"/>
            <w:shd w:val="clear" w:color="auto" w:fill="D8D8D8"/>
          </w:tcPr>
          <w:p>
            <w:pPr>
              <w:ind w:left="120"/>
              <w:spacing w:after="0"/>
              <w:rPr>
                <w:sz w:val="20"/>
                <w:szCs w:val="20"/>
                <w:color w:val="auto"/>
              </w:rPr>
            </w:pPr>
            <w:r>
              <w:rPr>
                <w:rFonts w:ascii="Arial" w:cs="Arial" w:eastAsia="Arial" w:hAnsi="Arial"/>
                <w:sz w:val="14"/>
                <w:szCs w:val="14"/>
                <w:color w:val="auto"/>
              </w:rPr>
              <w:t>Benefit</w:t>
            </w:r>
          </w:p>
        </w:tc>
        <w:tc>
          <w:tcPr>
            <w:tcW w:w="2920" w:type="dxa"/>
            <w:vAlign w:val="bottom"/>
            <w:shd w:val="clear" w:color="auto" w:fill="D8D8D8"/>
          </w:tcPr>
          <w:p>
            <w:pPr>
              <w:ind w:left="160"/>
              <w:spacing w:after="0"/>
              <w:rPr>
                <w:sz w:val="20"/>
                <w:szCs w:val="20"/>
                <w:color w:val="auto"/>
              </w:rPr>
            </w:pPr>
            <w:r>
              <w:rPr>
                <w:rFonts w:ascii="Arial" w:cs="Arial" w:eastAsia="Arial" w:hAnsi="Arial"/>
                <w:sz w:val="14"/>
                <w:szCs w:val="14"/>
                <w:color w:val="auto"/>
              </w:rPr>
              <w:t>long as they meet age, service, and other</w:t>
            </w:r>
          </w:p>
        </w:tc>
        <w:tc>
          <w:tcPr>
            <w:tcW w:w="5360" w:type="dxa"/>
            <w:vAlign w:val="bottom"/>
            <w:tcBorders>
              <w:right w:val="single" w:sz="8" w:color="7F7F7F"/>
            </w:tcBorders>
            <w:shd w:val="clear" w:color="auto" w:fill="D8D8D8"/>
          </w:tcPr>
          <w:p>
            <w:pPr>
              <w:ind w:left="80"/>
              <w:spacing w:after="0"/>
              <w:rPr>
                <w:sz w:val="20"/>
                <w:szCs w:val="20"/>
                <w:color w:val="auto"/>
              </w:rPr>
            </w:pPr>
            <w:r>
              <w:rPr>
                <w:rFonts w:ascii="Arial" w:cs="Arial" w:eastAsia="Arial" w:hAnsi="Arial"/>
                <w:sz w:val="14"/>
                <w:szCs w:val="14"/>
                <w:color w:val="auto"/>
              </w:rPr>
              <w:t>value of each NEO’s accumulated benefit under the CRP.</w:t>
            </w:r>
          </w:p>
        </w:tc>
      </w:tr>
      <w:tr>
        <w:trPr>
          <w:trHeight w:val="185"/>
        </w:trPr>
        <w:tc>
          <w:tcPr>
            <w:tcW w:w="1520" w:type="dxa"/>
            <w:vAlign w:val="bottom"/>
            <w:tcBorders>
              <w:left w:val="single" w:sz="8" w:color="7F7F7F"/>
            </w:tcBorders>
            <w:shd w:val="clear" w:color="auto" w:fill="D8D8D8"/>
          </w:tcPr>
          <w:p>
            <w:pPr>
              <w:spacing w:after="0"/>
              <w:rPr>
                <w:sz w:val="16"/>
                <w:szCs w:val="16"/>
                <w:color w:val="auto"/>
              </w:rPr>
            </w:pPr>
          </w:p>
        </w:tc>
        <w:tc>
          <w:tcPr>
            <w:tcW w:w="1160" w:type="dxa"/>
            <w:vAlign w:val="bottom"/>
            <w:shd w:val="clear" w:color="auto" w:fill="D8D8D8"/>
          </w:tcPr>
          <w:p>
            <w:pPr>
              <w:ind w:left="120"/>
              <w:spacing w:after="0"/>
              <w:rPr>
                <w:sz w:val="20"/>
                <w:szCs w:val="20"/>
                <w:color w:val="auto"/>
              </w:rPr>
            </w:pPr>
            <w:r>
              <w:rPr>
                <w:rFonts w:ascii="Arial" w:cs="Arial" w:eastAsia="Arial" w:hAnsi="Arial"/>
                <w:sz w:val="14"/>
                <w:szCs w:val="14"/>
                <w:color w:val="auto"/>
              </w:rPr>
              <w:t>(IRS §401(a))</w:t>
            </w:r>
          </w:p>
        </w:tc>
        <w:tc>
          <w:tcPr>
            <w:tcW w:w="2920" w:type="dxa"/>
            <w:vAlign w:val="bottom"/>
            <w:shd w:val="clear" w:color="auto" w:fill="D8D8D8"/>
          </w:tcPr>
          <w:p>
            <w:pPr>
              <w:ind w:left="160"/>
              <w:spacing w:after="0"/>
              <w:rPr>
                <w:sz w:val="20"/>
                <w:szCs w:val="20"/>
                <w:color w:val="auto"/>
              </w:rPr>
            </w:pPr>
            <w:r>
              <w:rPr>
                <w:rFonts w:ascii="Arial" w:cs="Arial" w:eastAsia="Arial" w:hAnsi="Arial"/>
                <w:sz w:val="14"/>
                <w:szCs w:val="14"/>
                <w:color w:val="auto"/>
              </w:rPr>
              <w:t>provisions under the plan.</w:t>
            </w:r>
          </w:p>
        </w:tc>
        <w:tc>
          <w:tcPr>
            <w:tcW w:w="5360" w:type="dxa"/>
            <w:vAlign w:val="bottom"/>
            <w:tcBorders>
              <w:right w:val="single" w:sz="8" w:color="7F7F7F"/>
            </w:tcBorders>
            <w:shd w:val="clear" w:color="auto" w:fill="D8D8D8"/>
          </w:tcPr>
          <w:p>
            <w:pPr>
              <w:spacing w:after="0"/>
              <w:rPr>
                <w:sz w:val="16"/>
                <w:szCs w:val="16"/>
                <w:color w:val="auto"/>
              </w:rPr>
            </w:pPr>
          </w:p>
        </w:tc>
      </w:tr>
      <w:tr>
        <w:trPr>
          <w:trHeight w:val="207"/>
        </w:trPr>
        <w:tc>
          <w:tcPr>
            <w:tcW w:w="1520" w:type="dxa"/>
            <w:vAlign w:val="bottom"/>
            <w:tcBorders>
              <w:left w:val="single" w:sz="8" w:color="7F7F7F"/>
            </w:tcBorders>
          </w:tcPr>
          <w:p>
            <w:pPr>
              <w:ind w:left="140"/>
              <w:spacing w:after="0"/>
              <w:rPr>
                <w:sz w:val="20"/>
                <w:szCs w:val="20"/>
                <w:color w:val="auto"/>
              </w:rPr>
            </w:pPr>
            <w:r>
              <w:rPr>
                <w:rFonts w:ascii="Arial" w:cs="Arial" w:eastAsia="Arial" w:hAnsi="Arial"/>
                <w:sz w:val="14"/>
                <w:szCs w:val="14"/>
                <w:color w:val="auto"/>
              </w:rPr>
              <w:t>Chevron Retirement</w:t>
            </w:r>
          </w:p>
        </w:tc>
        <w:tc>
          <w:tcPr>
            <w:tcW w:w="1160" w:type="dxa"/>
            <w:vAlign w:val="bottom"/>
          </w:tcPr>
          <w:p>
            <w:pPr>
              <w:ind w:left="120"/>
              <w:spacing w:after="0"/>
              <w:rPr>
                <w:sz w:val="20"/>
                <w:szCs w:val="20"/>
                <w:color w:val="auto"/>
              </w:rPr>
            </w:pPr>
            <w:r>
              <w:rPr>
                <w:rFonts w:ascii="Arial" w:cs="Arial" w:eastAsia="Arial" w:hAnsi="Arial"/>
                <w:sz w:val="14"/>
                <w:szCs w:val="14"/>
                <w:color w:val="auto"/>
              </w:rPr>
              <w:t>Nonqualified</w:t>
            </w:r>
          </w:p>
        </w:tc>
        <w:tc>
          <w:tcPr>
            <w:tcW w:w="2920" w:type="dxa"/>
            <w:vAlign w:val="bottom"/>
          </w:tcPr>
          <w:p>
            <w:pPr>
              <w:ind w:left="160"/>
              <w:spacing w:after="0"/>
              <w:rPr>
                <w:sz w:val="20"/>
                <w:szCs w:val="20"/>
                <w:color w:val="auto"/>
              </w:rPr>
            </w:pPr>
            <w:r>
              <w:rPr>
                <w:rFonts w:ascii="Arial" w:cs="Arial" w:eastAsia="Arial" w:hAnsi="Arial"/>
                <w:sz w:val="14"/>
                <w:szCs w:val="14"/>
                <w:color w:val="auto"/>
              </w:rPr>
              <w:t>Provides participants with retirement</w:t>
            </w:r>
          </w:p>
        </w:tc>
        <w:tc>
          <w:tcPr>
            <w:tcW w:w="5360" w:type="dxa"/>
            <w:vAlign w:val="bottom"/>
            <w:tcBorders>
              <w:right w:val="single" w:sz="8" w:color="7F7F7F"/>
            </w:tcBorders>
          </w:tcPr>
          <w:p>
            <w:pPr>
              <w:ind w:left="80"/>
              <w:spacing w:after="0"/>
              <w:rPr>
                <w:sz w:val="20"/>
                <w:szCs w:val="20"/>
                <w:color w:val="auto"/>
              </w:rPr>
            </w:pPr>
            <w:r>
              <w:rPr>
                <w:rFonts w:ascii="Arial" w:cs="Arial" w:eastAsia="Arial" w:hAnsi="Arial"/>
                <w:sz w:val="14"/>
                <w:szCs w:val="14"/>
                <w:color w:val="auto"/>
              </w:rPr>
              <w:t>In the “Pension Benefits Table” and accompanying narrative in this Proxy</w:t>
            </w:r>
          </w:p>
        </w:tc>
      </w:tr>
      <w:tr>
        <w:trPr>
          <w:trHeight w:val="162"/>
        </w:trPr>
        <w:tc>
          <w:tcPr>
            <w:tcW w:w="1520" w:type="dxa"/>
            <w:vAlign w:val="bottom"/>
            <w:tcBorders>
              <w:left w:val="single" w:sz="8" w:color="7F7F7F"/>
            </w:tcBorders>
          </w:tcPr>
          <w:p>
            <w:pPr>
              <w:ind w:left="140"/>
              <w:spacing w:after="0"/>
              <w:rPr>
                <w:sz w:val="20"/>
                <w:szCs w:val="20"/>
                <w:color w:val="auto"/>
              </w:rPr>
            </w:pPr>
            <w:r>
              <w:rPr>
                <w:rFonts w:ascii="Arial" w:cs="Arial" w:eastAsia="Arial" w:hAnsi="Arial"/>
                <w:sz w:val="14"/>
                <w:szCs w:val="14"/>
                <w:color w:val="auto"/>
              </w:rPr>
              <w:t>Restoration Plan</w:t>
            </w:r>
          </w:p>
        </w:tc>
        <w:tc>
          <w:tcPr>
            <w:tcW w:w="1160" w:type="dxa"/>
            <w:vAlign w:val="bottom"/>
          </w:tcPr>
          <w:p>
            <w:pPr>
              <w:ind w:left="120"/>
              <w:spacing w:after="0"/>
              <w:rPr>
                <w:sz w:val="20"/>
                <w:szCs w:val="20"/>
                <w:color w:val="auto"/>
              </w:rPr>
            </w:pPr>
            <w:r>
              <w:rPr>
                <w:rFonts w:ascii="Arial" w:cs="Arial" w:eastAsia="Arial" w:hAnsi="Arial"/>
                <w:sz w:val="14"/>
                <w:szCs w:val="14"/>
                <w:color w:val="auto"/>
              </w:rPr>
              <w:t>Defined</w:t>
            </w:r>
          </w:p>
        </w:tc>
        <w:tc>
          <w:tcPr>
            <w:tcW w:w="2920" w:type="dxa"/>
            <w:vAlign w:val="bottom"/>
          </w:tcPr>
          <w:p>
            <w:pPr>
              <w:ind w:left="160"/>
              <w:spacing w:after="0"/>
              <w:rPr>
                <w:sz w:val="20"/>
                <w:szCs w:val="20"/>
                <w:color w:val="auto"/>
              </w:rPr>
            </w:pPr>
            <w:r>
              <w:rPr>
                <w:rFonts w:ascii="Arial" w:cs="Arial" w:eastAsia="Arial" w:hAnsi="Arial"/>
                <w:sz w:val="14"/>
                <w:szCs w:val="14"/>
                <w:color w:val="auto"/>
              </w:rPr>
              <w:t>income that cannot be paid from the CRP</w:t>
            </w:r>
          </w:p>
        </w:tc>
        <w:tc>
          <w:tcPr>
            <w:tcW w:w="5360" w:type="dxa"/>
            <w:vAlign w:val="bottom"/>
            <w:tcBorders>
              <w:right w:val="single" w:sz="8" w:color="7F7F7F"/>
            </w:tcBorders>
          </w:tcPr>
          <w:p>
            <w:pPr>
              <w:ind w:left="80"/>
              <w:spacing w:after="0"/>
              <w:rPr>
                <w:sz w:val="20"/>
                <w:szCs w:val="20"/>
                <w:color w:val="auto"/>
              </w:rPr>
            </w:pPr>
            <w:r>
              <w:rPr>
                <w:rFonts w:ascii="Arial" w:cs="Arial" w:eastAsia="Arial" w:hAnsi="Arial"/>
                <w:sz w:val="14"/>
                <w:szCs w:val="14"/>
                <w:color w:val="auto"/>
              </w:rPr>
              <w:t>Statement, we describe how the RRP works and present the current value of</w:t>
            </w:r>
          </w:p>
        </w:tc>
      </w:tr>
      <w:tr>
        <w:trPr>
          <w:trHeight w:val="157"/>
        </w:trPr>
        <w:tc>
          <w:tcPr>
            <w:tcW w:w="1520" w:type="dxa"/>
            <w:vAlign w:val="bottom"/>
            <w:tcBorders>
              <w:left w:val="single" w:sz="8" w:color="7F7F7F"/>
            </w:tcBorders>
          </w:tcPr>
          <w:p>
            <w:pPr>
              <w:ind w:left="140"/>
              <w:spacing w:after="0" w:line="157" w:lineRule="exact"/>
              <w:rPr>
                <w:sz w:val="20"/>
                <w:szCs w:val="20"/>
                <w:color w:val="auto"/>
              </w:rPr>
            </w:pPr>
            <w:r>
              <w:rPr>
                <w:rFonts w:ascii="Arial" w:cs="Arial" w:eastAsia="Arial" w:hAnsi="Arial"/>
                <w:sz w:val="14"/>
                <w:szCs w:val="14"/>
                <w:color w:val="auto"/>
              </w:rPr>
              <w:t>(“RRP”)</w:t>
            </w:r>
          </w:p>
        </w:tc>
        <w:tc>
          <w:tcPr>
            <w:tcW w:w="1160" w:type="dxa"/>
            <w:vAlign w:val="bottom"/>
          </w:tcPr>
          <w:p>
            <w:pPr>
              <w:ind w:left="120"/>
              <w:spacing w:after="0" w:line="157" w:lineRule="exact"/>
              <w:rPr>
                <w:sz w:val="20"/>
                <w:szCs w:val="20"/>
                <w:color w:val="auto"/>
              </w:rPr>
            </w:pPr>
            <w:r>
              <w:rPr>
                <w:rFonts w:ascii="Arial" w:cs="Arial" w:eastAsia="Arial" w:hAnsi="Arial"/>
                <w:sz w:val="14"/>
                <w:szCs w:val="14"/>
                <w:color w:val="auto"/>
              </w:rPr>
              <w:t>Benefit</w:t>
            </w:r>
          </w:p>
        </w:tc>
        <w:tc>
          <w:tcPr>
            <w:tcW w:w="2920" w:type="dxa"/>
            <w:vAlign w:val="bottom"/>
          </w:tcPr>
          <w:p>
            <w:pPr>
              <w:ind w:left="160"/>
              <w:spacing w:after="0" w:line="157" w:lineRule="exact"/>
              <w:rPr>
                <w:sz w:val="20"/>
                <w:szCs w:val="20"/>
                <w:color w:val="auto"/>
              </w:rPr>
            </w:pPr>
            <w:r>
              <w:rPr>
                <w:rFonts w:ascii="Arial" w:cs="Arial" w:eastAsia="Arial" w:hAnsi="Arial"/>
                <w:sz w:val="14"/>
                <w:szCs w:val="14"/>
                <w:color w:val="auto"/>
              </w:rPr>
              <w:t>due to IRS limits on compensation and</w:t>
            </w:r>
          </w:p>
        </w:tc>
        <w:tc>
          <w:tcPr>
            <w:tcW w:w="5360" w:type="dxa"/>
            <w:vAlign w:val="bottom"/>
            <w:tcBorders>
              <w:right w:val="single" w:sz="8" w:color="7F7F7F"/>
            </w:tcBorders>
          </w:tcPr>
          <w:p>
            <w:pPr>
              <w:ind w:left="80"/>
              <w:spacing w:after="0" w:line="157" w:lineRule="exact"/>
              <w:rPr>
                <w:sz w:val="20"/>
                <w:szCs w:val="20"/>
                <w:color w:val="auto"/>
              </w:rPr>
            </w:pPr>
            <w:r>
              <w:rPr>
                <w:rFonts w:ascii="Arial" w:cs="Arial" w:eastAsia="Arial" w:hAnsi="Arial"/>
                <w:sz w:val="14"/>
                <w:szCs w:val="14"/>
                <w:color w:val="auto"/>
              </w:rPr>
              <w:t>each NEO’s accumulated benefit under the RRP.</w:t>
            </w:r>
          </w:p>
        </w:tc>
      </w:tr>
      <w:tr>
        <w:trPr>
          <w:trHeight w:val="190"/>
        </w:trPr>
        <w:tc>
          <w:tcPr>
            <w:tcW w:w="1520" w:type="dxa"/>
            <w:vAlign w:val="bottom"/>
            <w:tcBorders>
              <w:left w:val="single" w:sz="8" w:color="7F7F7F"/>
            </w:tcBorders>
          </w:tcPr>
          <w:p>
            <w:pPr>
              <w:spacing w:after="0"/>
              <w:rPr>
                <w:sz w:val="16"/>
                <w:szCs w:val="16"/>
                <w:color w:val="auto"/>
              </w:rPr>
            </w:pPr>
          </w:p>
        </w:tc>
        <w:tc>
          <w:tcPr>
            <w:tcW w:w="1160" w:type="dxa"/>
            <w:vAlign w:val="bottom"/>
          </w:tcPr>
          <w:p>
            <w:pPr>
              <w:spacing w:after="0"/>
              <w:rPr>
                <w:sz w:val="16"/>
                <w:szCs w:val="16"/>
                <w:color w:val="auto"/>
              </w:rPr>
            </w:pPr>
          </w:p>
        </w:tc>
        <w:tc>
          <w:tcPr>
            <w:tcW w:w="2920" w:type="dxa"/>
            <w:vAlign w:val="bottom"/>
          </w:tcPr>
          <w:p>
            <w:pPr>
              <w:ind w:left="160"/>
              <w:spacing w:after="0" w:line="190" w:lineRule="exact"/>
              <w:rPr>
                <w:sz w:val="20"/>
                <w:szCs w:val="20"/>
                <w:color w:val="auto"/>
              </w:rPr>
            </w:pPr>
            <w:r>
              <w:rPr>
                <w:rFonts w:ascii="Arial" w:cs="Arial" w:eastAsia="Arial" w:hAnsi="Arial"/>
                <w:sz w:val="13"/>
                <w:szCs w:val="13"/>
                <w:color w:val="auto"/>
              </w:rPr>
              <w:t>benefits.</w:t>
            </w:r>
            <w:r>
              <w:rPr>
                <w:rFonts w:ascii="Arial" w:cs="Arial" w:eastAsia="Arial" w:hAnsi="Arial"/>
                <w:sz w:val="22"/>
                <w:szCs w:val="22"/>
                <w:color w:val="auto"/>
                <w:vertAlign w:val="superscript"/>
              </w:rPr>
              <w:t>(1)</w:t>
            </w:r>
          </w:p>
        </w:tc>
        <w:tc>
          <w:tcPr>
            <w:tcW w:w="5360" w:type="dxa"/>
            <w:vAlign w:val="bottom"/>
            <w:tcBorders>
              <w:right w:val="single" w:sz="8" w:color="7F7F7F"/>
            </w:tcBorders>
          </w:tcPr>
          <w:p>
            <w:pPr>
              <w:spacing w:after="0"/>
              <w:rPr>
                <w:sz w:val="16"/>
                <w:szCs w:val="16"/>
                <w:color w:val="auto"/>
              </w:rPr>
            </w:pPr>
          </w:p>
        </w:tc>
      </w:tr>
      <w:tr>
        <w:trPr>
          <w:trHeight w:val="207"/>
        </w:trPr>
        <w:tc>
          <w:tcPr>
            <w:tcW w:w="1520" w:type="dxa"/>
            <w:vAlign w:val="bottom"/>
            <w:tcBorders>
              <w:left w:val="single" w:sz="8" w:color="7F7F7F"/>
            </w:tcBorders>
            <w:shd w:val="clear" w:color="auto" w:fill="D8D8D8"/>
          </w:tcPr>
          <w:p>
            <w:pPr>
              <w:ind w:left="140"/>
              <w:spacing w:after="0"/>
              <w:rPr>
                <w:sz w:val="20"/>
                <w:szCs w:val="20"/>
                <w:color w:val="auto"/>
              </w:rPr>
            </w:pPr>
            <w:r>
              <w:rPr>
                <w:rFonts w:ascii="Arial" w:cs="Arial" w:eastAsia="Arial" w:hAnsi="Arial"/>
                <w:sz w:val="14"/>
                <w:szCs w:val="14"/>
                <w:color w:val="auto"/>
              </w:rPr>
              <w:t>Employee Savings</w:t>
            </w:r>
          </w:p>
        </w:tc>
        <w:tc>
          <w:tcPr>
            <w:tcW w:w="1160" w:type="dxa"/>
            <w:vAlign w:val="bottom"/>
            <w:shd w:val="clear" w:color="auto" w:fill="D8D8D8"/>
          </w:tcPr>
          <w:p>
            <w:pPr>
              <w:ind w:left="120"/>
              <w:spacing w:after="0"/>
              <w:rPr>
                <w:sz w:val="20"/>
                <w:szCs w:val="20"/>
                <w:color w:val="auto"/>
              </w:rPr>
            </w:pPr>
            <w:r>
              <w:rPr>
                <w:rFonts w:ascii="Arial" w:cs="Arial" w:eastAsia="Arial" w:hAnsi="Arial"/>
                <w:sz w:val="14"/>
                <w:szCs w:val="14"/>
                <w:color w:val="auto"/>
              </w:rPr>
              <w:t>Qualified</w:t>
            </w:r>
          </w:p>
        </w:tc>
        <w:tc>
          <w:tcPr>
            <w:tcW w:w="2920" w:type="dxa"/>
            <w:vAlign w:val="bottom"/>
            <w:shd w:val="clear" w:color="auto" w:fill="D8D8D8"/>
          </w:tcPr>
          <w:p>
            <w:pPr>
              <w:ind w:left="160"/>
              <w:spacing w:after="0"/>
              <w:rPr>
                <w:sz w:val="20"/>
                <w:szCs w:val="20"/>
                <w:color w:val="auto"/>
              </w:rPr>
            </w:pPr>
            <w:r>
              <w:rPr>
                <w:rFonts w:ascii="Arial" w:cs="Arial" w:eastAsia="Arial" w:hAnsi="Arial"/>
                <w:sz w:val="14"/>
                <w:szCs w:val="14"/>
                <w:color w:val="auto"/>
              </w:rPr>
              <w:t>Participants who contribute a percentage</w:t>
            </w:r>
          </w:p>
        </w:tc>
        <w:tc>
          <w:tcPr>
            <w:tcW w:w="5360" w:type="dxa"/>
            <w:vAlign w:val="bottom"/>
            <w:tcBorders>
              <w:right w:val="single" w:sz="8" w:color="7F7F7F"/>
            </w:tcBorders>
            <w:shd w:val="clear" w:color="auto" w:fill="D8D8D8"/>
          </w:tcPr>
          <w:p>
            <w:pPr>
              <w:ind w:left="80"/>
              <w:spacing w:after="0"/>
              <w:rPr>
                <w:sz w:val="20"/>
                <w:szCs w:val="20"/>
                <w:color w:val="auto"/>
              </w:rPr>
            </w:pPr>
            <w:r>
              <w:rPr>
                <w:rFonts w:ascii="Arial" w:cs="Arial" w:eastAsia="Arial" w:hAnsi="Arial"/>
                <w:sz w:val="14"/>
                <w:szCs w:val="14"/>
                <w:color w:val="auto"/>
              </w:rPr>
              <w:t>In the footnotes to the “Summary Compensation Table” in this Proxy Statement,</w:t>
            </w:r>
          </w:p>
        </w:tc>
      </w:tr>
      <w:tr>
        <w:trPr>
          <w:trHeight w:val="162"/>
        </w:trPr>
        <w:tc>
          <w:tcPr>
            <w:tcW w:w="1520" w:type="dxa"/>
            <w:vAlign w:val="bottom"/>
            <w:tcBorders>
              <w:left w:val="single" w:sz="8" w:color="7F7F7F"/>
            </w:tcBorders>
            <w:shd w:val="clear" w:color="auto" w:fill="D8D8D8"/>
          </w:tcPr>
          <w:p>
            <w:pPr>
              <w:ind w:left="140"/>
              <w:spacing w:after="0"/>
              <w:rPr>
                <w:sz w:val="20"/>
                <w:szCs w:val="20"/>
                <w:color w:val="auto"/>
              </w:rPr>
            </w:pPr>
            <w:r>
              <w:rPr>
                <w:rFonts w:ascii="Arial" w:cs="Arial" w:eastAsia="Arial" w:hAnsi="Arial"/>
                <w:sz w:val="14"/>
                <w:szCs w:val="14"/>
                <w:color w:val="auto"/>
              </w:rPr>
              <w:t>Investment Plan</w:t>
            </w:r>
          </w:p>
        </w:tc>
        <w:tc>
          <w:tcPr>
            <w:tcW w:w="1160" w:type="dxa"/>
            <w:vAlign w:val="bottom"/>
            <w:shd w:val="clear" w:color="auto" w:fill="D8D8D8"/>
          </w:tcPr>
          <w:p>
            <w:pPr>
              <w:ind w:left="120"/>
              <w:spacing w:after="0"/>
              <w:rPr>
                <w:sz w:val="20"/>
                <w:szCs w:val="20"/>
                <w:color w:val="auto"/>
              </w:rPr>
            </w:pPr>
            <w:r>
              <w:rPr>
                <w:rFonts w:ascii="Arial" w:cs="Arial" w:eastAsia="Arial" w:hAnsi="Arial"/>
                <w:sz w:val="14"/>
                <w:szCs w:val="14"/>
                <w:color w:val="auto"/>
              </w:rPr>
              <w:t>Defined</w:t>
            </w:r>
          </w:p>
        </w:tc>
        <w:tc>
          <w:tcPr>
            <w:tcW w:w="2920" w:type="dxa"/>
            <w:vAlign w:val="bottom"/>
            <w:shd w:val="clear" w:color="auto" w:fill="D8D8D8"/>
          </w:tcPr>
          <w:p>
            <w:pPr>
              <w:ind w:left="160"/>
              <w:spacing w:after="0"/>
              <w:rPr>
                <w:sz w:val="20"/>
                <w:szCs w:val="20"/>
                <w:color w:val="auto"/>
              </w:rPr>
            </w:pPr>
            <w:r>
              <w:rPr>
                <w:rFonts w:ascii="Arial" w:cs="Arial" w:eastAsia="Arial" w:hAnsi="Arial"/>
                <w:sz w:val="14"/>
                <w:szCs w:val="14"/>
                <w:color w:val="auto"/>
              </w:rPr>
              <w:t>of their annual compensation (i.e., base</w:t>
            </w:r>
          </w:p>
        </w:tc>
        <w:tc>
          <w:tcPr>
            <w:tcW w:w="5360" w:type="dxa"/>
            <w:vAlign w:val="bottom"/>
            <w:tcBorders>
              <w:right w:val="single" w:sz="8" w:color="7F7F7F"/>
            </w:tcBorders>
            <w:shd w:val="clear" w:color="auto" w:fill="D8D8D8"/>
          </w:tcPr>
          <w:p>
            <w:pPr>
              <w:ind w:left="80"/>
              <w:spacing w:after="0"/>
              <w:rPr>
                <w:sz w:val="20"/>
                <w:szCs w:val="20"/>
                <w:color w:val="auto"/>
              </w:rPr>
            </w:pPr>
            <w:r>
              <w:rPr>
                <w:rFonts w:ascii="Arial" w:cs="Arial" w:eastAsia="Arial" w:hAnsi="Arial"/>
                <w:sz w:val="14"/>
                <w:szCs w:val="14"/>
                <w:color w:val="auto"/>
              </w:rPr>
              <w:t>we describe Chevron’s contributions to each NEO’s ESIP account.</w:t>
            </w:r>
          </w:p>
        </w:tc>
      </w:tr>
      <w:tr>
        <w:trPr>
          <w:trHeight w:val="162"/>
        </w:trPr>
        <w:tc>
          <w:tcPr>
            <w:tcW w:w="1520" w:type="dxa"/>
            <w:vAlign w:val="bottom"/>
            <w:tcBorders>
              <w:left w:val="single" w:sz="8" w:color="7F7F7F"/>
            </w:tcBorders>
            <w:shd w:val="clear" w:color="auto" w:fill="D8D8D8"/>
          </w:tcPr>
          <w:p>
            <w:pPr>
              <w:ind w:left="140"/>
              <w:spacing w:after="0"/>
              <w:rPr>
                <w:sz w:val="20"/>
                <w:szCs w:val="20"/>
                <w:color w:val="auto"/>
              </w:rPr>
            </w:pPr>
            <w:r>
              <w:rPr>
                <w:rFonts w:ascii="Arial" w:cs="Arial" w:eastAsia="Arial" w:hAnsi="Arial"/>
                <w:sz w:val="14"/>
                <w:szCs w:val="14"/>
                <w:color w:val="auto"/>
              </w:rPr>
              <w:t>(“ESIP”)</w:t>
            </w:r>
          </w:p>
        </w:tc>
        <w:tc>
          <w:tcPr>
            <w:tcW w:w="1160" w:type="dxa"/>
            <w:vAlign w:val="bottom"/>
            <w:shd w:val="clear" w:color="auto" w:fill="D8D8D8"/>
          </w:tcPr>
          <w:p>
            <w:pPr>
              <w:ind w:left="120"/>
              <w:spacing w:after="0"/>
              <w:rPr>
                <w:sz w:val="20"/>
                <w:szCs w:val="20"/>
                <w:color w:val="auto"/>
              </w:rPr>
            </w:pPr>
            <w:r>
              <w:rPr>
                <w:rFonts w:ascii="Arial" w:cs="Arial" w:eastAsia="Arial" w:hAnsi="Arial"/>
                <w:sz w:val="14"/>
                <w:szCs w:val="14"/>
                <w:color w:val="auto"/>
              </w:rPr>
              <w:t>Contribution</w:t>
            </w:r>
          </w:p>
        </w:tc>
        <w:tc>
          <w:tcPr>
            <w:tcW w:w="2920" w:type="dxa"/>
            <w:vAlign w:val="bottom"/>
            <w:shd w:val="clear" w:color="auto" w:fill="D8D8D8"/>
          </w:tcPr>
          <w:p>
            <w:pPr>
              <w:ind w:left="160"/>
              <w:spacing w:after="0"/>
              <w:rPr>
                <w:sz w:val="20"/>
                <w:szCs w:val="20"/>
                <w:color w:val="auto"/>
              </w:rPr>
            </w:pPr>
            <w:r>
              <w:rPr>
                <w:rFonts w:ascii="Arial" w:cs="Arial" w:eastAsia="Arial" w:hAnsi="Arial"/>
                <w:sz w:val="14"/>
                <w:szCs w:val="14"/>
                <w:color w:val="auto"/>
              </w:rPr>
              <w:t>salary and CIP award) are eligible for a</w:t>
            </w:r>
          </w:p>
        </w:tc>
        <w:tc>
          <w:tcPr>
            <w:tcW w:w="5360" w:type="dxa"/>
            <w:vAlign w:val="bottom"/>
            <w:tcBorders>
              <w:right w:val="single" w:sz="8" w:color="7F7F7F"/>
            </w:tcBorders>
            <w:shd w:val="clear" w:color="auto" w:fill="D8D8D8"/>
          </w:tcPr>
          <w:p>
            <w:pPr>
              <w:spacing w:after="0"/>
              <w:rPr>
                <w:sz w:val="14"/>
                <w:szCs w:val="14"/>
                <w:color w:val="auto"/>
              </w:rPr>
            </w:pPr>
          </w:p>
        </w:tc>
      </w:tr>
      <w:tr>
        <w:trPr>
          <w:trHeight w:val="157"/>
        </w:trPr>
        <w:tc>
          <w:tcPr>
            <w:tcW w:w="1520" w:type="dxa"/>
            <w:vAlign w:val="bottom"/>
            <w:tcBorders>
              <w:left w:val="single" w:sz="8" w:color="7F7F7F"/>
            </w:tcBorders>
            <w:shd w:val="clear" w:color="auto" w:fill="D8D8D8"/>
          </w:tcPr>
          <w:p>
            <w:pPr>
              <w:spacing w:after="0"/>
              <w:rPr>
                <w:sz w:val="13"/>
                <w:szCs w:val="13"/>
                <w:color w:val="auto"/>
              </w:rPr>
            </w:pPr>
          </w:p>
        </w:tc>
        <w:tc>
          <w:tcPr>
            <w:tcW w:w="1160" w:type="dxa"/>
            <w:vAlign w:val="bottom"/>
            <w:shd w:val="clear" w:color="auto" w:fill="D8D8D8"/>
          </w:tcPr>
          <w:p>
            <w:pPr>
              <w:ind w:left="120"/>
              <w:spacing w:after="0" w:line="157" w:lineRule="exact"/>
              <w:rPr>
                <w:sz w:val="20"/>
                <w:szCs w:val="20"/>
                <w:color w:val="auto"/>
              </w:rPr>
            </w:pPr>
            <w:r>
              <w:rPr>
                <w:rFonts w:ascii="Arial" w:cs="Arial" w:eastAsia="Arial" w:hAnsi="Arial"/>
                <w:sz w:val="14"/>
                <w:szCs w:val="14"/>
                <w:color w:val="auto"/>
              </w:rPr>
              <w:t>(IRS §401(k))</w:t>
            </w:r>
          </w:p>
        </w:tc>
        <w:tc>
          <w:tcPr>
            <w:tcW w:w="2920" w:type="dxa"/>
            <w:vAlign w:val="bottom"/>
            <w:shd w:val="clear" w:color="auto" w:fill="D8D8D8"/>
          </w:tcPr>
          <w:p>
            <w:pPr>
              <w:ind w:left="160"/>
              <w:spacing w:after="0" w:line="157" w:lineRule="exact"/>
              <w:rPr>
                <w:sz w:val="20"/>
                <w:szCs w:val="20"/>
                <w:color w:val="auto"/>
              </w:rPr>
            </w:pPr>
            <w:r>
              <w:rPr>
                <w:rFonts w:ascii="Arial" w:cs="Arial" w:eastAsia="Arial" w:hAnsi="Arial"/>
                <w:sz w:val="14"/>
                <w:szCs w:val="14"/>
                <w:color w:val="auto"/>
              </w:rPr>
              <w:t>Company matching contribution, up to</w:t>
            </w:r>
          </w:p>
        </w:tc>
        <w:tc>
          <w:tcPr>
            <w:tcW w:w="5360" w:type="dxa"/>
            <w:vAlign w:val="bottom"/>
            <w:tcBorders>
              <w:right w:val="single" w:sz="8" w:color="7F7F7F"/>
            </w:tcBorders>
            <w:shd w:val="clear" w:color="auto" w:fill="D8D8D8"/>
          </w:tcPr>
          <w:p>
            <w:pPr>
              <w:spacing w:after="0"/>
              <w:rPr>
                <w:sz w:val="13"/>
                <w:szCs w:val="13"/>
                <w:color w:val="auto"/>
              </w:rPr>
            </w:pPr>
          </w:p>
        </w:tc>
      </w:tr>
      <w:tr>
        <w:trPr>
          <w:trHeight w:val="190"/>
        </w:trPr>
        <w:tc>
          <w:tcPr>
            <w:tcW w:w="1520" w:type="dxa"/>
            <w:vAlign w:val="bottom"/>
            <w:tcBorders>
              <w:left w:val="single" w:sz="8" w:color="7F7F7F"/>
            </w:tcBorders>
            <w:shd w:val="clear" w:color="auto" w:fill="D8D8D8"/>
          </w:tcPr>
          <w:p>
            <w:pPr>
              <w:spacing w:after="0"/>
              <w:rPr>
                <w:sz w:val="16"/>
                <w:szCs w:val="16"/>
                <w:color w:val="auto"/>
              </w:rPr>
            </w:pPr>
          </w:p>
        </w:tc>
        <w:tc>
          <w:tcPr>
            <w:tcW w:w="1160" w:type="dxa"/>
            <w:vAlign w:val="bottom"/>
            <w:shd w:val="clear" w:color="auto" w:fill="D8D8D8"/>
          </w:tcPr>
          <w:p>
            <w:pPr>
              <w:spacing w:after="0"/>
              <w:rPr>
                <w:sz w:val="16"/>
                <w:szCs w:val="16"/>
                <w:color w:val="auto"/>
              </w:rPr>
            </w:pPr>
          </w:p>
        </w:tc>
        <w:tc>
          <w:tcPr>
            <w:tcW w:w="2920" w:type="dxa"/>
            <w:vAlign w:val="bottom"/>
            <w:shd w:val="clear" w:color="auto" w:fill="D8D8D8"/>
          </w:tcPr>
          <w:p>
            <w:pPr>
              <w:ind w:left="160"/>
              <w:spacing w:after="0" w:line="190" w:lineRule="exact"/>
              <w:rPr>
                <w:sz w:val="20"/>
                <w:szCs w:val="20"/>
                <w:color w:val="auto"/>
              </w:rPr>
            </w:pPr>
            <w:r>
              <w:rPr>
                <w:rFonts w:ascii="Arial" w:cs="Arial" w:eastAsia="Arial" w:hAnsi="Arial"/>
                <w:sz w:val="13"/>
                <w:szCs w:val="13"/>
                <w:color w:val="auto"/>
              </w:rPr>
              <w:t>annual IRS limits.</w:t>
            </w:r>
            <w:r>
              <w:rPr>
                <w:rFonts w:ascii="Arial" w:cs="Arial" w:eastAsia="Arial" w:hAnsi="Arial"/>
                <w:sz w:val="22"/>
                <w:szCs w:val="22"/>
                <w:color w:val="auto"/>
                <w:vertAlign w:val="superscript"/>
              </w:rPr>
              <w:t>(2)</w:t>
            </w:r>
          </w:p>
        </w:tc>
        <w:tc>
          <w:tcPr>
            <w:tcW w:w="5360" w:type="dxa"/>
            <w:vAlign w:val="bottom"/>
            <w:tcBorders>
              <w:right w:val="single" w:sz="8" w:color="7F7F7F"/>
            </w:tcBorders>
            <w:shd w:val="clear" w:color="auto" w:fill="D8D8D8"/>
          </w:tcPr>
          <w:p>
            <w:pPr>
              <w:spacing w:after="0"/>
              <w:rPr>
                <w:sz w:val="16"/>
                <w:szCs w:val="16"/>
                <w:color w:val="auto"/>
              </w:rPr>
            </w:pPr>
          </w:p>
        </w:tc>
      </w:tr>
      <w:tr>
        <w:trPr>
          <w:trHeight w:val="207"/>
        </w:trPr>
        <w:tc>
          <w:tcPr>
            <w:tcW w:w="1520" w:type="dxa"/>
            <w:vAlign w:val="bottom"/>
            <w:tcBorders>
              <w:left w:val="single" w:sz="8" w:color="7F7F7F"/>
            </w:tcBorders>
          </w:tcPr>
          <w:p>
            <w:pPr>
              <w:ind w:left="140"/>
              <w:spacing w:after="0"/>
              <w:rPr>
                <w:sz w:val="20"/>
                <w:szCs w:val="20"/>
                <w:color w:val="auto"/>
              </w:rPr>
            </w:pPr>
            <w:r>
              <w:rPr>
                <w:rFonts w:ascii="Arial" w:cs="Arial" w:eastAsia="Arial" w:hAnsi="Arial"/>
                <w:sz w:val="14"/>
                <w:szCs w:val="14"/>
                <w:color w:val="auto"/>
              </w:rPr>
              <w:t>Employee Savings</w:t>
            </w:r>
          </w:p>
        </w:tc>
        <w:tc>
          <w:tcPr>
            <w:tcW w:w="1160" w:type="dxa"/>
            <w:vAlign w:val="bottom"/>
          </w:tcPr>
          <w:p>
            <w:pPr>
              <w:ind w:left="120"/>
              <w:spacing w:after="0"/>
              <w:rPr>
                <w:sz w:val="20"/>
                <w:szCs w:val="20"/>
                <w:color w:val="auto"/>
              </w:rPr>
            </w:pPr>
            <w:r>
              <w:rPr>
                <w:rFonts w:ascii="Arial" w:cs="Arial" w:eastAsia="Arial" w:hAnsi="Arial"/>
                <w:sz w:val="14"/>
                <w:szCs w:val="14"/>
                <w:color w:val="auto"/>
              </w:rPr>
              <w:t>Nonqualified</w:t>
            </w:r>
          </w:p>
        </w:tc>
        <w:tc>
          <w:tcPr>
            <w:tcW w:w="2920" w:type="dxa"/>
            <w:vAlign w:val="bottom"/>
          </w:tcPr>
          <w:p>
            <w:pPr>
              <w:ind w:left="160"/>
              <w:spacing w:after="0"/>
              <w:rPr>
                <w:sz w:val="20"/>
                <w:szCs w:val="20"/>
                <w:color w:val="auto"/>
              </w:rPr>
            </w:pPr>
            <w:r>
              <w:rPr>
                <w:rFonts w:ascii="Arial" w:cs="Arial" w:eastAsia="Arial" w:hAnsi="Arial"/>
                <w:sz w:val="14"/>
                <w:szCs w:val="14"/>
                <w:color w:val="auto"/>
              </w:rPr>
              <w:t>Provides participants with an additional</w:t>
            </w:r>
          </w:p>
        </w:tc>
        <w:tc>
          <w:tcPr>
            <w:tcW w:w="5360" w:type="dxa"/>
            <w:vAlign w:val="bottom"/>
            <w:tcBorders>
              <w:right w:val="single" w:sz="8" w:color="7F7F7F"/>
            </w:tcBorders>
          </w:tcPr>
          <w:p>
            <w:pPr>
              <w:ind w:left="80"/>
              <w:spacing w:after="0"/>
              <w:rPr>
                <w:sz w:val="20"/>
                <w:szCs w:val="20"/>
                <w:color w:val="auto"/>
              </w:rPr>
            </w:pPr>
            <w:r>
              <w:rPr>
                <w:rFonts w:ascii="Arial" w:cs="Arial" w:eastAsia="Arial" w:hAnsi="Arial"/>
                <w:sz w:val="14"/>
                <w:szCs w:val="14"/>
                <w:color w:val="auto"/>
              </w:rPr>
              <w:t>In the footnotes to the “Nonqualified Deferred Compensation Table” in this Proxy</w:t>
            </w:r>
          </w:p>
        </w:tc>
      </w:tr>
      <w:tr>
        <w:trPr>
          <w:trHeight w:val="162"/>
        </w:trPr>
        <w:tc>
          <w:tcPr>
            <w:tcW w:w="1520" w:type="dxa"/>
            <w:vAlign w:val="bottom"/>
            <w:tcBorders>
              <w:left w:val="single" w:sz="8" w:color="7F7F7F"/>
            </w:tcBorders>
          </w:tcPr>
          <w:p>
            <w:pPr>
              <w:ind w:left="140"/>
              <w:spacing w:after="0"/>
              <w:rPr>
                <w:sz w:val="20"/>
                <w:szCs w:val="20"/>
                <w:color w:val="auto"/>
              </w:rPr>
            </w:pPr>
            <w:r>
              <w:rPr>
                <w:rFonts w:ascii="Arial" w:cs="Arial" w:eastAsia="Arial" w:hAnsi="Arial"/>
                <w:sz w:val="14"/>
                <w:szCs w:val="14"/>
                <w:color w:val="auto"/>
              </w:rPr>
              <w:t>Investment Plan–</w:t>
            </w:r>
          </w:p>
        </w:tc>
        <w:tc>
          <w:tcPr>
            <w:tcW w:w="1160" w:type="dxa"/>
            <w:vAlign w:val="bottom"/>
          </w:tcPr>
          <w:p>
            <w:pPr>
              <w:ind w:left="120"/>
              <w:spacing w:after="0"/>
              <w:rPr>
                <w:sz w:val="20"/>
                <w:szCs w:val="20"/>
                <w:color w:val="auto"/>
              </w:rPr>
            </w:pPr>
            <w:r>
              <w:rPr>
                <w:rFonts w:ascii="Arial" w:cs="Arial" w:eastAsia="Arial" w:hAnsi="Arial"/>
                <w:sz w:val="14"/>
                <w:szCs w:val="14"/>
                <w:color w:val="auto"/>
              </w:rPr>
              <w:t>Defined</w:t>
            </w:r>
          </w:p>
        </w:tc>
        <w:tc>
          <w:tcPr>
            <w:tcW w:w="2920" w:type="dxa"/>
            <w:vAlign w:val="bottom"/>
          </w:tcPr>
          <w:p>
            <w:pPr>
              <w:ind w:left="160"/>
              <w:spacing w:after="0"/>
              <w:rPr>
                <w:sz w:val="20"/>
                <w:szCs w:val="20"/>
                <w:color w:val="auto"/>
              </w:rPr>
            </w:pPr>
            <w:r>
              <w:rPr>
                <w:rFonts w:ascii="Arial" w:cs="Arial" w:eastAsia="Arial" w:hAnsi="Arial"/>
                <w:sz w:val="14"/>
                <w:szCs w:val="14"/>
                <w:color w:val="auto"/>
              </w:rPr>
              <w:t>Company matching contribution that</w:t>
            </w:r>
          </w:p>
        </w:tc>
        <w:tc>
          <w:tcPr>
            <w:tcW w:w="5360" w:type="dxa"/>
            <w:vAlign w:val="bottom"/>
            <w:tcBorders>
              <w:right w:val="single" w:sz="8" w:color="7F7F7F"/>
            </w:tcBorders>
          </w:tcPr>
          <w:p>
            <w:pPr>
              <w:ind w:left="80"/>
              <w:spacing w:after="0"/>
              <w:rPr>
                <w:sz w:val="20"/>
                <w:szCs w:val="20"/>
                <w:color w:val="auto"/>
              </w:rPr>
            </w:pPr>
            <w:r>
              <w:rPr>
                <w:rFonts w:ascii="Arial" w:cs="Arial" w:eastAsia="Arial" w:hAnsi="Arial"/>
                <w:sz w:val="14"/>
                <w:szCs w:val="14"/>
                <w:color w:val="auto"/>
              </w:rPr>
              <w:t>Statement, we describe how the ESIP-RP works. In the “Summary Compensation</w:t>
            </w:r>
          </w:p>
        </w:tc>
      </w:tr>
      <w:tr>
        <w:trPr>
          <w:trHeight w:val="157"/>
        </w:trPr>
        <w:tc>
          <w:tcPr>
            <w:tcW w:w="1520" w:type="dxa"/>
            <w:vAlign w:val="bottom"/>
            <w:tcBorders>
              <w:left w:val="single" w:sz="8" w:color="7F7F7F"/>
            </w:tcBorders>
          </w:tcPr>
          <w:p>
            <w:pPr>
              <w:ind w:left="140"/>
              <w:spacing w:after="0" w:line="157" w:lineRule="exact"/>
              <w:rPr>
                <w:sz w:val="20"/>
                <w:szCs w:val="20"/>
                <w:color w:val="auto"/>
              </w:rPr>
            </w:pPr>
            <w:r>
              <w:rPr>
                <w:rFonts w:ascii="Arial" w:cs="Arial" w:eastAsia="Arial" w:hAnsi="Arial"/>
                <w:sz w:val="14"/>
                <w:szCs w:val="14"/>
                <w:color w:val="auto"/>
              </w:rPr>
              <w:t>Restoration Plan</w:t>
            </w:r>
          </w:p>
        </w:tc>
        <w:tc>
          <w:tcPr>
            <w:tcW w:w="1160" w:type="dxa"/>
            <w:vAlign w:val="bottom"/>
          </w:tcPr>
          <w:p>
            <w:pPr>
              <w:ind w:left="120"/>
              <w:spacing w:after="0" w:line="157" w:lineRule="exact"/>
              <w:rPr>
                <w:sz w:val="20"/>
                <w:szCs w:val="20"/>
                <w:color w:val="auto"/>
              </w:rPr>
            </w:pPr>
            <w:r>
              <w:rPr>
                <w:rFonts w:ascii="Arial" w:cs="Arial" w:eastAsia="Arial" w:hAnsi="Arial"/>
                <w:sz w:val="14"/>
                <w:szCs w:val="14"/>
                <w:color w:val="auto"/>
              </w:rPr>
              <w:t>Contribution</w:t>
            </w:r>
          </w:p>
        </w:tc>
        <w:tc>
          <w:tcPr>
            <w:tcW w:w="2920" w:type="dxa"/>
            <w:vAlign w:val="bottom"/>
          </w:tcPr>
          <w:p>
            <w:pPr>
              <w:ind w:left="160"/>
              <w:spacing w:after="0" w:line="157" w:lineRule="exact"/>
              <w:rPr>
                <w:sz w:val="20"/>
                <w:szCs w:val="20"/>
                <w:color w:val="auto"/>
              </w:rPr>
            </w:pPr>
            <w:r>
              <w:rPr>
                <w:rFonts w:ascii="Arial" w:cs="Arial" w:eastAsia="Arial" w:hAnsi="Arial"/>
                <w:sz w:val="14"/>
                <w:szCs w:val="14"/>
                <w:color w:val="auto"/>
              </w:rPr>
              <w:t>cannot be paid into the ESIP due to IRS</w:t>
            </w:r>
          </w:p>
        </w:tc>
        <w:tc>
          <w:tcPr>
            <w:tcW w:w="5360" w:type="dxa"/>
            <w:vAlign w:val="bottom"/>
            <w:tcBorders>
              <w:right w:val="single" w:sz="8" w:color="7F7F7F"/>
            </w:tcBorders>
          </w:tcPr>
          <w:p>
            <w:pPr>
              <w:ind w:left="80"/>
              <w:spacing w:after="0" w:line="157" w:lineRule="exact"/>
              <w:rPr>
                <w:sz w:val="20"/>
                <w:szCs w:val="20"/>
                <w:color w:val="auto"/>
              </w:rPr>
            </w:pPr>
            <w:r>
              <w:rPr>
                <w:rFonts w:ascii="Arial" w:cs="Arial" w:eastAsia="Arial" w:hAnsi="Arial"/>
                <w:sz w:val="14"/>
                <w:szCs w:val="14"/>
                <w:color w:val="auto"/>
              </w:rPr>
              <w:t>Table” and the “Nonqualified Deferred Compensation Table,” we present</w:t>
            </w:r>
          </w:p>
        </w:tc>
      </w:tr>
      <w:tr>
        <w:trPr>
          <w:trHeight w:val="231"/>
        </w:trPr>
        <w:tc>
          <w:tcPr>
            <w:tcW w:w="1520" w:type="dxa"/>
            <w:vAlign w:val="bottom"/>
            <w:tcBorders>
              <w:left w:val="single" w:sz="8" w:color="7F7F7F"/>
            </w:tcBorders>
          </w:tcPr>
          <w:p>
            <w:pPr>
              <w:ind w:left="140"/>
              <w:spacing w:after="0"/>
              <w:rPr>
                <w:sz w:val="20"/>
                <w:szCs w:val="20"/>
                <w:color w:val="auto"/>
              </w:rPr>
            </w:pPr>
            <w:r>
              <w:rPr>
                <w:rFonts w:ascii="Arial" w:cs="Arial" w:eastAsia="Arial" w:hAnsi="Arial"/>
                <w:sz w:val="14"/>
                <w:szCs w:val="14"/>
                <w:color w:val="auto"/>
              </w:rPr>
              <w:t>(“ESIP-RP”)</w:t>
            </w:r>
          </w:p>
        </w:tc>
        <w:tc>
          <w:tcPr>
            <w:tcW w:w="1160" w:type="dxa"/>
            <w:vAlign w:val="bottom"/>
          </w:tcPr>
          <w:p>
            <w:pPr>
              <w:spacing w:after="0"/>
              <w:rPr>
                <w:sz w:val="20"/>
                <w:szCs w:val="20"/>
                <w:color w:val="auto"/>
              </w:rPr>
            </w:pPr>
          </w:p>
        </w:tc>
        <w:tc>
          <w:tcPr>
            <w:tcW w:w="2920" w:type="dxa"/>
            <w:vAlign w:val="bottom"/>
          </w:tcPr>
          <w:p>
            <w:pPr>
              <w:ind w:left="160"/>
              <w:spacing w:after="0" w:line="230" w:lineRule="exact"/>
              <w:rPr>
                <w:sz w:val="20"/>
                <w:szCs w:val="20"/>
                <w:color w:val="auto"/>
              </w:rPr>
            </w:pPr>
            <w:r>
              <w:rPr>
                <w:rFonts w:ascii="Arial" w:cs="Arial" w:eastAsia="Arial" w:hAnsi="Arial"/>
                <w:sz w:val="14"/>
                <w:szCs w:val="14"/>
                <w:color w:val="auto"/>
              </w:rPr>
              <w:t>limits on compensation and benefits.</w:t>
            </w:r>
            <w:r>
              <w:rPr>
                <w:rFonts w:ascii="Arial" w:cs="Arial" w:eastAsia="Arial" w:hAnsi="Arial"/>
                <w:sz w:val="24"/>
                <w:szCs w:val="24"/>
                <w:color w:val="auto"/>
                <w:vertAlign w:val="superscript"/>
              </w:rPr>
              <w:t>(3)</w:t>
            </w:r>
          </w:p>
        </w:tc>
        <w:tc>
          <w:tcPr>
            <w:tcW w:w="5360" w:type="dxa"/>
            <w:vAlign w:val="bottom"/>
            <w:tcBorders>
              <w:right w:val="single" w:sz="8" w:color="7F7F7F"/>
            </w:tcBorders>
          </w:tcPr>
          <w:p>
            <w:pPr>
              <w:ind w:left="80"/>
              <w:spacing w:after="0"/>
              <w:rPr>
                <w:sz w:val="20"/>
                <w:szCs w:val="20"/>
                <w:color w:val="auto"/>
              </w:rPr>
            </w:pPr>
            <w:r>
              <w:rPr>
                <w:rFonts w:ascii="Arial" w:cs="Arial" w:eastAsia="Arial" w:hAnsi="Arial"/>
                <w:sz w:val="14"/>
                <w:szCs w:val="14"/>
                <w:color w:val="auto"/>
              </w:rPr>
              <w:t>Chevron’s contributions to each NEO’s ESIP-RP account.</w:t>
            </w:r>
          </w:p>
        </w:tc>
      </w:tr>
      <w:tr>
        <w:trPr>
          <w:trHeight w:val="207"/>
        </w:trPr>
        <w:tc>
          <w:tcPr>
            <w:tcW w:w="1520" w:type="dxa"/>
            <w:vAlign w:val="bottom"/>
            <w:tcBorders>
              <w:left w:val="single" w:sz="8" w:color="7F7F7F"/>
            </w:tcBorders>
            <w:shd w:val="clear" w:color="auto" w:fill="D8D8D8"/>
          </w:tcPr>
          <w:p>
            <w:pPr>
              <w:ind w:left="140"/>
              <w:spacing w:after="0"/>
              <w:rPr>
                <w:sz w:val="20"/>
                <w:szCs w:val="20"/>
                <w:color w:val="auto"/>
              </w:rPr>
            </w:pPr>
            <w:r>
              <w:rPr>
                <w:rFonts w:ascii="Arial" w:cs="Arial" w:eastAsia="Arial" w:hAnsi="Arial"/>
                <w:sz w:val="14"/>
                <w:szCs w:val="14"/>
                <w:color w:val="auto"/>
              </w:rPr>
              <w:t>Deferred</w:t>
            </w:r>
          </w:p>
        </w:tc>
        <w:tc>
          <w:tcPr>
            <w:tcW w:w="1160" w:type="dxa"/>
            <w:vAlign w:val="bottom"/>
            <w:shd w:val="clear" w:color="auto" w:fill="D8D8D8"/>
          </w:tcPr>
          <w:p>
            <w:pPr>
              <w:ind w:left="120"/>
              <w:spacing w:after="0"/>
              <w:rPr>
                <w:sz w:val="20"/>
                <w:szCs w:val="20"/>
                <w:color w:val="auto"/>
              </w:rPr>
            </w:pPr>
            <w:r>
              <w:rPr>
                <w:rFonts w:ascii="Arial" w:cs="Arial" w:eastAsia="Arial" w:hAnsi="Arial"/>
                <w:sz w:val="14"/>
                <w:szCs w:val="14"/>
                <w:color w:val="auto"/>
              </w:rPr>
              <w:t>Nonqualified</w:t>
            </w:r>
          </w:p>
        </w:tc>
        <w:tc>
          <w:tcPr>
            <w:tcW w:w="2920" w:type="dxa"/>
            <w:vAlign w:val="bottom"/>
            <w:shd w:val="clear" w:color="auto" w:fill="D8D8D8"/>
          </w:tcPr>
          <w:p>
            <w:pPr>
              <w:ind w:left="160"/>
              <w:spacing w:after="0"/>
              <w:rPr>
                <w:sz w:val="20"/>
                <w:szCs w:val="20"/>
                <w:color w:val="auto"/>
              </w:rPr>
            </w:pPr>
            <w:r>
              <w:rPr>
                <w:rFonts w:ascii="Arial" w:cs="Arial" w:eastAsia="Arial" w:hAnsi="Arial"/>
                <w:sz w:val="14"/>
                <w:szCs w:val="14"/>
                <w:color w:val="auto"/>
              </w:rPr>
              <w:t>Participants can defer up to:</w:t>
            </w:r>
          </w:p>
        </w:tc>
        <w:tc>
          <w:tcPr>
            <w:tcW w:w="5360" w:type="dxa"/>
            <w:vAlign w:val="bottom"/>
            <w:tcBorders>
              <w:right w:val="single" w:sz="8" w:color="7F7F7F"/>
            </w:tcBorders>
            <w:shd w:val="clear" w:color="auto" w:fill="D8D8D8"/>
          </w:tcPr>
          <w:p>
            <w:pPr>
              <w:ind w:left="80"/>
              <w:spacing w:after="0"/>
              <w:rPr>
                <w:sz w:val="20"/>
                <w:szCs w:val="20"/>
                <w:color w:val="auto"/>
              </w:rPr>
            </w:pPr>
            <w:r>
              <w:rPr>
                <w:rFonts w:ascii="Arial" w:cs="Arial" w:eastAsia="Arial" w:hAnsi="Arial"/>
                <w:sz w:val="14"/>
                <w:szCs w:val="14"/>
                <w:color w:val="auto"/>
              </w:rPr>
              <w:t>In the “Nonqualified Deferred Compensation Table” in this Proxy Statement, we</w:t>
            </w:r>
          </w:p>
        </w:tc>
      </w:tr>
      <w:tr>
        <w:trPr>
          <w:trHeight w:val="185"/>
        </w:trPr>
        <w:tc>
          <w:tcPr>
            <w:tcW w:w="1520" w:type="dxa"/>
            <w:vAlign w:val="bottom"/>
            <w:tcBorders>
              <w:left w:val="single" w:sz="8" w:color="7F7F7F"/>
            </w:tcBorders>
            <w:shd w:val="clear" w:color="auto" w:fill="D8D8D8"/>
          </w:tcPr>
          <w:p>
            <w:pPr>
              <w:ind w:left="140"/>
              <w:spacing w:after="0"/>
              <w:rPr>
                <w:sz w:val="20"/>
                <w:szCs w:val="20"/>
                <w:color w:val="auto"/>
              </w:rPr>
            </w:pPr>
            <w:r>
              <w:rPr>
                <w:rFonts w:ascii="Arial" w:cs="Arial" w:eastAsia="Arial" w:hAnsi="Arial"/>
                <w:sz w:val="14"/>
                <w:szCs w:val="14"/>
                <w:color w:val="auto"/>
              </w:rPr>
              <w:t>Compensation Plan</w:t>
            </w:r>
          </w:p>
        </w:tc>
        <w:tc>
          <w:tcPr>
            <w:tcW w:w="1160" w:type="dxa"/>
            <w:vAlign w:val="bottom"/>
            <w:shd w:val="clear" w:color="auto" w:fill="D8D8D8"/>
          </w:tcPr>
          <w:p>
            <w:pPr>
              <w:ind w:left="120"/>
              <w:spacing w:after="0"/>
              <w:rPr>
                <w:sz w:val="20"/>
                <w:szCs w:val="20"/>
                <w:color w:val="auto"/>
              </w:rPr>
            </w:pPr>
            <w:r>
              <w:rPr>
                <w:rFonts w:ascii="Arial" w:cs="Arial" w:eastAsia="Arial" w:hAnsi="Arial"/>
                <w:sz w:val="14"/>
                <w:szCs w:val="14"/>
                <w:color w:val="auto"/>
              </w:rPr>
              <w:t>Defined</w:t>
            </w:r>
          </w:p>
        </w:tc>
        <w:tc>
          <w:tcPr>
            <w:tcW w:w="2920" w:type="dxa"/>
            <w:vAlign w:val="bottom"/>
            <w:shd w:val="clear" w:color="auto" w:fill="D8D8D8"/>
          </w:tcPr>
          <w:p>
            <w:pPr>
              <w:ind w:left="160"/>
              <w:spacing w:after="0"/>
              <w:rPr>
                <w:sz w:val="20"/>
                <w:szCs w:val="20"/>
                <w:color w:val="auto"/>
              </w:rPr>
            </w:pPr>
            <w:r>
              <w:rPr>
                <w:rFonts w:ascii="Arial" w:cs="Arial" w:eastAsia="Arial" w:hAnsi="Arial"/>
                <w:sz w:val="14"/>
                <w:szCs w:val="14"/>
                <w:color w:val="auto"/>
              </w:rPr>
              <w:t>•  90% of CIP awards and LTIP</w:t>
            </w:r>
          </w:p>
        </w:tc>
        <w:tc>
          <w:tcPr>
            <w:tcW w:w="5360" w:type="dxa"/>
            <w:vAlign w:val="bottom"/>
            <w:tcBorders>
              <w:right w:val="single" w:sz="8" w:color="7F7F7F"/>
            </w:tcBorders>
            <w:shd w:val="clear" w:color="auto" w:fill="D8D8D8"/>
          </w:tcPr>
          <w:p>
            <w:pPr>
              <w:ind w:left="80"/>
              <w:spacing w:after="0"/>
              <w:rPr>
                <w:sz w:val="20"/>
                <w:szCs w:val="20"/>
                <w:color w:val="auto"/>
              </w:rPr>
            </w:pPr>
            <w:r>
              <w:rPr>
                <w:rFonts w:ascii="Arial" w:cs="Arial" w:eastAsia="Arial" w:hAnsi="Arial"/>
                <w:sz w:val="14"/>
                <w:szCs w:val="14"/>
                <w:color w:val="auto"/>
              </w:rPr>
              <w:t>report the aggregate NEO deferrals and earnings in 2021.</w:t>
            </w:r>
          </w:p>
        </w:tc>
      </w:tr>
      <w:tr>
        <w:trPr>
          <w:trHeight w:val="208"/>
        </w:trPr>
        <w:tc>
          <w:tcPr>
            <w:tcW w:w="1520" w:type="dxa"/>
            <w:vAlign w:val="bottom"/>
            <w:tcBorders>
              <w:left w:val="single" w:sz="8" w:color="7F7F7F"/>
            </w:tcBorders>
            <w:shd w:val="clear" w:color="auto" w:fill="D8D8D8"/>
          </w:tcPr>
          <w:p>
            <w:pPr>
              <w:ind w:left="140"/>
              <w:spacing w:after="0"/>
              <w:rPr>
                <w:sz w:val="20"/>
                <w:szCs w:val="20"/>
                <w:color w:val="auto"/>
              </w:rPr>
            </w:pPr>
            <w:r>
              <w:rPr>
                <w:rFonts w:ascii="Arial" w:cs="Arial" w:eastAsia="Arial" w:hAnsi="Arial"/>
                <w:sz w:val="14"/>
                <w:szCs w:val="14"/>
                <w:color w:val="auto"/>
              </w:rPr>
              <w:t>(“DCP”)</w:t>
            </w:r>
          </w:p>
        </w:tc>
        <w:tc>
          <w:tcPr>
            <w:tcW w:w="1160" w:type="dxa"/>
            <w:vAlign w:val="bottom"/>
            <w:shd w:val="clear" w:color="auto" w:fill="D8D8D8"/>
          </w:tcPr>
          <w:p>
            <w:pPr>
              <w:ind w:left="120"/>
              <w:spacing w:after="0"/>
              <w:rPr>
                <w:sz w:val="20"/>
                <w:szCs w:val="20"/>
                <w:color w:val="auto"/>
              </w:rPr>
            </w:pPr>
            <w:r>
              <w:rPr>
                <w:rFonts w:ascii="Arial" w:cs="Arial" w:eastAsia="Arial" w:hAnsi="Arial"/>
                <w:sz w:val="14"/>
                <w:szCs w:val="14"/>
                <w:color w:val="auto"/>
              </w:rPr>
              <w:t>Contribution</w:t>
            </w:r>
          </w:p>
        </w:tc>
        <w:tc>
          <w:tcPr>
            <w:tcW w:w="2920" w:type="dxa"/>
            <w:vAlign w:val="bottom"/>
            <w:shd w:val="clear" w:color="auto" w:fill="D8D8D8"/>
          </w:tcPr>
          <w:p>
            <w:pPr>
              <w:ind w:left="380"/>
              <w:spacing w:after="0"/>
              <w:rPr>
                <w:sz w:val="20"/>
                <w:szCs w:val="20"/>
                <w:color w:val="auto"/>
              </w:rPr>
            </w:pPr>
            <w:r>
              <w:rPr>
                <w:rFonts w:ascii="Arial" w:cs="Arial" w:eastAsia="Arial" w:hAnsi="Arial"/>
                <w:sz w:val="14"/>
                <w:szCs w:val="14"/>
                <w:color w:val="auto"/>
              </w:rPr>
              <w:t>performance share payouts; and</w:t>
            </w:r>
          </w:p>
        </w:tc>
        <w:tc>
          <w:tcPr>
            <w:tcW w:w="5360" w:type="dxa"/>
            <w:vAlign w:val="bottom"/>
            <w:tcBorders>
              <w:right w:val="single" w:sz="8" w:color="7F7F7F"/>
            </w:tcBorders>
            <w:shd w:val="clear" w:color="auto" w:fill="D8D8D8"/>
          </w:tcPr>
          <w:p>
            <w:pPr>
              <w:spacing w:after="0"/>
              <w:rPr>
                <w:sz w:val="18"/>
                <w:szCs w:val="18"/>
                <w:color w:val="auto"/>
              </w:rPr>
            </w:pPr>
          </w:p>
        </w:tc>
      </w:tr>
      <w:tr>
        <w:trPr>
          <w:trHeight w:val="174"/>
        </w:trPr>
        <w:tc>
          <w:tcPr>
            <w:tcW w:w="1520" w:type="dxa"/>
            <w:vAlign w:val="bottom"/>
            <w:tcBorders>
              <w:left w:val="single" w:sz="8" w:color="7F7F7F"/>
            </w:tcBorders>
            <w:shd w:val="clear" w:color="auto" w:fill="D8D8D8"/>
          </w:tcPr>
          <w:p>
            <w:pPr>
              <w:spacing w:after="0"/>
              <w:rPr>
                <w:sz w:val="15"/>
                <w:szCs w:val="15"/>
                <w:color w:val="auto"/>
              </w:rPr>
            </w:pPr>
          </w:p>
        </w:tc>
        <w:tc>
          <w:tcPr>
            <w:tcW w:w="1160" w:type="dxa"/>
            <w:vAlign w:val="bottom"/>
            <w:shd w:val="clear" w:color="auto" w:fill="D8D8D8"/>
          </w:tcPr>
          <w:p>
            <w:pPr>
              <w:spacing w:after="0"/>
              <w:rPr>
                <w:sz w:val="15"/>
                <w:szCs w:val="15"/>
                <w:color w:val="auto"/>
              </w:rPr>
            </w:pPr>
          </w:p>
        </w:tc>
        <w:tc>
          <w:tcPr>
            <w:tcW w:w="2920" w:type="dxa"/>
            <w:vAlign w:val="bottom"/>
            <w:shd w:val="clear" w:color="auto" w:fill="D8D8D8"/>
          </w:tcPr>
          <w:p>
            <w:pPr>
              <w:ind w:left="160"/>
              <w:spacing w:after="0"/>
              <w:rPr>
                <w:sz w:val="20"/>
                <w:szCs w:val="20"/>
                <w:color w:val="auto"/>
              </w:rPr>
            </w:pPr>
            <w:r>
              <w:rPr>
                <w:rFonts w:ascii="Arial" w:cs="Arial" w:eastAsia="Arial" w:hAnsi="Arial"/>
                <w:sz w:val="14"/>
                <w:szCs w:val="14"/>
                <w:color w:val="auto"/>
              </w:rPr>
              <w:t>•  40% of base salary above the IRS limit</w:t>
            </w:r>
          </w:p>
        </w:tc>
        <w:tc>
          <w:tcPr>
            <w:tcW w:w="5360" w:type="dxa"/>
            <w:vAlign w:val="bottom"/>
            <w:tcBorders>
              <w:right w:val="single" w:sz="8" w:color="7F7F7F"/>
            </w:tcBorders>
            <w:shd w:val="clear" w:color="auto" w:fill="D8D8D8"/>
          </w:tcPr>
          <w:p>
            <w:pPr>
              <w:spacing w:after="0"/>
              <w:rPr>
                <w:sz w:val="15"/>
                <w:szCs w:val="15"/>
                <w:color w:val="auto"/>
              </w:rPr>
            </w:pPr>
          </w:p>
        </w:tc>
      </w:tr>
      <w:tr>
        <w:trPr>
          <w:trHeight w:val="162"/>
        </w:trPr>
        <w:tc>
          <w:tcPr>
            <w:tcW w:w="1520" w:type="dxa"/>
            <w:vAlign w:val="bottom"/>
            <w:tcBorders>
              <w:left w:val="single" w:sz="8" w:color="7F7F7F"/>
            </w:tcBorders>
            <w:shd w:val="clear" w:color="auto" w:fill="D8D8D8"/>
          </w:tcPr>
          <w:p>
            <w:pPr>
              <w:spacing w:after="0"/>
              <w:rPr>
                <w:sz w:val="14"/>
                <w:szCs w:val="14"/>
                <w:color w:val="auto"/>
              </w:rPr>
            </w:pPr>
          </w:p>
        </w:tc>
        <w:tc>
          <w:tcPr>
            <w:tcW w:w="1160" w:type="dxa"/>
            <w:vAlign w:val="bottom"/>
            <w:shd w:val="clear" w:color="auto" w:fill="D8D8D8"/>
          </w:tcPr>
          <w:p>
            <w:pPr>
              <w:spacing w:after="0"/>
              <w:rPr>
                <w:sz w:val="14"/>
                <w:szCs w:val="14"/>
                <w:color w:val="auto"/>
              </w:rPr>
            </w:pPr>
          </w:p>
        </w:tc>
        <w:tc>
          <w:tcPr>
            <w:tcW w:w="2920" w:type="dxa"/>
            <w:vAlign w:val="bottom"/>
            <w:shd w:val="clear" w:color="auto" w:fill="D8D8D8"/>
          </w:tcPr>
          <w:p>
            <w:pPr>
              <w:ind w:left="380"/>
              <w:spacing w:after="0"/>
              <w:rPr>
                <w:sz w:val="20"/>
                <w:szCs w:val="20"/>
                <w:color w:val="auto"/>
              </w:rPr>
            </w:pPr>
            <w:r>
              <w:rPr>
                <w:rFonts w:ascii="Arial" w:cs="Arial" w:eastAsia="Arial" w:hAnsi="Arial"/>
                <w:sz w:val="14"/>
                <w:szCs w:val="14"/>
                <w:color w:val="auto"/>
              </w:rPr>
              <w:t>(IRS §401(a)(17)) for payment after</w:t>
            </w:r>
          </w:p>
        </w:tc>
        <w:tc>
          <w:tcPr>
            <w:tcW w:w="5360" w:type="dxa"/>
            <w:vAlign w:val="bottom"/>
            <w:tcBorders>
              <w:right w:val="single" w:sz="8" w:color="7F7F7F"/>
            </w:tcBorders>
            <w:shd w:val="clear" w:color="auto" w:fill="D8D8D8"/>
          </w:tcPr>
          <w:p>
            <w:pPr>
              <w:spacing w:after="0"/>
              <w:rPr>
                <w:sz w:val="14"/>
                <w:szCs w:val="14"/>
                <w:color w:val="auto"/>
              </w:rPr>
            </w:pPr>
          </w:p>
        </w:tc>
      </w:tr>
      <w:tr>
        <w:trPr>
          <w:trHeight w:val="205"/>
        </w:trPr>
        <w:tc>
          <w:tcPr>
            <w:tcW w:w="1520" w:type="dxa"/>
            <w:vAlign w:val="bottom"/>
            <w:tcBorders>
              <w:left w:val="single" w:sz="8" w:color="7F7F7F"/>
              <w:bottom w:val="single" w:sz="8" w:color="D8D8D8"/>
            </w:tcBorders>
            <w:shd w:val="clear" w:color="auto" w:fill="D8D8D8"/>
          </w:tcPr>
          <w:p>
            <w:pPr>
              <w:spacing w:after="0"/>
              <w:rPr>
                <w:sz w:val="17"/>
                <w:szCs w:val="17"/>
                <w:color w:val="auto"/>
              </w:rPr>
            </w:pPr>
          </w:p>
        </w:tc>
        <w:tc>
          <w:tcPr>
            <w:tcW w:w="1160" w:type="dxa"/>
            <w:vAlign w:val="bottom"/>
            <w:tcBorders>
              <w:bottom w:val="single" w:sz="8" w:color="D8D8D8"/>
            </w:tcBorders>
            <w:shd w:val="clear" w:color="auto" w:fill="D8D8D8"/>
          </w:tcPr>
          <w:p>
            <w:pPr>
              <w:spacing w:after="0"/>
              <w:rPr>
                <w:sz w:val="17"/>
                <w:szCs w:val="17"/>
                <w:color w:val="auto"/>
              </w:rPr>
            </w:pPr>
          </w:p>
        </w:tc>
        <w:tc>
          <w:tcPr>
            <w:tcW w:w="2920" w:type="dxa"/>
            <w:vAlign w:val="bottom"/>
            <w:tcBorders>
              <w:bottom w:val="single" w:sz="8" w:color="D8D8D8"/>
            </w:tcBorders>
            <w:shd w:val="clear" w:color="auto" w:fill="D8D8D8"/>
          </w:tcPr>
          <w:p>
            <w:pPr>
              <w:ind w:left="380"/>
              <w:spacing w:after="0"/>
              <w:rPr>
                <w:sz w:val="20"/>
                <w:szCs w:val="20"/>
                <w:color w:val="auto"/>
              </w:rPr>
            </w:pPr>
            <w:r>
              <w:rPr>
                <w:rFonts w:ascii="Arial" w:cs="Arial" w:eastAsia="Arial" w:hAnsi="Arial"/>
                <w:sz w:val="14"/>
                <w:szCs w:val="14"/>
                <w:color w:val="auto"/>
              </w:rPr>
              <w:t>retirement or separation from service.</w:t>
            </w:r>
          </w:p>
        </w:tc>
        <w:tc>
          <w:tcPr>
            <w:tcW w:w="5360" w:type="dxa"/>
            <w:vAlign w:val="bottom"/>
            <w:tcBorders>
              <w:bottom w:val="single" w:sz="8" w:color="D8D8D8"/>
              <w:right w:val="single" w:sz="8" w:color="7F7F7F"/>
            </w:tcBorders>
            <w:shd w:val="clear" w:color="auto" w:fill="D8D8D8"/>
          </w:tcPr>
          <w:p>
            <w:pPr>
              <w:spacing w:after="0"/>
              <w:rPr>
                <w:sz w:val="17"/>
                <w:szCs w:val="17"/>
                <w:color w:val="auto"/>
              </w:rPr>
            </w:pPr>
          </w:p>
        </w:tc>
      </w:tr>
      <w:tr>
        <w:trPr>
          <w:trHeight w:val="20"/>
        </w:trPr>
        <w:tc>
          <w:tcPr>
            <w:tcW w:w="1520" w:type="dxa"/>
            <w:vAlign w:val="bottom"/>
            <w:tcBorders>
              <w:left w:val="single" w:sz="8" w:color="7F7F7F"/>
            </w:tcBorders>
            <w:shd w:val="clear" w:color="auto" w:fill="7F7F7F"/>
          </w:tcPr>
          <w:p>
            <w:pPr>
              <w:spacing w:after="0" w:line="20" w:lineRule="exact"/>
              <w:rPr>
                <w:sz w:val="1"/>
                <w:szCs w:val="1"/>
                <w:color w:val="auto"/>
              </w:rPr>
            </w:pPr>
          </w:p>
        </w:tc>
        <w:tc>
          <w:tcPr>
            <w:tcW w:w="1160" w:type="dxa"/>
            <w:vAlign w:val="bottom"/>
            <w:shd w:val="clear" w:color="auto" w:fill="7F7F7F"/>
          </w:tcPr>
          <w:p>
            <w:pPr>
              <w:spacing w:after="0" w:line="20" w:lineRule="exact"/>
              <w:rPr>
                <w:sz w:val="1"/>
                <w:szCs w:val="1"/>
                <w:color w:val="auto"/>
              </w:rPr>
            </w:pPr>
          </w:p>
        </w:tc>
        <w:tc>
          <w:tcPr>
            <w:tcW w:w="2920" w:type="dxa"/>
            <w:vAlign w:val="bottom"/>
            <w:shd w:val="clear" w:color="auto" w:fill="7F7F7F"/>
          </w:tcPr>
          <w:p>
            <w:pPr>
              <w:spacing w:after="0" w:line="20" w:lineRule="exact"/>
              <w:rPr>
                <w:sz w:val="1"/>
                <w:szCs w:val="1"/>
                <w:color w:val="auto"/>
              </w:rPr>
            </w:pPr>
          </w:p>
        </w:tc>
        <w:tc>
          <w:tcPr>
            <w:tcW w:w="5360" w:type="dxa"/>
            <w:vAlign w:val="bottom"/>
            <w:tcBorders>
              <w:right w:val="single" w:sz="8" w:color="7F7F7F"/>
            </w:tcBorders>
            <w:shd w:val="clear" w:color="auto" w:fill="7F7F7F"/>
          </w:tcPr>
          <w:p>
            <w:pPr>
              <w:spacing w:after="0" w:line="20" w:lineRule="exact"/>
              <w:rPr>
                <w:sz w:val="1"/>
                <w:szCs w:val="1"/>
                <w:color w:val="auto"/>
              </w:rPr>
            </w:pPr>
          </w:p>
        </w:tc>
      </w:tr>
    </w:tbl>
    <w:p>
      <w:pPr>
        <w:spacing w:after="0" w:line="31" w:lineRule="exact"/>
        <w:rPr>
          <w:sz w:val="20"/>
          <w:szCs w:val="20"/>
          <w:color w:val="auto"/>
        </w:rPr>
      </w:pPr>
    </w:p>
    <w:p>
      <w:pPr>
        <w:ind w:left="540" w:hanging="424"/>
        <w:spacing w:after="0"/>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IRS annual compensation limit was $290,000 in 2021.</w:t>
      </w:r>
    </w:p>
    <w:p>
      <w:pPr>
        <w:spacing w:after="0" w:line="41" w:lineRule="exact"/>
        <w:rPr>
          <w:rFonts w:ascii="Arial" w:cs="Arial" w:eastAsia="Arial" w:hAnsi="Arial"/>
          <w:sz w:val="14"/>
          <w:szCs w:val="14"/>
          <w:color w:val="auto"/>
        </w:rPr>
      </w:pPr>
    </w:p>
    <w:p>
      <w:pPr>
        <w:ind w:left="540" w:hanging="424"/>
        <w:spacing w:after="0"/>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Participants who contribute at least 2% of their annual compensation to the ESIP receive a Company matching contribution of 8% (or 4% if they contribute 1%).</w:t>
      </w:r>
    </w:p>
    <w:p>
      <w:pPr>
        <w:spacing w:after="0" w:line="41" w:lineRule="exact"/>
        <w:rPr>
          <w:rFonts w:ascii="Arial" w:cs="Arial" w:eastAsia="Arial" w:hAnsi="Arial"/>
          <w:sz w:val="14"/>
          <w:szCs w:val="14"/>
          <w:color w:val="auto"/>
        </w:rPr>
      </w:pPr>
    </w:p>
    <w:p>
      <w:pPr>
        <w:ind w:left="540" w:right="200" w:hanging="424"/>
        <w:spacing w:after="0" w:line="285" w:lineRule="auto"/>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Participants who contribute at least 2% of their base salary to the DCP receive an ESIP-RP Company matching contribution of 8% of their base salary that exceeds the IRS annual compensation limit.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Chevron Corporation – 2022 Proxy Statement</w:t>
      </w:r>
    </w:p>
    <w:p>
      <w:pPr>
        <w:sectPr>
          <w:pgSz w:w="11900" w:h="16838" w:orient="portrait"/>
          <w:cols w:equalWidth="0" w:num="1">
            <w:col w:w="11120"/>
          </w:cols>
          <w:pgMar w:left="320" w:top="455" w:right="459" w:bottom="1440" w:gutter="0" w:footer="0" w:header="0"/>
        </w:sectPr>
      </w:pPr>
    </w:p>
    <w:p>
      <w:pPr>
        <w:spacing w:after="0" w:line="67"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120"/>
          </w:cols>
          <w:pgMar w:left="320" w:top="455" w:right="459" w:bottom="1440" w:gutter="0" w:footer="0" w:header="0"/>
          <w:type w:val="continuous"/>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405890" cy="145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05890" cy="145415"/>
                    </a:xfrm>
                    <a:prstGeom prst="rect">
                      <a:avLst/>
                    </a:prstGeom>
                    <a:noFill/>
                  </pic:spPr>
                </pic:pic>
              </a:graphicData>
            </a:graphic>
          </wp:anchor>
        </w:drawing>
      </w:r>
    </w:p>
    <w:p>
      <w:pPr>
        <w:spacing w:after="0" w:line="33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Executive compensation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Benefit programs</w:t>
      </w:r>
    </w:p>
    <w:p>
      <w:pPr>
        <w:spacing w:after="0" w:line="112"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The same health and welfare programs, including post-retirement health care, that are broadly available to employees on our U.S. payroll also apply to NEOs, with no other special programs except executive physicals (as described below under Perquisites). In addition, NEOs are eligible for HR policies and programs applicable to all U.S. payroll exempt employees, such as our relocation program. In 2021, Mr. Johnson and Mr. Geagea received relocation benefits associated with moving their positions from Chevron’s headquarters in the San Francisco Bay Area to our Houston, Texas offices. These standard benefits include home sale assistance and benefits to primarily cover closing costs and commissions (or receipt of a home retention allowance in lieu of such benefits if the NEO chooses to retain their current residence at the time of relocation), shipment of household goods, home purchase assistance, temporary lodging and travel, and other miscellaneous relocation benefits. No home loss buyout benefits or tax gross-up on any relocation benefits were provided to Mr. Johnson or Mr. Geagea. These benefits are reported as perquisites in footnote 6 to the “Summary Compensation Table” of this Proxy Statement on page 64.</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Perquisites</w:t>
      </w:r>
    </w:p>
    <w:p>
      <w:pPr>
        <w:spacing w:after="0" w:line="112" w:lineRule="exact"/>
        <w:rPr>
          <w:sz w:val="20"/>
          <w:szCs w:val="20"/>
          <w:color w:val="auto"/>
        </w:rPr>
      </w:pPr>
    </w:p>
    <w:p>
      <w:pPr>
        <w:ind w:left="120" w:right="220"/>
        <w:spacing w:after="0" w:line="286" w:lineRule="auto"/>
        <w:rPr>
          <w:sz w:val="20"/>
          <w:szCs w:val="20"/>
          <w:color w:val="auto"/>
        </w:rPr>
      </w:pPr>
      <w:r>
        <w:rPr>
          <w:rFonts w:ascii="Arial" w:cs="Arial" w:eastAsia="Arial" w:hAnsi="Arial"/>
          <w:sz w:val="16"/>
          <w:szCs w:val="16"/>
          <w:color w:val="auto"/>
        </w:rPr>
        <w:t>We provide certain perquisites to eligible members of senior management, including the NEOs, as discussed below and with respect to certain “Benefit programs” described above.</w:t>
      </w:r>
    </w:p>
    <w:p>
      <w:pPr>
        <w:spacing w:after="0" w:line="48"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Ensuring the safety and security of our Chairman and CEO, Mr. Wirth, and the other NEOs is of critical importance to Chevron. Accordingly, perquisites include business-related security measures; in particular, these security measures include residential and personal security and the aggregate incremental costs to Chevron for personal use of Chevron automobiles and corporate aircraft to ensure secure travel and protection. For security reasons, the Board has mandated that Mr. Wirth fly on the corporate aircraft for all business and personal travel whenever it is feasible, and Mr. Wirth is also provided with access to Chevron’s cars, drivers, and security personnel for both business and personal use. Effective 2021, the MCC also endorsed the provision of optional cybersecurity consulting services to Chevron’s executives, including the NEOs, given the increasing cybersecurity threat to these high-profile executives.</w:t>
      </w:r>
    </w:p>
    <w:p>
      <w:pPr>
        <w:spacing w:after="0" w:line="73"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color w:val="auto"/>
        </w:rPr>
        <w:t>Further, consistent with peer practice and as part of our standard employee benefit package, we provide financial counseling services pursuant to Chevron’s Financial Counseling Program to approximately 300 eligible members of senior management, including the NEOs, to assist them in obtaining professional advice on personal financial matters. We also provide executive physicals to approximately 50 eligible members of senior management, including the NEOs, to promote overall health and wellness.</w:t>
      </w:r>
    </w:p>
    <w:p>
      <w:pPr>
        <w:spacing w:after="0" w:line="70"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The MCC periodically reviews our practices and disclosures with respect to perquisites. In footnote 6 to the “Summary Compensation Table” of this Proxy Statement on page 64, we report the value of each NEO’s perquisites for 2021, as well as additional details regarding these perquisites.</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58</w:t>
      </w:r>
    </w:p>
    <w:p>
      <w:pPr>
        <w:sectPr>
          <w:pgSz w:w="11900" w:h="16838" w:orient="portrait"/>
          <w:cols w:equalWidth="0" w:num="1">
            <w:col w:w="11120"/>
          </w:cols>
          <w:pgMar w:left="320" w:top="455" w:right="4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208280</wp:posOffset>
            </wp:positionV>
            <wp:extent cx="1474470" cy="145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474470" cy="145415"/>
                    </a:xfrm>
                    <a:prstGeom prst="rect">
                      <a:avLst/>
                    </a:prstGeom>
                    <a:noFill/>
                  </pic:spPr>
                </pic:pic>
              </a:graphicData>
            </a:graphic>
          </wp:anchor>
        </w:drawing>
      </w:r>
    </w:p>
    <w:p>
      <w:pPr>
        <w:spacing w:after="0" w:line="339"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FFFFFF"/>
        </w:rPr>
        <w:t>Executive compensation</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0B2D71"/>
        </w:rPr>
        <w:t>Best practice in compensation governance</w:t>
      </w:r>
    </w:p>
    <w:p>
      <w:pPr>
        <w:spacing w:after="0" w:line="240"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To ensure independent oversight, stockholder alignment, and long-term sustainability, our executive compensation program has the following governance elements in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64770</wp:posOffset>
            </wp:positionV>
            <wp:extent cx="6780530" cy="54946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80530" cy="54946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46" w:lineRule="exact"/>
        <w:rPr>
          <w:sz w:val="20"/>
          <w:szCs w:val="20"/>
          <w:color w:val="auto"/>
        </w:rPr>
      </w:pPr>
    </w:p>
    <w:p>
      <w:pPr>
        <w:jc w:val="center"/>
        <w:ind w:left="700"/>
        <w:spacing w:after="0"/>
        <w:rPr>
          <w:sz w:val="20"/>
          <w:szCs w:val="20"/>
          <w:color w:val="auto"/>
        </w:rPr>
      </w:pPr>
      <w:r>
        <w:rPr>
          <w:rFonts w:ascii="Arial" w:cs="Arial" w:eastAsia="Arial" w:hAnsi="Arial"/>
          <w:sz w:val="20"/>
          <w:szCs w:val="20"/>
          <w:b w:val="1"/>
          <w:bCs w:val="1"/>
          <w:color w:val="FFFFFF"/>
        </w:rPr>
        <w:t>What we do</w:t>
      </w:r>
    </w:p>
    <w:p>
      <w:pPr>
        <w:spacing w:after="0" w:line="306" w:lineRule="exact"/>
        <w:rPr>
          <w:sz w:val="20"/>
          <w:szCs w:val="20"/>
          <w:color w:val="auto"/>
        </w:rPr>
      </w:pPr>
    </w:p>
    <w:p>
      <w:pPr>
        <w:ind w:left="460" w:right="20"/>
        <w:spacing w:after="0" w:line="296" w:lineRule="auto"/>
        <w:rPr>
          <w:sz w:val="20"/>
          <w:szCs w:val="20"/>
          <w:color w:val="auto"/>
        </w:rPr>
      </w:pPr>
      <w:r>
        <w:rPr>
          <w:rFonts w:ascii="Arial" w:cs="Arial" w:eastAsia="Arial" w:hAnsi="Arial"/>
          <w:sz w:val="16"/>
          <w:szCs w:val="16"/>
          <w:b w:val="1"/>
          <w:bCs w:val="1"/>
          <w:color w:val="0B2D71"/>
        </w:rPr>
        <w:t>Robust stockholder engagement plan to ensure alignment with stockholder interests</w:t>
      </w:r>
    </w:p>
    <w:p>
      <w:pPr>
        <w:spacing w:after="0" w:line="200" w:lineRule="exact"/>
        <w:rPr>
          <w:sz w:val="20"/>
          <w:szCs w:val="20"/>
          <w:color w:val="auto"/>
        </w:rPr>
      </w:pPr>
    </w:p>
    <w:p>
      <w:pPr>
        <w:spacing w:after="0" w:line="237" w:lineRule="exact"/>
        <w:rPr>
          <w:sz w:val="20"/>
          <w:szCs w:val="20"/>
          <w:color w:val="auto"/>
        </w:rPr>
      </w:pPr>
    </w:p>
    <w:p>
      <w:pPr>
        <w:jc w:val="both"/>
        <w:ind w:left="460" w:right="60"/>
        <w:spacing w:after="0" w:line="271" w:lineRule="auto"/>
        <w:rPr>
          <w:sz w:val="20"/>
          <w:szCs w:val="20"/>
          <w:color w:val="auto"/>
        </w:rPr>
      </w:pPr>
      <w:r>
        <w:rPr>
          <w:rFonts w:ascii="Arial" w:cs="Arial" w:eastAsia="Arial" w:hAnsi="Arial"/>
          <w:sz w:val="16"/>
          <w:szCs w:val="16"/>
          <w:b w:val="1"/>
          <w:bCs w:val="1"/>
          <w:color w:val="0B2D71"/>
        </w:rPr>
        <w:t>Stock ownership guidelines for the Chief Executive Officer, six times base salary; for the Executive Vice Presidents and Chief Financial Officer, four times base salary</w:t>
      </w:r>
    </w:p>
    <w:p>
      <w:pPr>
        <w:spacing w:after="0" w:line="200" w:lineRule="exact"/>
        <w:rPr>
          <w:sz w:val="20"/>
          <w:szCs w:val="20"/>
          <w:color w:val="auto"/>
        </w:rPr>
      </w:pPr>
    </w:p>
    <w:p>
      <w:pPr>
        <w:spacing w:after="0" w:line="216" w:lineRule="exact"/>
        <w:rPr>
          <w:sz w:val="20"/>
          <w:szCs w:val="20"/>
          <w:color w:val="auto"/>
        </w:rPr>
      </w:pPr>
    </w:p>
    <w:p>
      <w:pPr>
        <w:ind w:left="460" w:right="240"/>
        <w:spacing w:after="0" w:line="296" w:lineRule="auto"/>
        <w:rPr>
          <w:sz w:val="20"/>
          <w:szCs w:val="20"/>
          <w:color w:val="auto"/>
        </w:rPr>
      </w:pPr>
      <w:r>
        <w:rPr>
          <w:rFonts w:ascii="Arial" w:cs="Arial" w:eastAsia="Arial" w:hAnsi="Arial"/>
          <w:sz w:val="16"/>
          <w:szCs w:val="16"/>
          <w:b w:val="1"/>
          <w:bCs w:val="1"/>
          <w:color w:val="0B2D71"/>
        </w:rPr>
        <w:t>Deferred accounts inaccessible until a minimum of one year following termination</w:t>
      </w:r>
    </w:p>
    <w:p>
      <w:pPr>
        <w:spacing w:after="0" w:line="200" w:lineRule="exact"/>
        <w:rPr>
          <w:sz w:val="20"/>
          <w:szCs w:val="20"/>
          <w:color w:val="auto"/>
        </w:rPr>
      </w:pPr>
    </w:p>
    <w:p>
      <w:pPr>
        <w:spacing w:after="0" w:line="237" w:lineRule="exact"/>
        <w:rPr>
          <w:sz w:val="20"/>
          <w:szCs w:val="20"/>
          <w:color w:val="auto"/>
        </w:rPr>
      </w:pPr>
    </w:p>
    <w:p>
      <w:pPr>
        <w:ind w:left="460" w:right="160"/>
        <w:spacing w:after="0" w:line="296" w:lineRule="auto"/>
        <w:rPr>
          <w:sz w:val="20"/>
          <w:szCs w:val="20"/>
          <w:color w:val="auto"/>
        </w:rPr>
      </w:pPr>
      <w:r>
        <w:rPr>
          <w:rFonts w:ascii="Arial" w:cs="Arial" w:eastAsia="Arial" w:hAnsi="Arial"/>
          <w:sz w:val="16"/>
          <w:szCs w:val="16"/>
          <w:b w:val="1"/>
          <w:bCs w:val="1"/>
          <w:color w:val="0B2D71"/>
        </w:rPr>
        <w:t>Clawback provisions included in the CIP, LTIP, DCP, RRP, and ESIP-RP for misconduct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0B2D71"/>
        </w:rPr>
        <w:t>Significant CEO pay at risk (92%)</w:t>
      </w:r>
    </w:p>
    <w:p>
      <w:pPr>
        <w:spacing w:after="0" w:line="200" w:lineRule="exact"/>
        <w:rPr>
          <w:sz w:val="20"/>
          <w:szCs w:val="20"/>
          <w:color w:val="auto"/>
        </w:rPr>
      </w:pPr>
    </w:p>
    <w:p>
      <w:pPr>
        <w:spacing w:after="0" w:line="39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0B2D71"/>
        </w:rPr>
        <w:t>Thorough assessment of Company and individual performance</w:t>
      </w:r>
    </w:p>
    <w:p>
      <w:pPr>
        <w:spacing w:after="0" w:line="200" w:lineRule="exact"/>
        <w:rPr>
          <w:sz w:val="20"/>
          <w:szCs w:val="20"/>
          <w:color w:val="auto"/>
        </w:rPr>
      </w:pPr>
    </w:p>
    <w:p>
      <w:pPr>
        <w:spacing w:after="0" w:line="31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0B2D71"/>
        </w:rPr>
        <w:t>MCC composed entirely of independent Directors</w:t>
      </w:r>
    </w:p>
    <w:p>
      <w:pPr>
        <w:spacing w:after="0" w:line="397" w:lineRule="exact"/>
        <w:rPr>
          <w:sz w:val="20"/>
          <w:szCs w:val="20"/>
          <w:color w:val="auto"/>
        </w:rPr>
      </w:pPr>
    </w:p>
    <w:p>
      <w:pPr>
        <w:ind w:left="460" w:right="240"/>
        <w:spacing w:after="0" w:line="296" w:lineRule="auto"/>
        <w:rPr>
          <w:sz w:val="20"/>
          <w:szCs w:val="20"/>
          <w:color w:val="auto"/>
        </w:rPr>
      </w:pPr>
      <w:r>
        <w:rPr>
          <w:rFonts w:ascii="Arial" w:cs="Arial" w:eastAsia="Arial" w:hAnsi="Arial"/>
          <w:sz w:val="16"/>
          <w:szCs w:val="16"/>
          <w:b w:val="1"/>
          <w:bCs w:val="1"/>
          <w:color w:val="0B2D71"/>
        </w:rPr>
        <w:t>Independent compensation consultant, hired by and reports directly to the MCC</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1680"/>
        <w:spacing w:after="0"/>
        <w:rPr>
          <w:sz w:val="20"/>
          <w:szCs w:val="20"/>
          <w:color w:val="auto"/>
        </w:rPr>
      </w:pPr>
      <w:r>
        <w:rPr>
          <w:rFonts w:ascii="Arial" w:cs="Arial" w:eastAsia="Arial" w:hAnsi="Arial"/>
          <w:sz w:val="20"/>
          <w:szCs w:val="20"/>
          <w:b w:val="1"/>
          <w:bCs w:val="1"/>
          <w:color w:val="FFFFFF"/>
        </w:rPr>
        <w:t>What we do not do</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0B2D71"/>
        </w:rPr>
        <w:t>No excessive perquisites; all have a specific business rationale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0B2D71"/>
        </w:rPr>
        <w:t>No individual supplemental executive retirement plans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780"/>
        <w:spacing w:after="0" w:line="296" w:lineRule="auto"/>
        <w:rPr>
          <w:sz w:val="20"/>
          <w:szCs w:val="20"/>
          <w:color w:val="auto"/>
        </w:rPr>
      </w:pPr>
      <w:r>
        <w:rPr>
          <w:rFonts w:ascii="Arial" w:cs="Arial" w:eastAsia="Arial" w:hAnsi="Arial"/>
          <w:sz w:val="16"/>
          <w:szCs w:val="16"/>
          <w:b w:val="1"/>
          <w:bCs w:val="1"/>
          <w:color w:val="0B2D71"/>
        </w:rPr>
        <w:t>No stock option repricing, reloads or exchanges without stockholder approval</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0B2D71"/>
        </w:rPr>
        <w:t>No loans or purchases of Chevron equity securities on margin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b w:val="1"/>
          <w:bCs w:val="1"/>
          <w:color w:val="0B2D71"/>
        </w:rPr>
        <w:t>No transferability of stock options (except in the case of death or a qualifying court order)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0B2D71"/>
        </w:rPr>
        <w:t>No stock options granted below fair market value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0B2D71"/>
        </w:rPr>
        <w:t>No hedging or pledging of Chevron equity securities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0B2D71"/>
        </w:rPr>
        <w:t>No change-in-control agreements for NEOs</w:t>
      </w:r>
    </w:p>
    <w:p>
      <w:pPr>
        <w:spacing w:after="0" w:line="234" w:lineRule="exact"/>
        <w:rPr>
          <w:sz w:val="20"/>
          <w:szCs w:val="20"/>
          <w:color w:val="auto"/>
        </w:rPr>
      </w:pPr>
    </w:p>
    <w:p>
      <w:pPr>
        <w:sectPr>
          <w:pgSz w:w="11900" w:h="16838" w:orient="portrait"/>
          <w:cols w:equalWidth="0" w:num="2">
            <w:col w:w="5320" w:space="700"/>
            <w:col w:w="5120"/>
          </w:cols>
          <w:pgMar w:left="320" w:top="455" w:right="439" w:bottom="1440" w:gutter="0" w:footer="0" w:header="0"/>
          <w:type w:val="continuous"/>
        </w:sectPr>
      </w:pPr>
    </w:p>
    <w:tbl>
      <w:tblPr>
        <w:tblLayout w:type="fixed"/>
        <w:tblInd w:w="460" w:type="dxa"/>
        <w:tblCellMar>
          <w:top w:w="0" w:type="dxa"/>
          <w:left w:w="0" w:type="dxa"/>
          <w:bottom w:w="0" w:type="dxa"/>
          <w:right w:w="0" w:type="dxa"/>
        </w:tblCellMar>
      </w:tblPr>
      <w:tr>
        <w:trPr>
          <w:trHeight w:val="505"/>
        </w:trPr>
        <w:tc>
          <w:tcPr>
            <w:tcW w:w="5100" w:type="dxa"/>
            <w:vAlign w:val="bottom"/>
            <w:shd w:val="clear" w:color="auto" w:fill="D8D8D8"/>
          </w:tcPr>
          <w:p>
            <w:pPr>
              <w:spacing w:after="0"/>
              <w:rPr>
                <w:sz w:val="20"/>
                <w:szCs w:val="20"/>
                <w:color w:val="auto"/>
              </w:rPr>
            </w:pPr>
            <w:r>
              <w:rPr>
                <w:rFonts w:ascii="Arial" w:cs="Arial" w:eastAsia="Arial" w:hAnsi="Arial"/>
                <w:sz w:val="16"/>
                <w:szCs w:val="16"/>
                <w:b w:val="1"/>
                <w:bCs w:val="1"/>
                <w:color w:val="0B2D71"/>
              </w:rPr>
              <w:t>MCC has discretion to reduce performance share payouts</w:t>
            </w:r>
          </w:p>
        </w:tc>
        <w:tc>
          <w:tcPr>
            <w:tcW w:w="5580" w:type="dxa"/>
            <w:vAlign w:val="bottom"/>
            <w:shd w:val="clear" w:color="auto" w:fill="D8D8D8"/>
          </w:tcPr>
          <w:p>
            <w:pPr>
              <w:ind w:left="460"/>
              <w:spacing w:after="0"/>
              <w:rPr>
                <w:sz w:val="20"/>
                <w:szCs w:val="20"/>
                <w:color w:val="auto"/>
              </w:rPr>
            </w:pPr>
            <w:r>
              <w:rPr>
                <w:rFonts w:ascii="Arial" w:cs="Arial" w:eastAsia="Arial" w:hAnsi="Arial"/>
                <w:sz w:val="16"/>
                <w:szCs w:val="16"/>
                <w:b w:val="1"/>
                <w:bCs w:val="1"/>
                <w:color w:val="0B2D71"/>
              </w:rPr>
              <w:t>No tax gross-ups for NEOs</w:t>
            </w:r>
          </w:p>
        </w:tc>
      </w:tr>
      <w:tr>
        <w:trPr>
          <w:trHeight w:val="197"/>
        </w:trPr>
        <w:tc>
          <w:tcPr>
            <w:tcW w:w="5100" w:type="dxa"/>
            <w:vAlign w:val="bottom"/>
            <w:shd w:val="clear" w:color="auto" w:fill="D8D8D8"/>
          </w:tcPr>
          <w:p>
            <w:pPr>
              <w:spacing w:after="0"/>
              <w:rPr>
                <w:sz w:val="17"/>
                <w:szCs w:val="17"/>
                <w:color w:val="auto"/>
              </w:rPr>
            </w:pPr>
          </w:p>
        </w:tc>
        <w:tc>
          <w:tcPr>
            <w:tcW w:w="5580" w:type="dxa"/>
            <w:vAlign w:val="bottom"/>
            <w:shd w:val="clear" w:color="auto" w:fill="D8D8D8"/>
          </w:tcPr>
          <w:p>
            <w:pPr>
              <w:spacing w:after="0"/>
              <w:rPr>
                <w:sz w:val="17"/>
                <w:szCs w:val="17"/>
                <w:color w:val="auto"/>
              </w:rPr>
            </w:pPr>
          </w:p>
        </w:tc>
      </w:tr>
      <w:tr>
        <w:trPr>
          <w:trHeight w:val="465"/>
        </w:trPr>
        <w:tc>
          <w:tcPr>
            <w:tcW w:w="5100" w:type="dxa"/>
            <w:vAlign w:val="bottom"/>
          </w:tcPr>
          <w:p>
            <w:pPr>
              <w:spacing w:after="0"/>
              <w:rPr>
                <w:sz w:val="20"/>
                <w:szCs w:val="20"/>
                <w:color w:val="auto"/>
              </w:rPr>
            </w:pPr>
            <w:r>
              <w:rPr>
                <w:rFonts w:ascii="Arial" w:cs="Arial" w:eastAsia="Arial" w:hAnsi="Arial"/>
                <w:sz w:val="16"/>
                <w:szCs w:val="16"/>
                <w:b w:val="1"/>
                <w:bCs w:val="1"/>
                <w:color w:val="0B2D71"/>
              </w:rPr>
              <w:t>Annual assessment of incentive compensation risks</w:t>
            </w:r>
          </w:p>
        </w:tc>
        <w:tc>
          <w:tcPr>
            <w:tcW w:w="5580" w:type="dxa"/>
            <w:vAlign w:val="bottom"/>
          </w:tcPr>
          <w:p>
            <w:pPr>
              <w:ind w:left="460"/>
              <w:spacing w:after="0"/>
              <w:rPr>
                <w:sz w:val="20"/>
                <w:szCs w:val="20"/>
                <w:color w:val="auto"/>
              </w:rPr>
            </w:pPr>
            <w:r>
              <w:rPr>
                <w:rFonts w:ascii="Arial" w:cs="Arial" w:eastAsia="Arial" w:hAnsi="Arial"/>
                <w:sz w:val="16"/>
                <w:szCs w:val="16"/>
                <w:b w:val="1"/>
                <w:bCs w:val="1"/>
                <w:color w:val="0B2D71"/>
              </w:rPr>
              <w:t>No “golden parachutes” or “golden coffins” for NEOs</w:t>
            </w:r>
          </w:p>
        </w:tc>
      </w:tr>
    </w:tbl>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59</w:t>
      </w:r>
    </w:p>
    <w:p>
      <w:pPr>
        <w:sectPr>
          <w:pgSz w:w="11900" w:h="16838" w:orient="portrait"/>
          <w:cols w:equalWidth="0" w:num="1">
            <w:col w:w="11140"/>
          </w:cols>
          <w:pgMar w:left="320" w:top="455" w:right="439" w:bottom="1440" w:gutter="0" w:footer="0" w:header="0"/>
          <w:type w:val="continuous"/>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405890" cy="145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05890" cy="145415"/>
                    </a:xfrm>
                    <a:prstGeom prst="rect">
                      <a:avLst/>
                    </a:prstGeom>
                    <a:noFill/>
                  </pic:spPr>
                </pic:pic>
              </a:graphicData>
            </a:graphic>
          </wp:anchor>
        </w:drawing>
      </w:r>
    </w:p>
    <w:p>
      <w:pPr>
        <w:spacing w:after="0" w:line="33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Executive compensation</w:t>
      </w:r>
    </w:p>
    <w:p>
      <w:pPr>
        <w:spacing w:after="0" w:line="161" w:lineRule="exact"/>
        <w:rPr>
          <w:sz w:val="20"/>
          <w:szCs w:val="20"/>
          <w:color w:val="auto"/>
        </w:rPr>
      </w:pPr>
    </w:p>
    <w:p>
      <w:pPr>
        <w:jc w:val="center"/>
        <w:ind w:left="640"/>
        <w:spacing w:after="0" w:line="291" w:lineRule="auto"/>
        <w:rPr>
          <w:sz w:val="20"/>
          <w:szCs w:val="20"/>
          <w:color w:val="auto"/>
        </w:rPr>
      </w:pPr>
      <w:r>
        <w:rPr>
          <w:rFonts w:ascii="Arial" w:cs="Arial" w:eastAsia="Arial" w:hAnsi="Arial"/>
          <w:sz w:val="25"/>
          <w:szCs w:val="25"/>
          <w:b w:val="1"/>
          <w:bCs w:val="1"/>
          <w:color w:val="0B2D71"/>
        </w:rPr>
        <w:t>Compensation governance: oversight and administration of the executive compensation program</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Role of the board of directors management compensation committee</w:t>
      </w:r>
    </w:p>
    <w:p>
      <w:pPr>
        <w:sectPr>
          <w:pgSz w:w="11900" w:h="16838" w:orient="portrait"/>
          <w:cols w:equalWidth="0" w:num="1">
            <w:col w:w="11120"/>
          </w:cols>
          <w:pgMar w:left="320" w:top="455" w:right="459" w:bottom="1440" w:gutter="0" w:footer="0" w:header="0"/>
        </w:sectPr>
      </w:pPr>
    </w:p>
    <w:p>
      <w:pPr>
        <w:spacing w:after="0" w:line="180"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The MCC oversees the executive compensation program. The MCC is supported by the independent compensation consultant, Meridian Compensation Partners, LLC (“Meridian”), and management to review pay and performance relative to the Business Plan approved by the Board and to industry peers. The MCC solicits input from the CEO concerning the performance and compensation of other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NEOs. The CEO does not participate in discussion about his own pay; and proposed changes to the compensation of the CEO is recommended by the MCC and approved by the independent Directors of the Board. A complete description of the MCC’s authority and responsibility is provided in its charter, which is available on our website at www.chevron.com and in print upon request.</w:t>
      </w:r>
    </w:p>
    <w:p>
      <w:pPr>
        <w:spacing w:after="0" w:line="200" w:lineRule="exact"/>
        <w:rPr>
          <w:sz w:val="20"/>
          <w:szCs w:val="20"/>
          <w:color w:val="auto"/>
        </w:rPr>
      </w:pPr>
    </w:p>
    <w:p>
      <w:pPr>
        <w:sectPr>
          <w:pgSz w:w="11900" w:h="16838" w:orient="portrait"/>
          <w:cols w:equalWidth="0" w:num="2">
            <w:col w:w="5160" w:space="580"/>
            <w:col w:w="5380"/>
          </w:cols>
          <w:pgMar w:left="320" w:top="455" w:right="459"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Independent compensation advice</w:t>
      </w:r>
    </w:p>
    <w:p>
      <w:pPr>
        <w:spacing w:after="0" w:line="180"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The MCC retains Meridian as an independent compensation consultant to assist with its duties. The MCC first engaged Meridian in 2014, following a comprehensive request-for-proposal process and subsequent screening and selection. The MCC has the exclusive right to select, retain, and terminate Meridian, as well as to approve any fees, terms, and other conditions of its service. Meridian and its lead consultant report directly to the MCC, but when directed to do so by the MCC, they work cooperatively with Chevron’s management to develop analyses and proposals for the MCC. Meridian provides the following services to the MCC:</w:t>
      </w:r>
    </w:p>
    <w:p>
      <w:pPr>
        <w:spacing w:after="0" w:line="280" w:lineRule="exact"/>
        <w:rPr>
          <w:sz w:val="20"/>
          <w:szCs w:val="20"/>
          <w:color w:val="auto"/>
        </w:rPr>
      </w:pPr>
    </w:p>
    <w:p>
      <w:pPr>
        <w:ind w:left="300" w:right="580" w:hanging="184"/>
        <w:spacing w:after="0" w:line="286" w:lineRule="auto"/>
        <w:tabs>
          <w:tab w:leader="none" w:pos="3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Education on executive compensation trends within and across industries;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ind w:left="166" w:right="1020" w:hanging="166"/>
        <w:spacing w:after="0" w:line="286" w:lineRule="auto"/>
        <w:tabs>
          <w:tab w:leader="none" w:pos="166"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Recommendation regarding compensation philosophy and compensation levels;</w:t>
      </w:r>
    </w:p>
    <w:p>
      <w:pPr>
        <w:spacing w:after="0" w:line="61" w:lineRule="exact"/>
        <w:rPr>
          <w:rFonts w:ascii="Arial" w:cs="Arial" w:eastAsia="Arial" w:hAnsi="Arial"/>
          <w:sz w:val="16"/>
          <w:szCs w:val="16"/>
          <w:color w:val="auto"/>
        </w:rPr>
      </w:pPr>
    </w:p>
    <w:p>
      <w:pPr>
        <w:ind w:left="166" w:hanging="166"/>
        <w:spacing w:after="0"/>
        <w:tabs>
          <w:tab w:leader="none" w:pos="166" w:val="left"/>
        </w:tabs>
        <w:numPr>
          <w:ilvl w:val="0"/>
          <w:numId w:val="92"/>
        </w:numPr>
        <w:rPr>
          <w:rFonts w:ascii="Arial" w:cs="Arial" w:eastAsia="Arial" w:hAnsi="Arial"/>
          <w:sz w:val="16"/>
          <w:szCs w:val="16"/>
          <w:color w:val="auto"/>
        </w:rPr>
      </w:pPr>
      <w:r>
        <w:rPr>
          <w:rFonts w:ascii="Arial" w:cs="Arial" w:eastAsia="Arial" w:hAnsi="Arial"/>
          <w:sz w:val="16"/>
          <w:szCs w:val="16"/>
          <w:color w:val="auto"/>
        </w:rPr>
        <w:t>Selection of compensation comparator groups; and</w:t>
      </w:r>
    </w:p>
    <w:p>
      <w:pPr>
        <w:spacing w:after="0" w:line="126" w:lineRule="exact"/>
        <w:rPr>
          <w:rFonts w:ascii="Arial" w:cs="Arial" w:eastAsia="Arial" w:hAnsi="Arial"/>
          <w:sz w:val="16"/>
          <w:szCs w:val="16"/>
          <w:color w:val="auto"/>
        </w:rPr>
      </w:pPr>
    </w:p>
    <w:p>
      <w:pPr>
        <w:ind w:left="166" w:right="80" w:hanging="166"/>
        <w:spacing w:after="0" w:line="266" w:lineRule="auto"/>
        <w:tabs>
          <w:tab w:leader="none" w:pos="166" w:val="left"/>
        </w:tabs>
        <w:numPr>
          <w:ilvl w:val="0"/>
          <w:numId w:val="92"/>
        </w:numPr>
        <w:rPr>
          <w:rFonts w:ascii="Arial" w:cs="Arial" w:eastAsia="Arial" w:hAnsi="Arial"/>
          <w:sz w:val="16"/>
          <w:szCs w:val="16"/>
          <w:color w:val="auto"/>
        </w:rPr>
      </w:pPr>
      <w:r>
        <w:rPr>
          <w:rFonts w:ascii="Arial" w:cs="Arial" w:eastAsia="Arial" w:hAnsi="Arial"/>
          <w:sz w:val="16"/>
          <w:szCs w:val="16"/>
          <w:color w:val="auto"/>
        </w:rPr>
        <w:t>Identification and resolution of technical issues associated with executive compensation plans, including tax, accounting, and securities regulations.</w:t>
      </w:r>
    </w:p>
    <w:p>
      <w:pPr>
        <w:spacing w:after="0" w:line="63" w:lineRule="exact"/>
        <w:rPr>
          <w:sz w:val="20"/>
          <w:szCs w:val="20"/>
          <w:color w:val="auto"/>
        </w:rPr>
      </w:pPr>
    </w:p>
    <w:p>
      <w:pPr>
        <w:ind w:left="6" w:right="180"/>
        <w:spacing w:after="0" w:line="266" w:lineRule="auto"/>
        <w:rPr>
          <w:sz w:val="20"/>
          <w:szCs w:val="20"/>
          <w:color w:val="auto"/>
        </w:rPr>
      </w:pPr>
      <w:r>
        <w:rPr>
          <w:rFonts w:ascii="Arial" w:cs="Arial" w:eastAsia="Arial" w:hAnsi="Arial"/>
          <w:sz w:val="16"/>
          <w:szCs w:val="16"/>
          <w:color w:val="auto"/>
        </w:rPr>
        <w:t>Meridian does not provide any services to the Company. The MCC is not aware of any work performed by Meridian that raised any conflicts of interest.</w:t>
      </w:r>
    </w:p>
    <w:p>
      <w:pPr>
        <w:spacing w:after="0" w:line="548" w:lineRule="exact"/>
        <w:rPr>
          <w:sz w:val="20"/>
          <w:szCs w:val="20"/>
          <w:color w:val="auto"/>
        </w:rPr>
      </w:pPr>
    </w:p>
    <w:p>
      <w:pPr>
        <w:sectPr>
          <w:pgSz w:w="11900" w:h="16838" w:orient="portrait"/>
          <w:cols w:equalWidth="0" w:num="2">
            <w:col w:w="5400" w:space="334"/>
            <w:col w:w="5386"/>
          </w:cols>
          <w:pgMar w:left="320" w:top="455" w:right="459" w:bottom="1440" w:gutter="0" w:footer="0" w:header="0"/>
          <w:type w:val="continuous"/>
        </w:sectPr>
      </w:pPr>
    </w:p>
    <w:p>
      <w:pPr>
        <w:ind w:left="120"/>
        <w:spacing w:after="0"/>
        <w:rPr>
          <w:sz w:val="20"/>
          <w:szCs w:val="20"/>
          <w:color w:val="auto"/>
        </w:rPr>
      </w:pPr>
      <w:r>
        <w:rPr>
          <w:rFonts w:ascii="Arial" w:cs="Arial" w:eastAsia="Arial" w:hAnsi="Arial"/>
          <w:sz w:val="22"/>
          <w:szCs w:val="22"/>
          <w:b w:val="1"/>
          <w:bCs w:val="1"/>
          <w:color w:val="0B2D71"/>
        </w:rPr>
        <w:t>Compensation risk management</w:t>
      </w:r>
    </w:p>
    <w:p>
      <w:pPr>
        <w:spacing w:after="0" w:line="180"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The MCC annually undertakes a risk assessment of Chevron’s compensation programs to determine whether these programs are appropriately designed and to ensure that they do not motivate individuals or groups to take risks that are reasonably likely to have a material adverse effect on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Company. Following its most recent comprehensive review of the design, administration, and controls of these programs, the MCC was satisfied that Chevron’s programs are well structured with strong governance and oversight mechanisms in place to minimize and mitigate potential risk.</w:t>
      </w:r>
    </w:p>
    <w:p>
      <w:pPr>
        <w:spacing w:after="0" w:line="387" w:lineRule="exact"/>
        <w:rPr>
          <w:sz w:val="20"/>
          <w:szCs w:val="20"/>
          <w:color w:val="auto"/>
        </w:rPr>
      </w:pPr>
    </w:p>
    <w:p>
      <w:pPr>
        <w:sectPr>
          <w:pgSz w:w="11900" w:h="16838" w:orient="portrait"/>
          <w:cols w:equalWidth="0" w:num="2">
            <w:col w:w="5060" w:space="680"/>
            <w:col w:w="5380"/>
          </w:cols>
          <w:pgMar w:left="320" w:top="455" w:right="459" w:bottom="1440" w:gutter="0" w:footer="0" w:header="0"/>
          <w:type w:val="continuous"/>
        </w:sectPr>
      </w:pPr>
    </w:p>
    <w:p>
      <w:pPr>
        <w:spacing w:after="0" w:line="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Stock ownership guidelines</w:t>
      </w:r>
    </w:p>
    <w:p>
      <w:pPr>
        <w:spacing w:after="0" w:line="112" w:lineRule="exact"/>
        <w:rPr>
          <w:sz w:val="20"/>
          <w:szCs w:val="20"/>
          <w:color w:val="auto"/>
        </w:rPr>
      </w:pPr>
    </w:p>
    <w:p>
      <w:pPr>
        <w:ind w:left="120" w:right="200"/>
        <w:spacing w:after="0" w:line="266" w:lineRule="auto"/>
        <w:rPr>
          <w:sz w:val="20"/>
          <w:szCs w:val="20"/>
          <w:color w:val="auto"/>
        </w:rPr>
      </w:pPr>
      <w:r>
        <w:rPr>
          <w:rFonts w:ascii="Arial" w:cs="Arial" w:eastAsia="Arial" w:hAnsi="Arial"/>
          <w:sz w:val="16"/>
          <w:szCs w:val="16"/>
          <w:color w:val="auto"/>
        </w:rPr>
        <w:t>We require our NEOs to hold prescribed levels of Chevron common stock, further linking their interests with those of our stockholders. Executives have five years to attain their stock ownership guideline. Further, NEOs who have not attained their stock ownership guidelines are required to hold shares acquired under the LTIP program until such ownership requirements are met.</w:t>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108"/>
        </w:trPr>
        <w:tc>
          <w:tcPr>
            <w:tcW w:w="20" w:type="dxa"/>
            <w:vAlign w:val="bottom"/>
            <w:shd w:val="clear" w:color="auto" w:fill="0066B2"/>
          </w:tcPr>
          <w:p>
            <w:pPr>
              <w:spacing w:after="0"/>
              <w:rPr>
                <w:sz w:val="9"/>
                <w:szCs w:val="9"/>
                <w:color w:val="auto"/>
              </w:rPr>
            </w:pPr>
          </w:p>
        </w:tc>
        <w:tc>
          <w:tcPr>
            <w:tcW w:w="6860" w:type="dxa"/>
            <w:vAlign w:val="bottom"/>
            <w:vMerge w:val="restart"/>
            <w:shd w:val="clear" w:color="auto" w:fill="0066B2"/>
          </w:tcPr>
          <w:p>
            <w:pPr>
              <w:ind w:left="120"/>
              <w:spacing w:after="0"/>
              <w:rPr>
                <w:sz w:val="20"/>
                <w:szCs w:val="20"/>
                <w:color w:val="auto"/>
              </w:rPr>
            </w:pPr>
            <w:r>
              <w:rPr>
                <w:rFonts w:ascii="Arial" w:cs="Arial" w:eastAsia="Arial" w:hAnsi="Arial"/>
                <w:sz w:val="16"/>
                <w:szCs w:val="16"/>
                <w:b w:val="1"/>
                <w:bCs w:val="1"/>
                <w:color w:val="FFFFFF"/>
              </w:rPr>
              <w:t>Position</w:t>
            </w:r>
          </w:p>
        </w:tc>
        <w:tc>
          <w:tcPr>
            <w:tcW w:w="4060" w:type="dxa"/>
            <w:vAlign w:val="bottom"/>
            <w:vMerge w:val="restart"/>
            <w:shd w:val="clear" w:color="auto" w:fill="0066B2"/>
          </w:tcPr>
          <w:p>
            <w:pPr>
              <w:ind w:left="100"/>
              <w:spacing w:after="0"/>
              <w:rPr>
                <w:sz w:val="20"/>
                <w:szCs w:val="20"/>
                <w:color w:val="auto"/>
              </w:rPr>
            </w:pPr>
            <w:r>
              <w:rPr>
                <w:rFonts w:ascii="Arial" w:cs="Arial" w:eastAsia="Arial" w:hAnsi="Arial"/>
                <w:sz w:val="16"/>
                <w:szCs w:val="16"/>
                <w:b w:val="1"/>
                <w:bCs w:val="1"/>
                <w:color w:val="FFFFFF"/>
              </w:rPr>
              <w:t>2021 ownership guidelines</w:t>
            </w:r>
          </w:p>
        </w:tc>
        <w:tc>
          <w:tcPr>
            <w:tcW w:w="20" w:type="dxa"/>
            <w:vAlign w:val="bottom"/>
            <w:shd w:val="clear" w:color="auto" w:fill="0066B2"/>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7F7F7F"/>
          </w:tcPr>
          <w:p>
            <w:pPr>
              <w:spacing w:after="0"/>
              <w:rPr>
                <w:sz w:val="22"/>
                <w:szCs w:val="22"/>
                <w:color w:val="auto"/>
              </w:rPr>
            </w:pPr>
          </w:p>
        </w:tc>
        <w:tc>
          <w:tcPr>
            <w:tcW w:w="6860" w:type="dxa"/>
            <w:vAlign w:val="bottom"/>
            <w:vMerge w:val="continue"/>
            <w:shd w:val="clear" w:color="auto" w:fill="0066B2"/>
          </w:tcPr>
          <w:p>
            <w:pPr>
              <w:spacing w:after="0"/>
              <w:rPr>
                <w:sz w:val="22"/>
                <w:szCs w:val="22"/>
                <w:color w:val="auto"/>
              </w:rPr>
            </w:pPr>
          </w:p>
        </w:tc>
        <w:tc>
          <w:tcPr>
            <w:tcW w:w="4060" w:type="dxa"/>
            <w:vAlign w:val="bottom"/>
            <w:vMerge w:val="continue"/>
            <w:shd w:val="clear" w:color="auto" w:fill="0066B2"/>
          </w:tcPr>
          <w:p>
            <w:pPr>
              <w:spacing w:after="0"/>
              <w:rPr>
                <w:sz w:val="22"/>
                <w:szCs w:val="22"/>
                <w:color w:val="auto"/>
              </w:rPr>
            </w:pPr>
          </w:p>
        </w:tc>
        <w:tc>
          <w:tcPr>
            <w:tcW w:w="20" w:type="dxa"/>
            <w:vAlign w:val="bottom"/>
            <w:shd w:val="clear" w:color="auto" w:fill="7F7F7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7F7F7F"/>
          </w:tcPr>
          <w:p>
            <w:pPr>
              <w:spacing w:after="0"/>
              <w:rPr>
                <w:sz w:val="19"/>
                <w:szCs w:val="19"/>
                <w:color w:val="auto"/>
              </w:rPr>
            </w:pPr>
          </w:p>
        </w:tc>
        <w:tc>
          <w:tcPr>
            <w:tcW w:w="6860" w:type="dxa"/>
            <w:vAlign w:val="bottom"/>
            <w:shd w:val="clear" w:color="auto" w:fill="D8D8D8"/>
          </w:tcPr>
          <w:p>
            <w:pPr>
              <w:ind w:left="120"/>
              <w:spacing w:after="0"/>
              <w:rPr>
                <w:sz w:val="20"/>
                <w:szCs w:val="20"/>
                <w:color w:val="auto"/>
              </w:rPr>
            </w:pPr>
            <w:r>
              <w:rPr>
                <w:rFonts w:ascii="Arial" w:cs="Arial" w:eastAsia="Arial" w:hAnsi="Arial"/>
                <w:sz w:val="16"/>
                <w:szCs w:val="16"/>
                <w:color w:val="auto"/>
              </w:rPr>
              <w:t>CEO</w:t>
            </w:r>
          </w:p>
        </w:tc>
        <w:tc>
          <w:tcPr>
            <w:tcW w:w="4060" w:type="dxa"/>
            <w:vAlign w:val="bottom"/>
            <w:shd w:val="clear" w:color="auto" w:fill="D8D8D8"/>
          </w:tcPr>
          <w:p>
            <w:pPr>
              <w:ind w:left="100"/>
              <w:spacing w:after="0"/>
              <w:rPr>
                <w:sz w:val="20"/>
                <w:szCs w:val="20"/>
                <w:color w:val="auto"/>
              </w:rPr>
            </w:pPr>
            <w:r>
              <w:rPr>
                <w:rFonts w:ascii="Arial" w:cs="Arial" w:eastAsia="Arial" w:hAnsi="Arial"/>
                <w:sz w:val="16"/>
                <w:szCs w:val="16"/>
                <w:color w:val="auto"/>
              </w:rPr>
              <w:t>Six times base salary</w:t>
            </w:r>
          </w:p>
        </w:tc>
        <w:tc>
          <w:tcPr>
            <w:tcW w:w="20" w:type="dxa"/>
            <w:vAlign w:val="bottom"/>
            <w:shd w:val="clear" w:color="auto" w:fill="7F7F7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7F7F7F"/>
          </w:tcPr>
          <w:p>
            <w:pPr>
              <w:spacing w:after="0"/>
              <w:rPr>
                <w:sz w:val="19"/>
                <w:szCs w:val="19"/>
                <w:color w:val="auto"/>
              </w:rPr>
            </w:pPr>
          </w:p>
        </w:tc>
        <w:tc>
          <w:tcPr>
            <w:tcW w:w="6860" w:type="dxa"/>
            <w:vAlign w:val="bottom"/>
          </w:tcPr>
          <w:p>
            <w:pPr>
              <w:ind w:left="120"/>
              <w:spacing w:after="0"/>
              <w:rPr>
                <w:sz w:val="20"/>
                <w:szCs w:val="20"/>
                <w:color w:val="auto"/>
              </w:rPr>
            </w:pPr>
            <w:r>
              <w:rPr>
                <w:rFonts w:ascii="Arial" w:cs="Arial" w:eastAsia="Arial" w:hAnsi="Arial"/>
                <w:sz w:val="16"/>
                <w:szCs w:val="16"/>
                <w:color w:val="auto"/>
              </w:rPr>
              <w:t>Executive Vice Presidents and CFO</w:t>
            </w:r>
          </w:p>
        </w:tc>
        <w:tc>
          <w:tcPr>
            <w:tcW w:w="4060" w:type="dxa"/>
            <w:vAlign w:val="bottom"/>
          </w:tcPr>
          <w:p>
            <w:pPr>
              <w:ind w:left="100"/>
              <w:spacing w:after="0"/>
              <w:rPr>
                <w:sz w:val="20"/>
                <w:szCs w:val="20"/>
                <w:color w:val="auto"/>
              </w:rPr>
            </w:pPr>
            <w:r>
              <w:rPr>
                <w:rFonts w:ascii="Arial" w:cs="Arial" w:eastAsia="Arial" w:hAnsi="Arial"/>
                <w:sz w:val="16"/>
                <w:szCs w:val="16"/>
                <w:color w:val="auto"/>
              </w:rPr>
              <w:t>Four times base salary</w:t>
            </w:r>
          </w:p>
        </w:tc>
        <w:tc>
          <w:tcPr>
            <w:tcW w:w="20" w:type="dxa"/>
            <w:vAlign w:val="bottom"/>
            <w:shd w:val="clear" w:color="auto" w:fill="7F7F7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7F7F7F"/>
            </w:tcBorders>
            <w:shd w:val="clear" w:color="auto" w:fill="7F7F7F"/>
          </w:tcPr>
          <w:p>
            <w:pPr>
              <w:spacing w:after="0"/>
              <w:rPr>
                <w:sz w:val="20"/>
                <w:szCs w:val="20"/>
                <w:color w:val="auto"/>
              </w:rPr>
            </w:pPr>
          </w:p>
        </w:tc>
        <w:tc>
          <w:tcPr>
            <w:tcW w:w="6860" w:type="dxa"/>
            <w:vAlign w:val="bottom"/>
            <w:tcBorders>
              <w:bottom w:val="single" w:sz="8" w:color="7F7F7F"/>
            </w:tcBorders>
            <w:shd w:val="clear" w:color="auto" w:fill="D8D8D8"/>
          </w:tcPr>
          <w:p>
            <w:pPr>
              <w:ind w:left="120"/>
              <w:spacing w:after="0"/>
              <w:rPr>
                <w:sz w:val="20"/>
                <w:szCs w:val="20"/>
                <w:color w:val="auto"/>
              </w:rPr>
            </w:pPr>
            <w:r>
              <w:rPr>
                <w:rFonts w:ascii="Arial" w:cs="Arial" w:eastAsia="Arial" w:hAnsi="Arial"/>
                <w:sz w:val="16"/>
                <w:szCs w:val="16"/>
                <w:color w:val="auto"/>
              </w:rPr>
              <w:t>All Other Executive Officers</w:t>
            </w:r>
          </w:p>
        </w:tc>
        <w:tc>
          <w:tcPr>
            <w:tcW w:w="4060" w:type="dxa"/>
            <w:vAlign w:val="bottom"/>
            <w:tcBorders>
              <w:bottom w:val="single" w:sz="8" w:color="7F7F7F"/>
            </w:tcBorders>
            <w:shd w:val="clear" w:color="auto" w:fill="D8D8D8"/>
          </w:tcPr>
          <w:p>
            <w:pPr>
              <w:ind w:left="100"/>
              <w:spacing w:after="0"/>
              <w:rPr>
                <w:sz w:val="20"/>
                <w:szCs w:val="20"/>
                <w:color w:val="auto"/>
              </w:rPr>
            </w:pPr>
            <w:r>
              <w:rPr>
                <w:rFonts w:ascii="Arial" w:cs="Arial" w:eastAsia="Arial" w:hAnsi="Arial"/>
                <w:sz w:val="16"/>
                <w:szCs w:val="16"/>
                <w:color w:val="auto"/>
              </w:rPr>
              <w:t>Two times base salary</w:t>
            </w:r>
          </w:p>
        </w:tc>
        <w:tc>
          <w:tcPr>
            <w:tcW w:w="20" w:type="dxa"/>
            <w:vAlign w:val="bottom"/>
            <w:tcBorders>
              <w:bottom w:val="single" w:sz="8" w:color="7F7F7F"/>
            </w:tcBorders>
            <w:shd w:val="clear" w:color="auto" w:fill="7F7F7F"/>
          </w:tcPr>
          <w:p>
            <w:pPr>
              <w:spacing w:after="0"/>
              <w:rPr>
                <w:sz w:val="20"/>
                <w:szCs w:val="20"/>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4"/>
          <w:szCs w:val="14"/>
          <w:color w:val="auto"/>
        </w:rPr>
        <w:t>Based upon our 250-day trailing average stock price ending December 31, 2021 ($104.35), Mr. Wirth had a stock ownership base salary multiple of 13.9. All other NEOs met their respective ownership requirement and had an average stock ownership base salary multiple of 10.7. The MCC believes these ownership levels provide adequate focus on our long-term business model.</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Employment, severance, and change-in-control agreements</w:t>
      </w:r>
    </w:p>
    <w:p>
      <w:pPr>
        <w:spacing w:after="0" w:line="112"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color w:val="auto"/>
        </w:rPr>
        <w:t>In general, we do not maintain employment, severance, or change-in-control agreements with our NEOs. Upon retirement or separation from service for other reasons, NEOs are entitled to certain accrued benefits and payments generally available to other employees. We describe the benefits and payments in the “Pension Benefits Table,” the “Nonqualified Deferred Compensation Table,” and the “Potential Payments Upon Termination or Change-in-Control” table in this Proxy Statement.</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60</w:t>
      </w:r>
    </w:p>
    <w:p>
      <w:pPr>
        <w:sectPr>
          <w:pgSz w:w="11900" w:h="16838" w:orient="portrait"/>
          <w:cols w:equalWidth="0" w:num="1">
            <w:col w:w="11120"/>
          </w:cols>
          <w:pgMar w:left="320" w:top="455" w:right="459" w:bottom="1440" w:gutter="0" w:footer="0" w:header="0"/>
          <w:type w:val="continuous"/>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208280</wp:posOffset>
            </wp:positionV>
            <wp:extent cx="1474470" cy="1454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474470" cy="145415"/>
                    </a:xfrm>
                    <a:prstGeom prst="rect">
                      <a:avLst/>
                    </a:prstGeom>
                    <a:noFill/>
                  </pic:spPr>
                </pic:pic>
              </a:graphicData>
            </a:graphic>
          </wp:anchor>
        </w:drawing>
      </w:r>
    </w:p>
    <w:p>
      <w:pPr>
        <w:spacing w:after="0" w:line="339"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FFFFFF"/>
        </w:rPr>
        <w:t>Executive compensation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Compensation recovery policies</w:t>
      </w:r>
    </w:p>
    <w:p>
      <w:pPr>
        <w:spacing w:after="0" w:line="112" w:lineRule="exact"/>
        <w:rPr>
          <w:sz w:val="20"/>
          <w:szCs w:val="20"/>
          <w:color w:val="auto"/>
        </w:rPr>
      </w:pPr>
    </w:p>
    <w:p>
      <w:pPr>
        <w:ind w:left="120" w:right="200"/>
        <w:spacing w:after="0" w:line="256" w:lineRule="auto"/>
        <w:rPr>
          <w:sz w:val="20"/>
          <w:szCs w:val="20"/>
          <w:color w:val="auto"/>
        </w:rPr>
      </w:pPr>
      <w:r>
        <w:rPr>
          <w:rFonts w:ascii="Arial" w:cs="Arial" w:eastAsia="Arial" w:hAnsi="Arial"/>
          <w:sz w:val="16"/>
          <w:szCs w:val="16"/>
          <w:color w:val="auto"/>
        </w:rPr>
        <w:t>The Chevron Incentive Plan, Long-Term Incentive Plan, Deferred Compensation Plan, Retirement Restoration Plan, and Employee Savings Investment Plan–Restoration Plan include provisions permitting us to “claw back” certain amounts of cash and equity awarded to an NEO at any time if the NEO engages in certain acts of misconduct, including, among other things: embezzlement; fraud or theft; disclosure of confidential information or other acts that harm our business, reputation or employees; misconduct resulting in Chevron having to prepare an accounting restatement; and failure to abide by post-termination agreements respecting confidentiality, non-competition or non-solicitation.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Hedging and pledging</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our insider trading policy, our NEOs are prohibited from hedging and pledging Chevron securities, as described in more detail on page 32.</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Tax gross-ups</w:t>
      </w:r>
    </w:p>
    <w:p>
      <w:pPr>
        <w:spacing w:after="0" w:line="11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do not pay tax gross-ups to our NEOs. We do provide standard expatriate packages, which include tax equalization payments, to all employees of the Company who serve on overseas assignments, including executive officers.</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Tax deductibility of NEO compensation</w:t>
      </w:r>
    </w:p>
    <w:p>
      <w:pPr>
        <w:spacing w:after="0" w:line="112"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For years prior to 2018, Section 162(m) of the Internal Revenue Code (“Code”) limited companies’ deduction for compensation paid to the CEO and the other three most highly paid executives (excluding the CEO and CFO) to $1 million, but allowed for the deduction for performance-based compensation costs/expenses for amounts even in excess of the $1 million limit. Effective January 1, 2018, the Tax Cut and Jobs Act (“TCJA”) repealed this exclusion for performance-based compensation and expanded the class of affected executives, which means that all compensation paid to persons who in 2017, or any year following, were the CEO, CFO (in 2018 or later) or one of the other three most highly paid executives (excluding our CEO and CFO) will be subject to the cap of $1 million. For LTIP awards made on or prior to November 2, 2017, but not yet vested and/or paid out (other than time-based RSUs, which are not qualified under Section 162(m) and therefore are not deductible unless paid after the executive terminates), we expect that the Company will still be able to deduct those amounts, provided that the Company meets the requirements in the TCJA. In January 2021, the Board amended and restated the CIP to remove outdated terms that were designed to allow awards under the CIP to satisfy conditions in Section 162(m) of the Code that were repealed in 2017 by the TCJA.</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61</w:t>
      </w:r>
    </w:p>
    <w:p>
      <w:pPr>
        <w:sectPr>
          <w:pgSz w:w="11900" w:h="16838" w:orient="portrait"/>
          <w:cols w:equalWidth="0" w:num="1">
            <w:col w:w="11140"/>
          </w:cols>
          <w:pgMar w:left="320" w:top="455" w:right="4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405890" cy="145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05890" cy="145415"/>
                    </a:xfrm>
                    <a:prstGeom prst="rect">
                      <a:avLst/>
                    </a:prstGeom>
                    <a:noFill/>
                  </pic:spPr>
                </pic:pic>
              </a:graphicData>
            </a:graphic>
          </wp:anchor>
        </w:drawing>
      </w:r>
    </w:p>
    <w:p>
      <w:pPr>
        <w:spacing w:after="0" w:line="33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Executive compensation</w:t>
      </w:r>
    </w:p>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0B2D71"/>
        </w:rPr>
        <w:t>Summary compensation table</w:t>
      </w:r>
    </w:p>
    <w:p>
      <w:pPr>
        <w:spacing w:after="0" w:line="134" w:lineRule="exact"/>
        <w:rPr>
          <w:sz w:val="20"/>
          <w:szCs w:val="20"/>
          <w:color w:val="auto"/>
        </w:rPr>
      </w:pPr>
    </w:p>
    <w:p>
      <w:pPr>
        <w:jc w:val="both"/>
        <w:ind w:left="120" w:right="20"/>
        <w:spacing w:after="0" w:line="266" w:lineRule="auto"/>
        <w:rPr>
          <w:sz w:val="20"/>
          <w:szCs w:val="20"/>
          <w:color w:val="auto"/>
        </w:rPr>
      </w:pPr>
      <w:r>
        <w:rPr>
          <w:rFonts w:ascii="Arial" w:cs="Arial" w:eastAsia="Arial" w:hAnsi="Arial"/>
          <w:sz w:val="16"/>
          <w:szCs w:val="16"/>
          <w:color w:val="auto"/>
        </w:rPr>
        <w:t>The following table sets forth the compensation of our NEOs for the fiscal year ended December 31, 2021, and for the fiscal years ended December 31, 2020, and December 31, 2019, if they were NEOs in those years. The primary components of each NEO’s compensation are also described in our “Compensation Discussion and Analysis” in this Proxy Statement.</w:t>
      </w:r>
    </w:p>
    <w:p>
      <w:pPr>
        <w:spacing w:after="0" w:line="91" w:lineRule="exact"/>
        <w:rPr>
          <w:sz w:val="20"/>
          <w:szCs w:val="20"/>
          <w:color w:val="auto"/>
        </w:rPr>
      </w:pPr>
    </w:p>
    <w:tbl>
      <w:tblPr>
        <w:tblLayout w:type="fixed"/>
        <w:tblInd w:w="130" w:type="dxa"/>
        <w:tblCellMar>
          <w:top w:w="0" w:type="dxa"/>
          <w:left w:w="0" w:type="dxa"/>
          <w:bottom w:w="0" w:type="dxa"/>
          <w:right w:w="0" w:type="dxa"/>
        </w:tblCellMar>
      </w:tblPr>
      <w:tr>
        <w:trPr>
          <w:trHeight w:val="220"/>
        </w:trPr>
        <w:tc>
          <w:tcPr>
            <w:tcW w:w="3340" w:type="dxa"/>
            <w:vAlign w:val="bottom"/>
            <w:tcBorders>
              <w:left w:val="single" w:sz="8" w:color="7F7F7F"/>
            </w:tcBorders>
            <w:shd w:val="clear" w:color="auto" w:fill="0066B2"/>
          </w:tcPr>
          <w:p>
            <w:pPr>
              <w:spacing w:after="0"/>
              <w:rPr>
                <w:sz w:val="19"/>
                <w:szCs w:val="19"/>
                <w:color w:val="auto"/>
              </w:rPr>
            </w:pPr>
          </w:p>
        </w:tc>
        <w:tc>
          <w:tcPr>
            <w:tcW w:w="580" w:type="dxa"/>
            <w:vAlign w:val="bottom"/>
            <w:shd w:val="clear" w:color="auto" w:fill="0066B2"/>
          </w:tcPr>
          <w:p>
            <w:pPr>
              <w:spacing w:after="0"/>
              <w:rPr>
                <w:sz w:val="19"/>
                <w:szCs w:val="19"/>
                <w:color w:val="auto"/>
              </w:rPr>
            </w:pPr>
          </w:p>
        </w:tc>
        <w:tc>
          <w:tcPr>
            <w:tcW w:w="180" w:type="dxa"/>
            <w:vAlign w:val="bottom"/>
            <w:shd w:val="clear" w:color="auto" w:fill="0066B2"/>
          </w:tcPr>
          <w:p>
            <w:pPr>
              <w:spacing w:after="0"/>
              <w:rPr>
                <w:sz w:val="19"/>
                <w:szCs w:val="19"/>
                <w:color w:val="auto"/>
              </w:rPr>
            </w:pPr>
          </w:p>
        </w:tc>
        <w:tc>
          <w:tcPr>
            <w:tcW w:w="740" w:type="dxa"/>
            <w:vAlign w:val="bottom"/>
            <w:shd w:val="clear" w:color="auto" w:fill="0066B2"/>
          </w:tcPr>
          <w:p>
            <w:pPr>
              <w:spacing w:after="0"/>
              <w:rPr>
                <w:sz w:val="19"/>
                <w:szCs w:val="19"/>
                <w:color w:val="auto"/>
              </w:rPr>
            </w:pPr>
          </w:p>
        </w:tc>
        <w:tc>
          <w:tcPr>
            <w:tcW w:w="160" w:type="dxa"/>
            <w:vAlign w:val="bottom"/>
            <w:shd w:val="clear" w:color="auto" w:fill="0066B2"/>
          </w:tcPr>
          <w:p>
            <w:pPr>
              <w:spacing w:after="0"/>
              <w:rPr>
                <w:sz w:val="19"/>
                <w:szCs w:val="19"/>
                <w:color w:val="auto"/>
              </w:rPr>
            </w:pPr>
          </w:p>
        </w:tc>
        <w:tc>
          <w:tcPr>
            <w:tcW w:w="820" w:type="dxa"/>
            <w:vAlign w:val="bottom"/>
            <w:shd w:val="clear" w:color="auto" w:fill="0066B2"/>
          </w:tcPr>
          <w:p>
            <w:pPr>
              <w:spacing w:after="0"/>
              <w:rPr>
                <w:sz w:val="19"/>
                <w:szCs w:val="19"/>
                <w:color w:val="auto"/>
              </w:rPr>
            </w:pPr>
          </w:p>
        </w:tc>
        <w:tc>
          <w:tcPr>
            <w:tcW w:w="180" w:type="dxa"/>
            <w:vAlign w:val="bottom"/>
            <w:shd w:val="clear" w:color="auto" w:fill="0066B2"/>
          </w:tcPr>
          <w:p>
            <w:pPr>
              <w:spacing w:after="0"/>
              <w:rPr>
                <w:sz w:val="19"/>
                <w:szCs w:val="19"/>
                <w:color w:val="auto"/>
              </w:rPr>
            </w:pPr>
          </w:p>
        </w:tc>
        <w:tc>
          <w:tcPr>
            <w:tcW w:w="720" w:type="dxa"/>
            <w:vAlign w:val="bottom"/>
            <w:shd w:val="clear" w:color="auto" w:fill="0066B2"/>
          </w:tcPr>
          <w:p>
            <w:pPr>
              <w:spacing w:after="0"/>
              <w:rPr>
                <w:sz w:val="19"/>
                <w:szCs w:val="19"/>
                <w:color w:val="auto"/>
              </w:rPr>
            </w:pPr>
          </w:p>
        </w:tc>
        <w:tc>
          <w:tcPr>
            <w:tcW w:w="380" w:type="dxa"/>
            <w:vAlign w:val="bottom"/>
            <w:shd w:val="clear" w:color="auto" w:fill="0066B2"/>
          </w:tcPr>
          <w:p>
            <w:pPr>
              <w:spacing w:after="0"/>
              <w:rPr>
                <w:sz w:val="19"/>
                <w:szCs w:val="19"/>
                <w:color w:val="auto"/>
              </w:rPr>
            </w:pPr>
          </w:p>
        </w:tc>
        <w:tc>
          <w:tcPr>
            <w:tcW w:w="720" w:type="dxa"/>
            <w:vAlign w:val="bottom"/>
            <w:shd w:val="clear" w:color="auto" w:fill="0066B2"/>
          </w:tcPr>
          <w:p>
            <w:pPr>
              <w:spacing w:after="0"/>
              <w:rPr>
                <w:sz w:val="19"/>
                <w:szCs w:val="19"/>
                <w:color w:val="auto"/>
              </w:rPr>
            </w:pPr>
          </w:p>
        </w:tc>
        <w:tc>
          <w:tcPr>
            <w:tcW w:w="1100" w:type="dxa"/>
            <w:vAlign w:val="bottom"/>
            <w:gridSpan w:val="2"/>
            <w:shd w:val="clear" w:color="auto" w:fill="0066B2"/>
          </w:tcPr>
          <w:p>
            <w:pPr>
              <w:ind w:left="200"/>
              <w:spacing w:after="0"/>
              <w:rPr>
                <w:sz w:val="20"/>
                <w:szCs w:val="20"/>
                <w:color w:val="auto"/>
              </w:rPr>
            </w:pPr>
            <w:r>
              <w:rPr>
                <w:rFonts w:ascii="Arial" w:cs="Arial" w:eastAsia="Arial" w:hAnsi="Arial"/>
                <w:sz w:val="14"/>
                <w:szCs w:val="14"/>
                <w:b w:val="1"/>
                <w:bCs w:val="1"/>
                <w:color w:val="FFFFFF"/>
              </w:rPr>
              <w:t>Change in</w:t>
            </w:r>
          </w:p>
        </w:tc>
        <w:tc>
          <w:tcPr>
            <w:tcW w:w="360" w:type="dxa"/>
            <w:vAlign w:val="bottom"/>
            <w:shd w:val="clear" w:color="auto" w:fill="0066B2"/>
          </w:tcPr>
          <w:p>
            <w:pPr>
              <w:spacing w:after="0"/>
              <w:rPr>
                <w:sz w:val="19"/>
                <w:szCs w:val="19"/>
                <w:color w:val="auto"/>
              </w:rPr>
            </w:pPr>
          </w:p>
        </w:tc>
        <w:tc>
          <w:tcPr>
            <w:tcW w:w="760" w:type="dxa"/>
            <w:vAlign w:val="bottom"/>
            <w:shd w:val="clear" w:color="auto" w:fill="0066B2"/>
          </w:tcPr>
          <w:p>
            <w:pPr>
              <w:spacing w:after="0"/>
              <w:rPr>
                <w:sz w:val="19"/>
                <w:szCs w:val="19"/>
                <w:color w:val="auto"/>
              </w:rPr>
            </w:pPr>
          </w:p>
        </w:tc>
        <w:tc>
          <w:tcPr>
            <w:tcW w:w="180" w:type="dxa"/>
            <w:vAlign w:val="bottom"/>
            <w:shd w:val="clear" w:color="auto" w:fill="0066B2"/>
          </w:tcPr>
          <w:p>
            <w:pPr>
              <w:spacing w:after="0"/>
              <w:rPr>
                <w:sz w:val="19"/>
                <w:szCs w:val="19"/>
                <w:color w:val="auto"/>
              </w:rPr>
            </w:pPr>
          </w:p>
        </w:tc>
        <w:tc>
          <w:tcPr>
            <w:tcW w:w="820" w:type="dxa"/>
            <w:vAlign w:val="bottom"/>
            <w:tcBorders>
              <w:right w:val="single" w:sz="8" w:color="7F7F7F"/>
            </w:tcBorders>
            <w:shd w:val="clear" w:color="auto" w:fill="0066B2"/>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340" w:type="dxa"/>
            <w:vAlign w:val="bottom"/>
            <w:tcBorders>
              <w:left w:val="single" w:sz="8" w:color="7F7F7F"/>
            </w:tcBorders>
            <w:shd w:val="clear" w:color="auto" w:fill="0066B2"/>
          </w:tcPr>
          <w:p>
            <w:pPr>
              <w:spacing w:after="0"/>
              <w:rPr>
                <w:sz w:val="14"/>
                <w:szCs w:val="14"/>
                <w:color w:val="auto"/>
              </w:rPr>
            </w:pPr>
          </w:p>
        </w:tc>
        <w:tc>
          <w:tcPr>
            <w:tcW w:w="580" w:type="dxa"/>
            <w:vAlign w:val="bottom"/>
            <w:shd w:val="clear" w:color="auto" w:fill="0066B2"/>
          </w:tcPr>
          <w:p>
            <w:pPr>
              <w:spacing w:after="0"/>
              <w:rPr>
                <w:sz w:val="14"/>
                <w:szCs w:val="14"/>
                <w:color w:val="auto"/>
              </w:rPr>
            </w:pPr>
          </w:p>
        </w:tc>
        <w:tc>
          <w:tcPr>
            <w:tcW w:w="180" w:type="dxa"/>
            <w:vAlign w:val="bottom"/>
            <w:shd w:val="clear" w:color="auto" w:fill="0066B2"/>
          </w:tcPr>
          <w:p>
            <w:pPr>
              <w:spacing w:after="0"/>
              <w:rPr>
                <w:sz w:val="14"/>
                <w:szCs w:val="14"/>
                <w:color w:val="auto"/>
              </w:rPr>
            </w:pPr>
          </w:p>
        </w:tc>
        <w:tc>
          <w:tcPr>
            <w:tcW w:w="740" w:type="dxa"/>
            <w:vAlign w:val="bottom"/>
            <w:shd w:val="clear" w:color="auto" w:fill="0066B2"/>
          </w:tcPr>
          <w:p>
            <w:pPr>
              <w:spacing w:after="0"/>
              <w:rPr>
                <w:sz w:val="14"/>
                <w:szCs w:val="14"/>
                <w:color w:val="auto"/>
              </w:rPr>
            </w:pPr>
          </w:p>
        </w:tc>
        <w:tc>
          <w:tcPr>
            <w:tcW w:w="160" w:type="dxa"/>
            <w:vAlign w:val="bottom"/>
            <w:shd w:val="clear" w:color="auto" w:fill="0066B2"/>
          </w:tcPr>
          <w:p>
            <w:pPr>
              <w:spacing w:after="0"/>
              <w:rPr>
                <w:sz w:val="14"/>
                <w:szCs w:val="14"/>
                <w:color w:val="auto"/>
              </w:rPr>
            </w:pPr>
          </w:p>
        </w:tc>
        <w:tc>
          <w:tcPr>
            <w:tcW w:w="820" w:type="dxa"/>
            <w:vAlign w:val="bottom"/>
            <w:shd w:val="clear" w:color="auto" w:fill="0066B2"/>
          </w:tcPr>
          <w:p>
            <w:pPr>
              <w:spacing w:after="0"/>
              <w:rPr>
                <w:sz w:val="14"/>
                <w:szCs w:val="14"/>
                <w:color w:val="auto"/>
              </w:rPr>
            </w:pPr>
          </w:p>
        </w:tc>
        <w:tc>
          <w:tcPr>
            <w:tcW w:w="180" w:type="dxa"/>
            <w:vAlign w:val="bottom"/>
            <w:shd w:val="clear" w:color="auto" w:fill="0066B2"/>
          </w:tcPr>
          <w:p>
            <w:pPr>
              <w:spacing w:after="0"/>
              <w:rPr>
                <w:sz w:val="14"/>
                <w:szCs w:val="14"/>
                <w:color w:val="auto"/>
              </w:rPr>
            </w:pPr>
          </w:p>
        </w:tc>
        <w:tc>
          <w:tcPr>
            <w:tcW w:w="720" w:type="dxa"/>
            <w:vAlign w:val="bottom"/>
            <w:shd w:val="clear" w:color="auto" w:fill="0066B2"/>
          </w:tcPr>
          <w:p>
            <w:pPr>
              <w:spacing w:after="0"/>
              <w:rPr>
                <w:sz w:val="14"/>
                <w:szCs w:val="14"/>
                <w:color w:val="auto"/>
              </w:rPr>
            </w:pPr>
          </w:p>
        </w:tc>
        <w:tc>
          <w:tcPr>
            <w:tcW w:w="380" w:type="dxa"/>
            <w:vAlign w:val="bottom"/>
            <w:shd w:val="clear" w:color="auto" w:fill="0066B2"/>
          </w:tcPr>
          <w:p>
            <w:pPr>
              <w:spacing w:after="0"/>
              <w:rPr>
                <w:sz w:val="14"/>
                <w:szCs w:val="14"/>
                <w:color w:val="auto"/>
              </w:rPr>
            </w:pPr>
          </w:p>
        </w:tc>
        <w:tc>
          <w:tcPr>
            <w:tcW w:w="720" w:type="dxa"/>
            <w:vAlign w:val="bottom"/>
            <w:shd w:val="clear" w:color="auto" w:fill="0066B2"/>
          </w:tcPr>
          <w:p>
            <w:pPr>
              <w:spacing w:after="0"/>
              <w:rPr>
                <w:sz w:val="14"/>
                <w:szCs w:val="14"/>
                <w:color w:val="auto"/>
              </w:rPr>
            </w:pPr>
          </w:p>
        </w:tc>
        <w:tc>
          <w:tcPr>
            <w:tcW w:w="280" w:type="dxa"/>
            <w:vAlign w:val="bottom"/>
            <w:shd w:val="clear" w:color="auto" w:fill="0066B2"/>
          </w:tcPr>
          <w:p>
            <w:pPr>
              <w:spacing w:after="0"/>
              <w:rPr>
                <w:sz w:val="14"/>
                <w:szCs w:val="14"/>
                <w:color w:val="auto"/>
              </w:rPr>
            </w:pPr>
          </w:p>
        </w:tc>
        <w:tc>
          <w:tcPr>
            <w:tcW w:w="820" w:type="dxa"/>
            <w:vAlign w:val="bottom"/>
            <w:shd w:val="clear" w:color="auto" w:fill="0066B2"/>
          </w:tcPr>
          <w:p>
            <w:pPr>
              <w:jc w:val="center"/>
              <w:ind w:right="208"/>
              <w:spacing w:after="0"/>
              <w:rPr>
                <w:sz w:val="20"/>
                <w:szCs w:val="20"/>
                <w:color w:val="auto"/>
              </w:rPr>
            </w:pPr>
            <w:r>
              <w:rPr>
                <w:rFonts w:ascii="Arial" w:cs="Arial" w:eastAsia="Arial" w:hAnsi="Arial"/>
                <w:sz w:val="14"/>
                <w:szCs w:val="14"/>
                <w:b w:val="1"/>
                <w:bCs w:val="1"/>
                <w:color w:val="FFFFFF"/>
              </w:rPr>
              <w:t>pension</w:t>
            </w:r>
          </w:p>
        </w:tc>
        <w:tc>
          <w:tcPr>
            <w:tcW w:w="360" w:type="dxa"/>
            <w:vAlign w:val="bottom"/>
            <w:shd w:val="clear" w:color="auto" w:fill="0066B2"/>
          </w:tcPr>
          <w:p>
            <w:pPr>
              <w:spacing w:after="0"/>
              <w:rPr>
                <w:sz w:val="14"/>
                <w:szCs w:val="14"/>
                <w:color w:val="auto"/>
              </w:rPr>
            </w:pPr>
          </w:p>
        </w:tc>
        <w:tc>
          <w:tcPr>
            <w:tcW w:w="760" w:type="dxa"/>
            <w:vAlign w:val="bottom"/>
            <w:shd w:val="clear" w:color="auto" w:fill="0066B2"/>
          </w:tcPr>
          <w:p>
            <w:pPr>
              <w:spacing w:after="0"/>
              <w:rPr>
                <w:sz w:val="14"/>
                <w:szCs w:val="14"/>
                <w:color w:val="auto"/>
              </w:rPr>
            </w:pPr>
          </w:p>
        </w:tc>
        <w:tc>
          <w:tcPr>
            <w:tcW w:w="180" w:type="dxa"/>
            <w:vAlign w:val="bottom"/>
            <w:shd w:val="clear" w:color="auto" w:fill="0066B2"/>
          </w:tcPr>
          <w:p>
            <w:pPr>
              <w:spacing w:after="0"/>
              <w:rPr>
                <w:sz w:val="14"/>
                <w:szCs w:val="14"/>
                <w:color w:val="auto"/>
              </w:rPr>
            </w:pPr>
          </w:p>
        </w:tc>
        <w:tc>
          <w:tcPr>
            <w:tcW w:w="820" w:type="dxa"/>
            <w:vAlign w:val="bottom"/>
            <w:tcBorders>
              <w:right w:val="single" w:sz="8" w:color="7F7F7F"/>
            </w:tcBorders>
            <w:shd w:val="clear" w:color="auto" w:fill="0066B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Borders>
              <w:left w:val="single" w:sz="8" w:color="7F7F7F"/>
            </w:tcBorders>
            <w:shd w:val="clear" w:color="auto" w:fill="0066B2"/>
          </w:tcPr>
          <w:p>
            <w:pPr>
              <w:spacing w:after="0"/>
              <w:rPr>
                <w:sz w:val="14"/>
                <w:szCs w:val="14"/>
                <w:color w:val="auto"/>
              </w:rPr>
            </w:pPr>
          </w:p>
        </w:tc>
        <w:tc>
          <w:tcPr>
            <w:tcW w:w="580" w:type="dxa"/>
            <w:vAlign w:val="bottom"/>
            <w:shd w:val="clear" w:color="auto" w:fill="0066B2"/>
          </w:tcPr>
          <w:p>
            <w:pPr>
              <w:spacing w:after="0"/>
              <w:rPr>
                <w:sz w:val="14"/>
                <w:szCs w:val="14"/>
                <w:color w:val="auto"/>
              </w:rPr>
            </w:pPr>
          </w:p>
        </w:tc>
        <w:tc>
          <w:tcPr>
            <w:tcW w:w="180" w:type="dxa"/>
            <w:vAlign w:val="bottom"/>
            <w:shd w:val="clear" w:color="auto" w:fill="0066B2"/>
          </w:tcPr>
          <w:p>
            <w:pPr>
              <w:spacing w:after="0"/>
              <w:rPr>
                <w:sz w:val="14"/>
                <w:szCs w:val="14"/>
                <w:color w:val="auto"/>
              </w:rPr>
            </w:pPr>
          </w:p>
        </w:tc>
        <w:tc>
          <w:tcPr>
            <w:tcW w:w="740" w:type="dxa"/>
            <w:vAlign w:val="bottom"/>
            <w:shd w:val="clear" w:color="auto" w:fill="0066B2"/>
          </w:tcPr>
          <w:p>
            <w:pPr>
              <w:spacing w:after="0"/>
              <w:rPr>
                <w:sz w:val="14"/>
                <w:szCs w:val="14"/>
                <w:color w:val="auto"/>
              </w:rPr>
            </w:pPr>
          </w:p>
        </w:tc>
        <w:tc>
          <w:tcPr>
            <w:tcW w:w="160" w:type="dxa"/>
            <w:vAlign w:val="bottom"/>
            <w:shd w:val="clear" w:color="auto" w:fill="0066B2"/>
          </w:tcPr>
          <w:p>
            <w:pPr>
              <w:spacing w:after="0"/>
              <w:rPr>
                <w:sz w:val="14"/>
                <w:szCs w:val="14"/>
                <w:color w:val="auto"/>
              </w:rPr>
            </w:pPr>
          </w:p>
        </w:tc>
        <w:tc>
          <w:tcPr>
            <w:tcW w:w="820" w:type="dxa"/>
            <w:vAlign w:val="bottom"/>
            <w:shd w:val="clear" w:color="auto" w:fill="0066B2"/>
          </w:tcPr>
          <w:p>
            <w:pPr>
              <w:spacing w:after="0"/>
              <w:rPr>
                <w:sz w:val="14"/>
                <w:szCs w:val="14"/>
                <w:color w:val="auto"/>
              </w:rPr>
            </w:pPr>
          </w:p>
        </w:tc>
        <w:tc>
          <w:tcPr>
            <w:tcW w:w="180" w:type="dxa"/>
            <w:vAlign w:val="bottom"/>
            <w:shd w:val="clear" w:color="auto" w:fill="0066B2"/>
          </w:tcPr>
          <w:p>
            <w:pPr>
              <w:spacing w:after="0"/>
              <w:rPr>
                <w:sz w:val="14"/>
                <w:szCs w:val="14"/>
                <w:color w:val="auto"/>
              </w:rPr>
            </w:pPr>
          </w:p>
        </w:tc>
        <w:tc>
          <w:tcPr>
            <w:tcW w:w="720" w:type="dxa"/>
            <w:vAlign w:val="bottom"/>
            <w:shd w:val="clear" w:color="auto" w:fill="0066B2"/>
          </w:tcPr>
          <w:p>
            <w:pPr>
              <w:spacing w:after="0"/>
              <w:rPr>
                <w:sz w:val="14"/>
                <w:szCs w:val="14"/>
                <w:color w:val="auto"/>
              </w:rPr>
            </w:pPr>
          </w:p>
        </w:tc>
        <w:tc>
          <w:tcPr>
            <w:tcW w:w="380" w:type="dxa"/>
            <w:vAlign w:val="bottom"/>
            <w:shd w:val="clear" w:color="auto" w:fill="0066B2"/>
          </w:tcPr>
          <w:p>
            <w:pPr>
              <w:spacing w:after="0"/>
              <w:rPr>
                <w:sz w:val="14"/>
                <w:szCs w:val="14"/>
                <w:color w:val="auto"/>
              </w:rPr>
            </w:pPr>
          </w:p>
        </w:tc>
        <w:tc>
          <w:tcPr>
            <w:tcW w:w="720" w:type="dxa"/>
            <w:vAlign w:val="bottom"/>
            <w:shd w:val="clear" w:color="auto" w:fill="0066B2"/>
          </w:tcPr>
          <w:p>
            <w:pPr>
              <w:spacing w:after="0"/>
              <w:rPr>
                <w:sz w:val="14"/>
                <w:szCs w:val="14"/>
                <w:color w:val="auto"/>
              </w:rPr>
            </w:pPr>
          </w:p>
        </w:tc>
        <w:tc>
          <w:tcPr>
            <w:tcW w:w="1100" w:type="dxa"/>
            <w:vAlign w:val="bottom"/>
            <w:gridSpan w:val="2"/>
            <w:shd w:val="clear" w:color="auto" w:fill="0066B2"/>
          </w:tcPr>
          <w:p>
            <w:pPr>
              <w:ind w:left="220"/>
              <w:spacing w:after="0"/>
              <w:rPr>
                <w:sz w:val="20"/>
                <w:szCs w:val="20"/>
                <w:color w:val="auto"/>
              </w:rPr>
            </w:pPr>
            <w:r>
              <w:rPr>
                <w:rFonts w:ascii="Arial" w:cs="Arial" w:eastAsia="Arial" w:hAnsi="Arial"/>
                <w:sz w:val="14"/>
                <w:szCs w:val="14"/>
                <w:b w:val="1"/>
                <w:bCs w:val="1"/>
                <w:color w:val="FFFFFF"/>
              </w:rPr>
              <w:t>value and</w:t>
            </w:r>
          </w:p>
        </w:tc>
        <w:tc>
          <w:tcPr>
            <w:tcW w:w="360" w:type="dxa"/>
            <w:vAlign w:val="bottom"/>
            <w:shd w:val="clear" w:color="auto" w:fill="0066B2"/>
          </w:tcPr>
          <w:p>
            <w:pPr>
              <w:spacing w:after="0"/>
              <w:rPr>
                <w:sz w:val="14"/>
                <w:szCs w:val="14"/>
                <w:color w:val="auto"/>
              </w:rPr>
            </w:pPr>
          </w:p>
        </w:tc>
        <w:tc>
          <w:tcPr>
            <w:tcW w:w="760" w:type="dxa"/>
            <w:vAlign w:val="bottom"/>
            <w:shd w:val="clear" w:color="auto" w:fill="0066B2"/>
          </w:tcPr>
          <w:p>
            <w:pPr>
              <w:spacing w:after="0"/>
              <w:rPr>
                <w:sz w:val="14"/>
                <w:szCs w:val="14"/>
                <w:color w:val="auto"/>
              </w:rPr>
            </w:pPr>
          </w:p>
        </w:tc>
        <w:tc>
          <w:tcPr>
            <w:tcW w:w="180" w:type="dxa"/>
            <w:vAlign w:val="bottom"/>
            <w:shd w:val="clear" w:color="auto" w:fill="0066B2"/>
          </w:tcPr>
          <w:p>
            <w:pPr>
              <w:spacing w:after="0"/>
              <w:rPr>
                <w:sz w:val="14"/>
                <w:szCs w:val="14"/>
                <w:color w:val="auto"/>
              </w:rPr>
            </w:pPr>
          </w:p>
        </w:tc>
        <w:tc>
          <w:tcPr>
            <w:tcW w:w="820" w:type="dxa"/>
            <w:vAlign w:val="bottom"/>
            <w:tcBorders>
              <w:right w:val="single" w:sz="8" w:color="7F7F7F"/>
            </w:tcBorders>
            <w:shd w:val="clear" w:color="auto" w:fill="0066B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Borders>
              <w:left w:val="single" w:sz="8" w:color="7F7F7F"/>
            </w:tcBorders>
            <w:shd w:val="clear" w:color="auto" w:fill="0066B2"/>
          </w:tcPr>
          <w:p>
            <w:pPr>
              <w:spacing w:after="0"/>
              <w:rPr>
                <w:sz w:val="14"/>
                <w:szCs w:val="14"/>
                <w:color w:val="auto"/>
              </w:rPr>
            </w:pPr>
          </w:p>
        </w:tc>
        <w:tc>
          <w:tcPr>
            <w:tcW w:w="580" w:type="dxa"/>
            <w:vAlign w:val="bottom"/>
            <w:shd w:val="clear" w:color="auto" w:fill="0066B2"/>
          </w:tcPr>
          <w:p>
            <w:pPr>
              <w:spacing w:after="0"/>
              <w:rPr>
                <w:sz w:val="14"/>
                <w:szCs w:val="14"/>
                <w:color w:val="auto"/>
              </w:rPr>
            </w:pPr>
          </w:p>
        </w:tc>
        <w:tc>
          <w:tcPr>
            <w:tcW w:w="180" w:type="dxa"/>
            <w:vAlign w:val="bottom"/>
            <w:shd w:val="clear" w:color="auto" w:fill="0066B2"/>
          </w:tcPr>
          <w:p>
            <w:pPr>
              <w:spacing w:after="0"/>
              <w:rPr>
                <w:sz w:val="14"/>
                <w:szCs w:val="14"/>
                <w:color w:val="auto"/>
              </w:rPr>
            </w:pPr>
          </w:p>
        </w:tc>
        <w:tc>
          <w:tcPr>
            <w:tcW w:w="740" w:type="dxa"/>
            <w:vAlign w:val="bottom"/>
            <w:shd w:val="clear" w:color="auto" w:fill="0066B2"/>
          </w:tcPr>
          <w:p>
            <w:pPr>
              <w:spacing w:after="0"/>
              <w:rPr>
                <w:sz w:val="14"/>
                <w:szCs w:val="14"/>
                <w:color w:val="auto"/>
              </w:rPr>
            </w:pPr>
          </w:p>
        </w:tc>
        <w:tc>
          <w:tcPr>
            <w:tcW w:w="160" w:type="dxa"/>
            <w:vAlign w:val="bottom"/>
            <w:shd w:val="clear" w:color="auto" w:fill="0066B2"/>
          </w:tcPr>
          <w:p>
            <w:pPr>
              <w:spacing w:after="0"/>
              <w:rPr>
                <w:sz w:val="14"/>
                <w:szCs w:val="14"/>
                <w:color w:val="auto"/>
              </w:rPr>
            </w:pPr>
          </w:p>
        </w:tc>
        <w:tc>
          <w:tcPr>
            <w:tcW w:w="820" w:type="dxa"/>
            <w:vAlign w:val="bottom"/>
            <w:shd w:val="clear" w:color="auto" w:fill="0066B2"/>
          </w:tcPr>
          <w:p>
            <w:pPr>
              <w:spacing w:after="0"/>
              <w:rPr>
                <w:sz w:val="14"/>
                <w:szCs w:val="14"/>
                <w:color w:val="auto"/>
              </w:rPr>
            </w:pPr>
          </w:p>
        </w:tc>
        <w:tc>
          <w:tcPr>
            <w:tcW w:w="180" w:type="dxa"/>
            <w:vAlign w:val="bottom"/>
            <w:shd w:val="clear" w:color="auto" w:fill="0066B2"/>
          </w:tcPr>
          <w:p>
            <w:pPr>
              <w:spacing w:after="0"/>
              <w:rPr>
                <w:sz w:val="14"/>
                <w:szCs w:val="14"/>
                <w:color w:val="auto"/>
              </w:rPr>
            </w:pPr>
          </w:p>
        </w:tc>
        <w:tc>
          <w:tcPr>
            <w:tcW w:w="720" w:type="dxa"/>
            <w:vAlign w:val="bottom"/>
            <w:shd w:val="clear" w:color="auto" w:fill="0066B2"/>
          </w:tcPr>
          <w:p>
            <w:pPr>
              <w:spacing w:after="0"/>
              <w:rPr>
                <w:sz w:val="14"/>
                <w:szCs w:val="14"/>
                <w:color w:val="auto"/>
              </w:rPr>
            </w:pPr>
          </w:p>
        </w:tc>
        <w:tc>
          <w:tcPr>
            <w:tcW w:w="380" w:type="dxa"/>
            <w:vAlign w:val="bottom"/>
            <w:shd w:val="clear" w:color="auto" w:fill="0066B2"/>
          </w:tcPr>
          <w:p>
            <w:pPr>
              <w:spacing w:after="0"/>
              <w:rPr>
                <w:sz w:val="14"/>
                <w:szCs w:val="14"/>
                <w:color w:val="auto"/>
              </w:rPr>
            </w:pPr>
          </w:p>
        </w:tc>
        <w:tc>
          <w:tcPr>
            <w:tcW w:w="720" w:type="dxa"/>
            <w:vAlign w:val="bottom"/>
            <w:shd w:val="clear" w:color="auto" w:fill="0066B2"/>
          </w:tcPr>
          <w:p>
            <w:pPr>
              <w:spacing w:after="0"/>
              <w:rPr>
                <w:sz w:val="14"/>
                <w:szCs w:val="14"/>
                <w:color w:val="auto"/>
              </w:rPr>
            </w:pPr>
          </w:p>
        </w:tc>
        <w:tc>
          <w:tcPr>
            <w:tcW w:w="1100" w:type="dxa"/>
            <w:vAlign w:val="bottom"/>
            <w:gridSpan w:val="2"/>
            <w:shd w:val="clear" w:color="auto" w:fill="0066B2"/>
          </w:tcPr>
          <w:p>
            <w:pPr>
              <w:jc w:val="center"/>
              <w:spacing w:after="0"/>
              <w:rPr>
                <w:sz w:val="20"/>
                <w:szCs w:val="20"/>
                <w:color w:val="auto"/>
              </w:rPr>
            </w:pPr>
            <w:r>
              <w:rPr>
                <w:rFonts w:ascii="Arial" w:cs="Arial" w:eastAsia="Arial" w:hAnsi="Arial"/>
                <w:sz w:val="14"/>
                <w:szCs w:val="14"/>
                <w:b w:val="1"/>
                <w:bCs w:val="1"/>
                <w:color w:val="FFFFFF"/>
              </w:rPr>
              <w:t>nonqualified</w:t>
            </w:r>
          </w:p>
        </w:tc>
        <w:tc>
          <w:tcPr>
            <w:tcW w:w="360" w:type="dxa"/>
            <w:vAlign w:val="bottom"/>
            <w:shd w:val="clear" w:color="auto" w:fill="0066B2"/>
          </w:tcPr>
          <w:p>
            <w:pPr>
              <w:spacing w:after="0"/>
              <w:rPr>
                <w:sz w:val="14"/>
                <w:szCs w:val="14"/>
                <w:color w:val="auto"/>
              </w:rPr>
            </w:pPr>
          </w:p>
        </w:tc>
        <w:tc>
          <w:tcPr>
            <w:tcW w:w="760" w:type="dxa"/>
            <w:vAlign w:val="bottom"/>
            <w:shd w:val="clear" w:color="auto" w:fill="0066B2"/>
          </w:tcPr>
          <w:p>
            <w:pPr>
              <w:spacing w:after="0"/>
              <w:rPr>
                <w:sz w:val="14"/>
                <w:szCs w:val="14"/>
                <w:color w:val="auto"/>
              </w:rPr>
            </w:pPr>
          </w:p>
        </w:tc>
        <w:tc>
          <w:tcPr>
            <w:tcW w:w="180" w:type="dxa"/>
            <w:vAlign w:val="bottom"/>
            <w:shd w:val="clear" w:color="auto" w:fill="0066B2"/>
          </w:tcPr>
          <w:p>
            <w:pPr>
              <w:spacing w:after="0"/>
              <w:rPr>
                <w:sz w:val="14"/>
                <w:szCs w:val="14"/>
                <w:color w:val="auto"/>
              </w:rPr>
            </w:pPr>
          </w:p>
        </w:tc>
        <w:tc>
          <w:tcPr>
            <w:tcW w:w="820" w:type="dxa"/>
            <w:vAlign w:val="bottom"/>
            <w:tcBorders>
              <w:right w:val="single" w:sz="8" w:color="7F7F7F"/>
            </w:tcBorders>
            <w:shd w:val="clear" w:color="auto" w:fill="0066B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Borders>
              <w:left w:val="single" w:sz="8" w:color="7F7F7F"/>
            </w:tcBorders>
            <w:shd w:val="clear" w:color="auto" w:fill="0066B2"/>
          </w:tcPr>
          <w:p>
            <w:pPr>
              <w:spacing w:after="0"/>
              <w:rPr>
                <w:sz w:val="14"/>
                <w:szCs w:val="14"/>
                <w:color w:val="auto"/>
              </w:rPr>
            </w:pPr>
          </w:p>
        </w:tc>
        <w:tc>
          <w:tcPr>
            <w:tcW w:w="580" w:type="dxa"/>
            <w:vAlign w:val="bottom"/>
            <w:shd w:val="clear" w:color="auto" w:fill="0066B2"/>
          </w:tcPr>
          <w:p>
            <w:pPr>
              <w:spacing w:after="0"/>
              <w:rPr>
                <w:sz w:val="14"/>
                <w:szCs w:val="14"/>
                <w:color w:val="auto"/>
              </w:rPr>
            </w:pPr>
          </w:p>
        </w:tc>
        <w:tc>
          <w:tcPr>
            <w:tcW w:w="180" w:type="dxa"/>
            <w:vAlign w:val="bottom"/>
            <w:shd w:val="clear" w:color="auto" w:fill="0066B2"/>
          </w:tcPr>
          <w:p>
            <w:pPr>
              <w:spacing w:after="0"/>
              <w:rPr>
                <w:sz w:val="14"/>
                <w:szCs w:val="14"/>
                <w:color w:val="auto"/>
              </w:rPr>
            </w:pPr>
          </w:p>
        </w:tc>
        <w:tc>
          <w:tcPr>
            <w:tcW w:w="740" w:type="dxa"/>
            <w:vAlign w:val="bottom"/>
            <w:shd w:val="clear" w:color="auto" w:fill="0066B2"/>
          </w:tcPr>
          <w:p>
            <w:pPr>
              <w:spacing w:after="0"/>
              <w:rPr>
                <w:sz w:val="14"/>
                <w:szCs w:val="14"/>
                <w:color w:val="auto"/>
              </w:rPr>
            </w:pPr>
          </w:p>
        </w:tc>
        <w:tc>
          <w:tcPr>
            <w:tcW w:w="160" w:type="dxa"/>
            <w:vAlign w:val="bottom"/>
            <w:shd w:val="clear" w:color="auto" w:fill="0066B2"/>
          </w:tcPr>
          <w:p>
            <w:pPr>
              <w:spacing w:after="0"/>
              <w:rPr>
                <w:sz w:val="14"/>
                <w:szCs w:val="14"/>
                <w:color w:val="auto"/>
              </w:rPr>
            </w:pPr>
          </w:p>
        </w:tc>
        <w:tc>
          <w:tcPr>
            <w:tcW w:w="820" w:type="dxa"/>
            <w:vAlign w:val="bottom"/>
            <w:shd w:val="clear" w:color="auto" w:fill="0066B2"/>
          </w:tcPr>
          <w:p>
            <w:pPr>
              <w:spacing w:after="0"/>
              <w:rPr>
                <w:sz w:val="14"/>
                <w:szCs w:val="14"/>
                <w:color w:val="auto"/>
              </w:rPr>
            </w:pPr>
          </w:p>
        </w:tc>
        <w:tc>
          <w:tcPr>
            <w:tcW w:w="180" w:type="dxa"/>
            <w:vAlign w:val="bottom"/>
            <w:shd w:val="clear" w:color="auto" w:fill="0066B2"/>
          </w:tcPr>
          <w:p>
            <w:pPr>
              <w:spacing w:after="0"/>
              <w:rPr>
                <w:sz w:val="14"/>
                <w:szCs w:val="14"/>
                <w:color w:val="auto"/>
              </w:rPr>
            </w:pPr>
          </w:p>
        </w:tc>
        <w:tc>
          <w:tcPr>
            <w:tcW w:w="720" w:type="dxa"/>
            <w:vAlign w:val="bottom"/>
            <w:shd w:val="clear" w:color="auto" w:fill="0066B2"/>
          </w:tcPr>
          <w:p>
            <w:pPr>
              <w:spacing w:after="0"/>
              <w:rPr>
                <w:sz w:val="14"/>
                <w:szCs w:val="14"/>
                <w:color w:val="auto"/>
              </w:rPr>
            </w:pPr>
          </w:p>
        </w:tc>
        <w:tc>
          <w:tcPr>
            <w:tcW w:w="1100" w:type="dxa"/>
            <w:vAlign w:val="bottom"/>
            <w:gridSpan w:val="2"/>
            <w:shd w:val="clear" w:color="auto" w:fill="0066B2"/>
          </w:tcPr>
          <w:p>
            <w:pPr>
              <w:jc w:val="center"/>
              <w:spacing w:after="0"/>
              <w:rPr>
                <w:sz w:val="20"/>
                <w:szCs w:val="20"/>
                <w:color w:val="auto"/>
              </w:rPr>
            </w:pPr>
            <w:r>
              <w:rPr>
                <w:rFonts w:ascii="Arial" w:cs="Arial" w:eastAsia="Arial" w:hAnsi="Arial"/>
                <w:sz w:val="14"/>
                <w:szCs w:val="14"/>
                <w:b w:val="1"/>
                <w:bCs w:val="1"/>
                <w:color w:val="FFFFFF"/>
              </w:rPr>
              <w:t>Non-equity</w:t>
            </w:r>
          </w:p>
        </w:tc>
        <w:tc>
          <w:tcPr>
            <w:tcW w:w="1100" w:type="dxa"/>
            <w:vAlign w:val="bottom"/>
            <w:gridSpan w:val="2"/>
            <w:shd w:val="clear" w:color="auto" w:fill="0066B2"/>
          </w:tcPr>
          <w:p>
            <w:pPr>
              <w:jc w:val="center"/>
              <w:spacing w:after="0"/>
              <w:rPr>
                <w:sz w:val="20"/>
                <w:szCs w:val="20"/>
                <w:color w:val="auto"/>
              </w:rPr>
            </w:pPr>
            <w:r>
              <w:rPr>
                <w:rFonts w:ascii="Arial" w:cs="Arial" w:eastAsia="Arial" w:hAnsi="Arial"/>
                <w:sz w:val="14"/>
                <w:szCs w:val="14"/>
                <w:b w:val="1"/>
                <w:bCs w:val="1"/>
                <w:color w:val="FFFFFF"/>
              </w:rPr>
              <w:t>deferred</w:t>
            </w:r>
          </w:p>
        </w:tc>
        <w:tc>
          <w:tcPr>
            <w:tcW w:w="360" w:type="dxa"/>
            <w:vAlign w:val="bottom"/>
            <w:shd w:val="clear" w:color="auto" w:fill="0066B2"/>
          </w:tcPr>
          <w:p>
            <w:pPr>
              <w:spacing w:after="0"/>
              <w:rPr>
                <w:sz w:val="14"/>
                <w:szCs w:val="14"/>
                <w:color w:val="auto"/>
              </w:rPr>
            </w:pPr>
          </w:p>
        </w:tc>
        <w:tc>
          <w:tcPr>
            <w:tcW w:w="760" w:type="dxa"/>
            <w:vAlign w:val="bottom"/>
            <w:shd w:val="clear" w:color="auto" w:fill="0066B2"/>
          </w:tcPr>
          <w:p>
            <w:pPr>
              <w:spacing w:after="0"/>
              <w:rPr>
                <w:sz w:val="14"/>
                <w:szCs w:val="14"/>
                <w:color w:val="auto"/>
              </w:rPr>
            </w:pPr>
          </w:p>
        </w:tc>
        <w:tc>
          <w:tcPr>
            <w:tcW w:w="180" w:type="dxa"/>
            <w:vAlign w:val="bottom"/>
            <w:shd w:val="clear" w:color="auto" w:fill="0066B2"/>
          </w:tcPr>
          <w:p>
            <w:pPr>
              <w:spacing w:after="0"/>
              <w:rPr>
                <w:sz w:val="14"/>
                <w:szCs w:val="14"/>
                <w:color w:val="auto"/>
              </w:rPr>
            </w:pPr>
          </w:p>
        </w:tc>
        <w:tc>
          <w:tcPr>
            <w:tcW w:w="820" w:type="dxa"/>
            <w:vAlign w:val="bottom"/>
            <w:tcBorders>
              <w:right w:val="single" w:sz="8" w:color="7F7F7F"/>
            </w:tcBorders>
            <w:shd w:val="clear" w:color="auto" w:fill="0066B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Borders>
              <w:left w:val="single" w:sz="8" w:color="7F7F7F"/>
            </w:tcBorders>
            <w:shd w:val="clear" w:color="auto" w:fill="0066B2"/>
          </w:tcPr>
          <w:p>
            <w:pPr>
              <w:spacing w:after="0"/>
              <w:rPr>
                <w:sz w:val="14"/>
                <w:szCs w:val="14"/>
                <w:color w:val="auto"/>
              </w:rPr>
            </w:pPr>
          </w:p>
        </w:tc>
        <w:tc>
          <w:tcPr>
            <w:tcW w:w="580" w:type="dxa"/>
            <w:vAlign w:val="bottom"/>
            <w:shd w:val="clear" w:color="auto" w:fill="0066B2"/>
          </w:tcPr>
          <w:p>
            <w:pPr>
              <w:spacing w:after="0"/>
              <w:rPr>
                <w:sz w:val="14"/>
                <w:szCs w:val="14"/>
                <w:color w:val="auto"/>
              </w:rPr>
            </w:pPr>
          </w:p>
        </w:tc>
        <w:tc>
          <w:tcPr>
            <w:tcW w:w="180" w:type="dxa"/>
            <w:vAlign w:val="bottom"/>
            <w:shd w:val="clear" w:color="auto" w:fill="0066B2"/>
          </w:tcPr>
          <w:p>
            <w:pPr>
              <w:spacing w:after="0"/>
              <w:rPr>
                <w:sz w:val="14"/>
                <w:szCs w:val="14"/>
                <w:color w:val="auto"/>
              </w:rPr>
            </w:pPr>
          </w:p>
        </w:tc>
        <w:tc>
          <w:tcPr>
            <w:tcW w:w="740" w:type="dxa"/>
            <w:vAlign w:val="bottom"/>
            <w:shd w:val="clear" w:color="auto" w:fill="0066B2"/>
          </w:tcPr>
          <w:p>
            <w:pPr>
              <w:spacing w:after="0"/>
              <w:rPr>
                <w:sz w:val="14"/>
                <w:szCs w:val="14"/>
                <w:color w:val="auto"/>
              </w:rPr>
            </w:pPr>
          </w:p>
        </w:tc>
        <w:tc>
          <w:tcPr>
            <w:tcW w:w="160" w:type="dxa"/>
            <w:vAlign w:val="bottom"/>
            <w:shd w:val="clear" w:color="auto" w:fill="0066B2"/>
          </w:tcPr>
          <w:p>
            <w:pPr>
              <w:spacing w:after="0"/>
              <w:rPr>
                <w:sz w:val="14"/>
                <w:szCs w:val="14"/>
                <w:color w:val="auto"/>
              </w:rPr>
            </w:pPr>
          </w:p>
        </w:tc>
        <w:tc>
          <w:tcPr>
            <w:tcW w:w="820" w:type="dxa"/>
            <w:vAlign w:val="bottom"/>
            <w:shd w:val="clear" w:color="auto" w:fill="0066B2"/>
          </w:tcPr>
          <w:p>
            <w:pPr>
              <w:jc w:val="center"/>
              <w:ind w:right="108"/>
              <w:spacing w:after="0"/>
              <w:rPr>
                <w:sz w:val="20"/>
                <w:szCs w:val="20"/>
                <w:color w:val="auto"/>
              </w:rPr>
            </w:pPr>
            <w:r>
              <w:rPr>
                <w:rFonts w:ascii="Arial" w:cs="Arial" w:eastAsia="Arial" w:hAnsi="Arial"/>
                <w:sz w:val="14"/>
                <w:szCs w:val="14"/>
                <w:b w:val="1"/>
                <w:bCs w:val="1"/>
                <w:color w:val="FFFFFF"/>
              </w:rPr>
              <w:t>Stock</w:t>
            </w:r>
          </w:p>
        </w:tc>
        <w:tc>
          <w:tcPr>
            <w:tcW w:w="180" w:type="dxa"/>
            <w:vAlign w:val="bottom"/>
            <w:shd w:val="clear" w:color="auto" w:fill="0066B2"/>
          </w:tcPr>
          <w:p>
            <w:pPr>
              <w:spacing w:after="0"/>
              <w:rPr>
                <w:sz w:val="14"/>
                <w:szCs w:val="14"/>
                <w:color w:val="auto"/>
              </w:rPr>
            </w:pPr>
          </w:p>
        </w:tc>
        <w:tc>
          <w:tcPr>
            <w:tcW w:w="720" w:type="dxa"/>
            <w:vAlign w:val="bottom"/>
            <w:shd w:val="clear" w:color="auto" w:fill="0066B2"/>
          </w:tcPr>
          <w:p>
            <w:pPr>
              <w:jc w:val="center"/>
              <w:ind w:right="108"/>
              <w:spacing w:after="0"/>
              <w:rPr>
                <w:sz w:val="20"/>
                <w:szCs w:val="20"/>
                <w:color w:val="auto"/>
              </w:rPr>
            </w:pPr>
            <w:r>
              <w:rPr>
                <w:rFonts w:ascii="Arial" w:cs="Arial" w:eastAsia="Arial" w:hAnsi="Arial"/>
                <w:sz w:val="14"/>
                <w:szCs w:val="14"/>
                <w:b w:val="1"/>
                <w:bCs w:val="1"/>
                <w:color w:val="FFFFFF"/>
              </w:rPr>
              <w:t>Option</w:t>
            </w:r>
          </w:p>
        </w:tc>
        <w:tc>
          <w:tcPr>
            <w:tcW w:w="1100" w:type="dxa"/>
            <w:vAlign w:val="bottom"/>
            <w:gridSpan w:val="2"/>
            <w:shd w:val="clear" w:color="auto" w:fill="0066B2"/>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100" w:type="dxa"/>
            <w:vAlign w:val="bottom"/>
            <w:gridSpan w:val="2"/>
            <w:shd w:val="clear" w:color="auto" w:fill="0066B2"/>
          </w:tcPr>
          <w:p>
            <w:pPr>
              <w:jc w:val="center"/>
              <w:spacing w:after="0"/>
              <w:rPr>
                <w:sz w:val="20"/>
                <w:szCs w:val="20"/>
                <w:color w:val="auto"/>
              </w:rPr>
            </w:pPr>
            <w:r>
              <w:rPr>
                <w:rFonts w:ascii="Arial" w:cs="Arial" w:eastAsia="Arial" w:hAnsi="Arial"/>
                <w:sz w:val="14"/>
                <w:szCs w:val="14"/>
                <w:b w:val="1"/>
                <w:bCs w:val="1"/>
                <w:color w:val="FFFFFF"/>
              </w:rPr>
              <w:t>compensation</w:t>
            </w:r>
          </w:p>
        </w:tc>
        <w:tc>
          <w:tcPr>
            <w:tcW w:w="1120" w:type="dxa"/>
            <w:vAlign w:val="bottom"/>
            <w:gridSpan w:val="2"/>
            <w:shd w:val="clear" w:color="auto" w:fill="0066B2"/>
          </w:tcPr>
          <w:p>
            <w:pPr>
              <w:ind w:left="260"/>
              <w:spacing w:after="0"/>
              <w:rPr>
                <w:sz w:val="20"/>
                <w:szCs w:val="20"/>
                <w:color w:val="auto"/>
              </w:rPr>
            </w:pPr>
            <w:r>
              <w:rPr>
                <w:rFonts w:ascii="Arial" w:cs="Arial" w:eastAsia="Arial" w:hAnsi="Arial"/>
                <w:sz w:val="14"/>
                <w:szCs w:val="14"/>
                <w:b w:val="1"/>
                <w:bCs w:val="1"/>
                <w:color w:val="FFFFFF"/>
              </w:rPr>
              <w:t>All other</w:t>
            </w:r>
          </w:p>
        </w:tc>
        <w:tc>
          <w:tcPr>
            <w:tcW w:w="180" w:type="dxa"/>
            <w:vAlign w:val="bottom"/>
            <w:shd w:val="clear" w:color="auto" w:fill="0066B2"/>
          </w:tcPr>
          <w:p>
            <w:pPr>
              <w:spacing w:after="0"/>
              <w:rPr>
                <w:sz w:val="14"/>
                <w:szCs w:val="14"/>
                <w:color w:val="auto"/>
              </w:rPr>
            </w:pPr>
          </w:p>
        </w:tc>
        <w:tc>
          <w:tcPr>
            <w:tcW w:w="820" w:type="dxa"/>
            <w:vAlign w:val="bottom"/>
            <w:tcBorders>
              <w:right w:val="single" w:sz="8" w:color="7F7F7F"/>
            </w:tcBorders>
            <w:shd w:val="clear" w:color="auto" w:fill="0066B2"/>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340" w:type="dxa"/>
            <w:vAlign w:val="bottom"/>
            <w:tcBorders>
              <w:left w:val="single" w:sz="8" w:color="7F7F7F"/>
            </w:tcBorders>
            <w:shd w:val="clear" w:color="auto" w:fill="0066B2"/>
          </w:tcPr>
          <w:p>
            <w:pPr>
              <w:ind w:left="160"/>
              <w:spacing w:after="0" w:line="157" w:lineRule="exact"/>
              <w:rPr>
                <w:sz w:val="20"/>
                <w:szCs w:val="20"/>
                <w:color w:val="auto"/>
              </w:rPr>
            </w:pPr>
            <w:r>
              <w:rPr>
                <w:rFonts w:ascii="Arial" w:cs="Arial" w:eastAsia="Arial" w:hAnsi="Arial"/>
                <w:sz w:val="14"/>
                <w:szCs w:val="14"/>
                <w:b w:val="1"/>
                <w:bCs w:val="1"/>
                <w:color w:val="FFFFFF"/>
              </w:rPr>
              <w:t>Name and</w:t>
            </w:r>
          </w:p>
        </w:tc>
        <w:tc>
          <w:tcPr>
            <w:tcW w:w="580" w:type="dxa"/>
            <w:vAlign w:val="bottom"/>
            <w:shd w:val="clear" w:color="auto" w:fill="0066B2"/>
          </w:tcPr>
          <w:p>
            <w:pPr>
              <w:spacing w:after="0"/>
              <w:rPr>
                <w:sz w:val="13"/>
                <w:szCs w:val="13"/>
                <w:color w:val="auto"/>
              </w:rPr>
            </w:pPr>
          </w:p>
        </w:tc>
        <w:tc>
          <w:tcPr>
            <w:tcW w:w="180" w:type="dxa"/>
            <w:vAlign w:val="bottom"/>
            <w:shd w:val="clear" w:color="auto" w:fill="0066B2"/>
          </w:tcPr>
          <w:p>
            <w:pPr>
              <w:spacing w:after="0"/>
              <w:rPr>
                <w:sz w:val="13"/>
                <w:szCs w:val="13"/>
                <w:color w:val="auto"/>
              </w:rPr>
            </w:pPr>
          </w:p>
        </w:tc>
        <w:tc>
          <w:tcPr>
            <w:tcW w:w="740" w:type="dxa"/>
            <w:vAlign w:val="bottom"/>
            <w:shd w:val="clear" w:color="auto" w:fill="0066B2"/>
          </w:tcPr>
          <w:p>
            <w:pPr>
              <w:jc w:val="right"/>
              <w:ind w:right="188"/>
              <w:spacing w:after="0" w:line="157" w:lineRule="exact"/>
              <w:rPr>
                <w:sz w:val="20"/>
                <w:szCs w:val="20"/>
                <w:color w:val="auto"/>
              </w:rPr>
            </w:pPr>
            <w:r>
              <w:rPr>
                <w:rFonts w:ascii="Arial" w:cs="Arial" w:eastAsia="Arial" w:hAnsi="Arial"/>
                <w:sz w:val="14"/>
                <w:szCs w:val="14"/>
                <w:b w:val="1"/>
                <w:bCs w:val="1"/>
                <w:color w:val="FFFFFF"/>
              </w:rPr>
              <w:t>Salary</w:t>
            </w:r>
          </w:p>
        </w:tc>
        <w:tc>
          <w:tcPr>
            <w:tcW w:w="160" w:type="dxa"/>
            <w:vAlign w:val="bottom"/>
            <w:shd w:val="clear" w:color="auto" w:fill="0066B2"/>
          </w:tcPr>
          <w:p>
            <w:pPr>
              <w:spacing w:after="0"/>
              <w:rPr>
                <w:sz w:val="13"/>
                <w:szCs w:val="13"/>
                <w:color w:val="auto"/>
              </w:rPr>
            </w:pPr>
          </w:p>
        </w:tc>
        <w:tc>
          <w:tcPr>
            <w:tcW w:w="820" w:type="dxa"/>
            <w:vAlign w:val="bottom"/>
            <w:shd w:val="clear" w:color="auto" w:fill="0066B2"/>
          </w:tcPr>
          <w:p>
            <w:pPr>
              <w:jc w:val="center"/>
              <w:ind w:right="128"/>
              <w:spacing w:after="0" w:line="157" w:lineRule="exact"/>
              <w:rPr>
                <w:sz w:val="20"/>
                <w:szCs w:val="20"/>
                <w:color w:val="auto"/>
              </w:rPr>
            </w:pPr>
            <w:r>
              <w:rPr>
                <w:rFonts w:ascii="Arial" w:cs="Arial" w:eastAsia="Arial" w:hAnsi="Arial"/>
                <w:sz w:val="14"/>
                <w:szCs w:val="14"/>
                <w:b w:val="1"/>
                <w:bCs w:val="1"/>
                <w:color w:val="FFFFFF"/>
              </w:rPr>
              <w:t>awards</w:t>
            </w:r>
          </w:p>
        </w:tc>
        <w:tc>
          <w:tcPr>
            <w:tcW w:w="180" w:type="dxa"/>
            <w:vAlign w:val="bottom"/>
            <w:shd w:val="clear" w:color="auto" w:fill="0066B2"/>
          </w:tcPr>
          <w:p>
            <w:pPr>
              <w:spacing w:after="0"/>
              <w:rPr>
                <w:sz w:val="13"/>
                <w:szCs w:val="13"/>
                <w:color w:val="auto"/>
              </w:rPr>
            </w:pPr>
          </w:p>
        </w:tc>
        <w:tc>
          <w:tcPr>
            <w:tcW w:w="720" w:type="dxa"/>
            <w:vAlign w:val="bottom"/>
            <w:shd w:val="clear" w:color="auto" w:fill="0066B2"/>
          </w:tcPr>
          <w:p>
            <w:pPr>
              <w:jc w:val="center"/>
              <w:ind w:right="108"/>
              <w:spacing w:after="0" w:line="157" w:lineRule="exact"/>
              <w:rPr>
                <w:sz w:val="20"/>
                <w:szCs w:val="20"/>
                <w:color w:val="auto"/>
              </w:rPr>
            </w:pPr>
            <w:r>
              <w:rPr>
                <w:rFonts w:ascii="Arial" w:cs="Arial" w:eastAsia="Arial" w:hAnsi="Arial"/>
                <w:sz w:val="14"/>
                <w:szCs w:val="14"/>
                <w:b w:val="1"/>
                <w:bCs w:val="1"/>
                <w:color w:val="FFFFFF"/>
              </w:rPr>
              <w:t>awards</w:t>
            </w:r>
          </w:p>
        </w:tc>
        <w:tc>
          <w:tcPr>
            <w:tcW w:w="1100" w:type="dxa"/>
            <w:vAlign w:val="bottom"/>
            <w:gridSpan w:val="2"/>
            <w:shd w:val="clear" w:color="auto" w:fill="0066B2"/>
          </w:tcPr>
          <w:p>
            <w:pPr>
              <w:jc w:val="center"/>
              <w:spacing w:after="0" w:line="157" w:lineRule="exact"/>
              <w:rPr>
                <w:sz w:val="20"/>
                <w:szCs w:val="20"/>
                <w:color w:val="auto"/>
              </w:rPr>
            </w:pPr>
            <w:r>
              <w:rPr>
                <w:rFonts w:ascii="Arial" w:cs="Arial" w:eastAsia="Arial" w:hAnsi="Arial"/>
                <w:sz w:val="14"/>
                <w:szCs w:val="14"/>
                <w:b w:val="1"/>
                <w:bCs w:val="1"/>
                <w:color w:val="FFFFFF"/>
              </w:rPr>
              <w:t>compensation</w:t>
            </w:r>
          </w:p>
        </w:tc>
        <w:tc>
          <w:tcPr>
            <w:tcW w:w="1100" w:type="dxa"/>
            <w:vAlign w:val="bottom"/>
            <w:gridSpan w:val="2"/>
            <w:shd w:val="clear" w:color="auto" w:fill="0066B2"/>
          </w:tcPr>
          <w:p>
            <w:pPr>
              <w:jc w:val="center"/>
              <w:spacing w:after="0" w:line="157" w:lineRule="exact"/>
              <w:rPr>
                <w:sz w:val="20"/>
                <w:szCs w:val="20"/>
                <w:color w:val="auto"/>
              </w:rPr>
            </w:pPr>
            <w:r>
              <w:rPr>
                <w:rFonts w:ascii="Arial" w:cs="Arial" w:eastAsia="Arial" w:hAnsi="Arial"/>
                <w:sz w:val="14"/>
                <w:szCs w:val="14"/>
                <w:b w:val="1"/>
                <w:bCs w:val="1"/>
                <w:color w:val="FFFFFF"/>
              </w:rPr>
              <w:t>earnings</w:t>
            </w:r>
          </w:p>
        </w:tc>
        <w:tc>
          <w:tcPr>
            <w:tcW w:w="1120" w:type="dxa"/>
            <w:vAlign w:val="bottom"/>
            <w:gridSpan w:val="2"/>
            <w:shd w:val="clear" w:color="auto" w:fill="0066B2"/>
          </w:tcPr>
          <w:p>
            <w:pPr>
              <w:jc w:val="right"/>
              <w:ind w:right="11"/>
              <w:spacing w:after="0" w:line="157" w:lineRule="exact"/>
              <w:rPr>
                <w:sz w:val="20"/>
                <w:szCs w:val="20"/>
                <w:color w:val="auto"/>
              </w:rPr>
            </w:pPr>
            <w:r>
              <w:rPr>
                <w:rFonts w:ascii="Arial" w:cs="Arial" w:eastAsia="Arial" w:hAnsi="Arial"/>
                <w:sz w:val="14"/>
                <w:szCs w:val="14"/>
                <w:b w:val="1"/>
                <w:bCs w:val="1"/>
                <w:color w:val="FFFFFF"/>
              </w:rPr>
              <w:t>compensation</w:t>
            </w:r>
          </w:p>
        </w:tc>
        <w:tc>
          <w:tcPr>
            <w:tcW w:w="180" w:type="dxa"/>
            <w:vAlign w:val="bottom"/>
            <w:shd w:val="clear" w:color="auto" w:fill="0066B2"/>
          </w:tcPr>
          <w:p>
            <w:pPr>
              <w:spacing w:after="0"/>
              <w:rPr>
                <w:sz w:val="13"/>
                <w:szCs w:val="13"/>
                <w:color w:val="auto"/>
              </w:rPr>
            </w:pPr>
          </w:p>
        </w:tc>
        <w:tc>
          <w:tcPr>
            <w:tcW w:w="820" w:type="dxa"/>
            <w:vAlign w:val="bottom"/>
            <w:tcBorders>
              <w:right w:val="single" w:sz="8" w:color="7F7F7F"/>
            </w:tcBorders>
            <w:shd w:val="clear" w:color="auto" w:fill="0066B2"/>
          </w:tcPr>
          <w:p>
            <w:pPr>
              <w:jc w:val="right"/>
              <w:ind w:right="268"/>
              <w:spacing w:after="0" w:line="157"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44"/>
        </w:trPr>
        <w:tc>
          <w:tcPr>
            <w:tcW w:w="3340" w:type="dxa"/>
            <w:vAlign w:val="bottom"/>
            <w:tcBorders>
              <w:left w:val="single" w:sz="8" w:color="7F7F7F"/>
            </w:tcBorders>
            <w:shd w:val="clear" w:color="auto" w:fill="0066B2"/>
          </w:tcPr>
          <w:p>
            <w:pPr>
              <w:ind w:left="160"/>
              <w:spacing w:after="0"/>
              <w:rPr>
                <w:sz w:val="20"/>
                <w:szCs w:val="20"/>
                <w:color w:val="auto"/>
              </w:rPr>
            </w:pPr>
            <w:r>
              <w:rPr>
                <w:rFonts w:ascii="Arial" w:cs="Arial" w:eastAsia="Arial" w:hAnsi="Arial"/>
                <w:sz w:val="14"/>
                <w:szCs w:val="14"/>
                <w:b w:val="1"/>
                <w:bCs w:val="1"/>
                <w:color w:val="FFFFFF"/>
              </w:rPr>
              <w:t>principal position</w:t>
            </w:r>
          </w:p>
        </w:tc>
        <w:tc>
          <w:tcPr>
            <w:tcW w:w="580" w:type="dxa"/>
            <w:vAlign w:val="bottom"/>
            <w:shd w:val="clear" w:color="auto" w:fill="0066B2"/>
          </w:tcPr>
          <w:p>
            <w:pPr>
              <w:jc w:val="right"/>
              <w:ind w:right="48"/>
              <w:spacing w:after="0"/>
              <w:rPr>
                <w:sz w:val="20"/>
                <w:szCs w:val="20"/>
                <w:color w:val="auto"/>
              </w:rPr>
            </w:pPr>
            <w:r>
              <w:rPr>
                <w:rFonts w:ascii="Arial" w:cs="Arial" w:eastAsia="Arial" w:hAnsi="Arial"/>
                <w:sz w:val="14"/>
                <w:szCs w:val="14"/>
                <w:b w:val="1"/>
                <w:bCs w:val="1"/>
                <w:color w:val="FFFFFF"/>
              </w:rPr>
              <w:t>Year</w:t>
            </w:r>
          </w:p>
        </w:tc>
        <w:tc>
          <w:tcPr>
            <w:tcW w:w="180" w:type="dxa"/>
            <w:vAlign w:val="bottom"/>
            <w:shd w:val="clear" w:color="auto" w:fill="0066B2"/>
          </w:tcPr>
          <w:p>
            <w:pPr>
              <w:spacing w:after="0"/>
              <w:rPr>
                <w:sz w:val="21"/>
                <w:szCs w:val="21"/>
                <w:color w:val="auto"/>
              </w:rPr>
            </w:pPr>
          </w:p>
        </w:tc>
        <w:tc>
          <w:tcPr>
            <w:tcW w:w="740" w:type="dxa"/>
            <w:vAlign w:val="bottom"/>
            <w:shd w:val="clear" w:color="auto" w:fill="0066B2"/>
          </w:tcPr>
          <w:p>
            <w:pPr>
              <w:jc w:val="right"/>
              <w:ind w:right="248"/>
              <w:spacing w:after="0" w:line="244"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4"/>
                <w:szCs w:val="24"/>
                <w:b w:val="1"/>
                <w:bCs w:val="1"/>
                <w:color w:val="FFFFFF"/>
                <w:vertAlign w:val="superscript"/>
              </w:rPr>
              <w:t>(1)</w:t>
            </w:r>
          </w:p>
        </w:tc>
        <w:tc>
          <w:tcPr>
            <w:tcW w:w="160" w:type="dxa"/>
            <w:vAlign w:val="bottom"/>
            <w:shd w:val="clear" w:color="auto" w:fill="0066B2"/>
          </w:tcPr>
          <w:p>
            <w:pPr>
              <w:spacing w:after="0"/>
              <w:rPr>
                <w:sz w:val="21"/>
                <w:szCs w:val="21"/>
                <w:color w:val="auto"/>
              </w:rPr>
            </w:pPr>
          </w:p>
        </w:tc>
        <w:tc>
          <w:tcPr>
            <w:tcW w:w="820" w:type="dxa"/>
            <w:vAlign w:val="bottom"/>
            <w:shd w:val="clear" w:color="auto" w:fill="0066B2"/>
          </w:tcPr>
          <w:p>
            <w:pPr>
              <w:jc w:val="center"/>
              <w:ind w:right="108"/>
              <w:spacing w:after="0" w:line="244"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24"/>
                <w:szCs w:val="24"/>
                <w:b w:val="1"/>
                <w:bCs w:val="1"/>
                <w:color w:val="FFFFFF"/>
                <w:w w:val="87"/>
                <w:vertAlign w:val="superscript"/>
              </w:rPr>
              <w:t>(2)</w:t>
            </w:r>
          </w:p>
        </w:tc>
        <w:tc>
          <w:tcPr>
            <w:tcW w:w="180" w:type="dxa"/>
            <w:vAlign w:val="bottom"/>
            <w:shd w:val="clear" w:color="auto" w:fill="0066B2"/>
          </w:tcPr>
          <w:p>
            <w:pPr>
              <w:spacing w:after="0"/>
              <w:rPr>
                <w:sz w:val="21"/>
                <w:szCs w:val="21"/>
                <w:color w:val="auto"/>
              </w:rPr>
            </w:pPr>
          </w:p>
        </w:tc>
        <w:tc>
          <w:tcPr>
            <w:tcW w:w="720" w:type="dxa"/>
            <w:vAlign w:val="bottom"/>
            <w:shd w:val="clear" w:color="auto" w:fill="0066B2"/>
          </w:tcPr>
          <w:p>
            <w:pPr>
              <w:jc w:val="center"/>
              <w:ind w:right="128"/>
              <w:spacing w:after="0" w:line="244"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24"/>
                <w:szCs w:val="24"/>
                <w:b w:val="1"/>
                <w:bCs w:val="1"/>
                <w:color w:val="FFFFFF"/>
                <w:w w:val="87"/>
                <w:vertAlign w:val="superscript"/>
              </w:rPr>
              <w:t>(3)</w:t>
            </w:r>
          </w:p>
        </w:tc>
        <w:tc>
          <w:tcPr>
            <w:tcW w:w="380" w:type="dxa"/>
            <w:vAlign w:val="bottom"/>
            <w:shd w:val="clear" w:color="auto" w:fill="0066B2"/>
          </w:tcPr>
          <w:p>
            <w:pPr>
              <w:spacing w:after="0"/>
              <w:rPr>
                <w:sz w:val="21"/>
                <w:szCs w:val="21"/>
                <w:color w:val="auto"/>
              </w:rPr>
            </w:pPr>
          </w:p>
        </w:tc>
        <w:tc>
          <w:tcPr>
            <w:tcW w:w="720" w:type="dxa"/>
            <w:vAlign w:val="bottom"/>
            <w:shd w:val="clear" w:color="auto" w:fill="0066B2"/>
          </w:tcPr>
          <w:p>
            <w:pPr>
              <w:jc w:val="center"/>
              <w:ind w:right="288"/>
              <w:spacing w:after="0" w:line="244"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24"/>
                <w:szCs w:val="24"/>
                <w:b w:val="1"/>
                <w:bCs w:val="1"/>
                <w:color w:val="FFFFFF"/>
                <w:w w:val="87"/>
                <w:vertAlign w:val="superscript"/>
              </w:rPr>
              <w:t>(4)</w:t>
            </w:r>
          </w:p>
        </w:tc>
        <w:tc>
          <w:tcPr>
            <w:tcW w:w="280" w:type="dxa"/>
            <w:vAlign w:val="bottom"/>
            <w:shd w:val="clear" w:color="auto" w:fill="0066B2"/>
          </w:tcPr>
          <w:p>
            <w:pPr>
              <w:spacing w:after="0"/>
              <w:rPr>
                <w:sz w:val="21"/>
                <w:szCs w:val="21"/>
                <w:color w:val="auto"/>
              </w:rPr>
            </w:pPr>
          </w:p>
        </w:tc>
        <w:tc>
          <w:tcPr>
            <w:tcW w:w="820" w:type="dxa"/>
            <w:vAlign w:val="bottom"/>
            <w:shd w:val="clear" w:color="auto" w:fill="0066B2"/>
          </w:tcPr>
          <w:p>
            <w:pPr>
              <w:jc w:val="center"/>
              <w:ind w:right="188"/>
              <w:spacing w:after="0" w:line="244"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24"/>
                <w:szCs w:val="24"/>
                <w:b w:val="1"/>
                <w:bCs w:val="1"/>
                <w:color w:val="FFFFFF"/>
                <w:w w:val="87"/>
                <w:vertAlign w:val="superscript"/>
              </w:rPr>
              <w:t>(5)</w:t>
            </w:r>
          </w:p>
        </w:tc>
        <w:tc>
          <w:tcPr>
            <w:tcW w:w="360" w:type="dxa"/>
            <w:vAlign w:val="bottom"/>
            <w:shd w:val="clear" w:color="auto" w:fill="0066B2"/>
          </w:tcPr>
          <w:p>
            <w:pPr>
              <w:spacing w:after="0"/>
              <w:rPr>
                <w:sz w:val="21"/>
                <w:szCs w:val="21"/>
                <w:color w:val="auto"/>
              </w:rPr>
            </w:pPr>
          </w:p>
        </w:tc>
        <w:tc>
          <w:tcPr>
            <w:tcW w:w="760" w:type="dxa"/>
            <w:vAlign w:val="bottom"/>
            <w:shd w:val="clear" w:color="auto" w:fill="0066B2"/>
          </w:tcPr>
          <w:p>
            <w:pPr>
              <w:jc w:val="right"/>
              <w:ind w:right="351"/>
              <w:spacing w:after="0" w:line="244"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24"/>
                <w:szCs w:val="24"/>
                <w:b w:val="1"/>
                <w:bCs w:val="1"/>
                <w:color w:val="FFFFFF"/>
                <w:w w:val="87"/>
                <w:vertAlign w:val="superscript"/>
              </w:rPr>
              <w:t>(6)</w:t>
            </w:r>
          </w:p>
        </w:tc>
        <w:tc>
          <w:tcPr>
            <w:tcW w:w="180" w:type="dxa"/>
            <w:vAlign w:val="bottom"/>
            <w:shd w:val="clear" w:color="auto" w:fill="0066B2"/>
          </w:tcPr>
          <w:p>
            <w:pPr>
              <w:spacing w:after="0"/>
              <w:rPr>
                <w:sz w:val="21"/>
                <w:szCs w:val="21"/>
                <w:color w:val="auto"/>
              </w:rPr>
            </w:pPr>
          </w:p>
        </w:tc>
        <w:tc>
          <w:tcPr>
            <w:tcW w:w="820" w:type="dxa"/>
            <w:vAlign w:val="bottom"/>
            <w:tcBorders>
              <w:right w:val="single" w:sz="8" w:color="7F7F7F"/>
            </w:tcBorders>
            <w:shd w:val="clear" w:color="auto" w:fill="0066B2"/>
          </w:tcPr>
          <w:p>
            <w:pPr>
              <w:jc w:val="right"/>
              <w:ind w:right="3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3340" w:type="dxa"/>
            <w:vAlign w:val="bottom"/>
            <w:tcBorders>
              <w:left w:val="single" w:sz="8" w:color="7F7F7F"/>
            </w:tcBorders>
          </w:tcPr>
          <w:p>
            <w:pPr>
              <w:ind w:left="160"/>
              <w:spacing w:after="0"/>
              <w:rPr>
                <w:sz w:val="20"/>
                <w:szCs w:val="20"/>
                <w:color w:val="auto"/>
              </w:rPr>
            </w:pPr>
            <w:r>
              <w:rPr>
                <w:rFonts w:ascii="Arial" w:cs="Arial" w:eastAsia="Arial" w:hAnsi="Arial"/>
                <w:sz w:val="14"/>
                <w:szCs w:val="14"/>
                <w:color w:val="auto"/>
              </w:rPr>
              <w:t>M.K. Wirth,</w:t>
            </w:r>
          </w:p>
        </w:tc>
        <w:tc>
          <w:tcPr>
            <w:tcW w:w="58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2021</w:t>
            </w:r>
          </w:p>
        </w:tc>
        <w:tc>
          <w:tcPr>
            <w:tcW w:w="920" w:type="dxa"/>
            <w:vAlign w:val="bottom"/>
            <w:gridSpan w:val="2"/>
            <w:shd w:val="clear" w:color="auto" w:fill="D8D8D8"/>
          </w:tcPr>
          <w:p>
            <w:pPr>
              <w:jc w:val="right"/>
              <w:ind w:right="8"/>
              <w:spacing w:after="0"/>
              <w:rPr>
                <w:sz w:val="20"/>
                <w:szCs w:val="20"/>
                <w:color w:val="auto"/>
              </w:rPr>
            </w:pPr>
            <w:r>
              <w:rPr>
                <w:rFonts w:ascii="Arial" w:cs="Arial" w:eastAsia="Arial" w:hAnsi="Arial"/>
                <w:sz w:val="14"/>
                <w:szCs w:val="14"/>
                <w:color w:val="auto"/>
              </w:rPr>
              <w:t>$ 1,650,000</w:t>
            </w:r>
          </w:p>
        </w:tc>
        <w:tc>
          <w:tcPr>
            <w:tcW w:w="1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12,233,699</w:t>
            </w:r>
          </w:p>
        </w:tc>
        <w:tc>
          <w:tcPr>
            <w:tcW w:w="90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$ 3,874,962</w:t>
            </w:r>
          </w:p>
        </w:tc>
        <w:tc>
          <w:tcPr>
            <w:tcW w:w="110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$ 4,500,000</w:t>
            </w:r>
          </w:p>
        </w:tc>
        <w:tc>
          <w:tcPr>
            <w:tcW w:w="280" w:type="dxa"/>
            <w:vAlign w:val="bottom"/>
            <w:shd w:val="clear" w:color="auto" w:fill="D8D8D8"/>
          </w:tcPr>
          <w:p>
            <w:pPr>
              <w:spacing w:after="0"/>
              <w:rPr>
                <w:sz w:val="18"/>
                <w:szCs w:val="18"/>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D8D8D8"/>
          </w:tcPr>
          <w:p>
            <w:pPr>
              <w:jc w:val="right"/>
              <w:ind w:right="171"/>
              <w:spacing w:after="0"/>
              <w:rPr>
                <w:sz w:val="20"/>
                <w:szCs w:val="20"/>
                <w:color w:val="auto"/>
              </w:rPr>
            </w:pPr>
            <w:r>
              <w:rPr>
                <w:rFonts w:ascii="Arial" w:cs="Arial" w:eastAsia="Arial" w:hAnsi="Arial"/>
                <w:sz w:val="14"/>
                <w:szCs w:val="14"/>
                <w:color w:val="auto"/>
              </w:rPr>
              <w:t>$ 351,624</w:t>
            </w:r>
          </w:p>
        </w:tc>
        <w:tc>
          <w:tcPr>
            <w:tcW w:w="1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7F7F7F"/>
            </w:tcBorders>
            <w:shd w:val="clear" w:color="auto" w:fill="D8D8D8"/>
          </w:tcPr>
          <w:p>
            <w:pPr>
              <w:jc w:val="right"/>
              <w:ind w:right="8"/>
              <w:spacing w:after="0"/>
              <w:rPr>
                <w:sz w:val="20"/>
                <w:szCs w:val="20"/>
                <w:color w:val="auto"/>
              </w:rPr>
            </w:pPr>
            <w:r>
              <w:rPr>
                <w:rFonts w:ascii="Arial" w:cs="Arial" w:eastAsia="Arial" w:hAnsi="Arial"/>
                <w:sz w:val="14"/>
                <w:szCs w:val="14"/>
                <w:color w:val="auto"/>
              </w:rPr>
              <w:t>22,610,285</w:t>
            </w:r>
          </w:p>
        </w:tc>
        <w:tc>
          <w:tcPr>
            <w:tcW w:w="0" w:type="dxa"/>
            <w:vAlign w:val="bottom"/>
          </w:tcPr>
          <w:p>
            <w:pPr>
              <w:spacing w:after="0"/>
              <w:rPr>
                <w:sz w:val="1"/>
                <w:szCs w:val="1"/>
                <w:color w:val="auto"/>
              </w:rPr>
            </w:pPr>
          </w:p>
        </w:tc>
      </w:tr>
      <w:tr>
        <w:trPr>
          <w:trHeight w:val="108"/>
        </w:trPr>
        <w:tc>
          <w:tcPr>
            <w:tcW w:w="3340" w:type="dxa"/>
            <w:vAlign w:val="bottom"/>
            <w:tcBorders>
              <w:left w:val="single" w:sz="8" w:color="7F7F7F"/>
            </w:tcBorders>
            <w:vMerge w:val="restart"/>
          </w:tcPr>
          <w:p>
            <w:pPr>
              <w:ind w:left="160"/>
              <w:spacing w:after="0"/>
              <w:rPr>
                <w:sz w:val="20"/>
                <w:szCs w:val="20"/>
                <w:color w:val="auto"/>
              </w:rPr>
            </w:pPr>
            <w:r>
              <w:rPr>
                <w:rFonts w:ascii="Arial" w:cs="Arial" w:eastAsia="Arial" w:hAnsi="Arial"/>
                <w:sz w:val="14"/>
                <w:szCs w:val="14"/>
                <w:color w:val="auto"/>
              </w:rPr>
              <w:t>Chairman and CEO</w:t>
            </w:r>
          </w:p>
        </w:tc>
        <w:tc>
          <w:tcPr>
            <w:tcW w:w="580" w:type="dxa"/>
            <w:vAlign w:val="bottom"/>
            <w:shd w:val="clear" w:color="auto" w:fill="D8D8D8"/>
          </w:tcPr>
          <w:p>
            <w:pPr>
              <w:spacing w:after="0"/>
              <w:rPr>
                <w:sz w:val="9"/>
                <w:szCs w:val="9"/>
                <w:color w:val="auto"/>
              </w:rPr>
            </w:pPr>
          </w:p>
        </w:tc>
        <w:tc>
          <w:tcPr>
            <w:tcW w:w="180" w:type="dxa"/>
            <w:vAlign w:val="bottom"/>
            <w:shd w:val="clear" w:color="auto" w:fill="D8D8D8"/>
          </w:tcPr>
          <w:p>
            <w:pPr>
              <w:spacing w:after="0"/>
              <w:rPr>
                <w:sz w:val="9"/>
                <w:szCs w:val="9"/>
                <w:color w:val="auto"/>
              </w:rPr>
            </w:pPr>
          </w:p>
        </w:tc>
        <w:tc>
          <w:tcPr>
            <w:tcW w:w="740" w:type="dxa"/>
            <w:vAlign w:val="bottom"/>
            <w:shd w:val="clear" w:color="auto" w:fill="D8D8D8"/>
          </w:tcPr>
          <w:p>
            <w:pPr>
              <w:spacing w:after="0"/>
              <w:rPr>
                <w:sz w:val="9"/>
                <w:szCs w:val="9"/>
                <w:color w:val="auto"/>
              </w:rPr>
            </w:pPr>
          </w:p>
        </w:tc>
        <w:tc>
          <w:tcPr>
            <w:tcW w:w="160" w:type="dxa"/>
            <w:vAlign w:val="bottom"/>
            <w:shd w:val="clear" w:color="auto" w:fill="D8D8D8"/>
          </w:tcPr>
          <w:p>
            <w:pPr>
              <w:spacing w:after="0"/>
              <w:rPr>
                <w:sz w:val="9"/>
                <w:szCs w:val="9"/>
                <w:color w:val="auto"/>
              </w:rPr>
            </w:pPr>
          </w:p>
        </w:tc>
        <w:tc>
          <w:tcPr>
            <w:tcW w:w="820" w:type="dxa"/>
            <w:vAlign w:val="bottom"/>
            <w:shd w:val="clear" w:color="auto" w:fill="D8D8D8"/>
          </w:tcPr>
          <w:p>
            <w:pPr>
              <w:spacing w:after="0"/>
              <w:rPr>
                <w:sz w:val="9"/>
                <w:szCs w:val="9"/>
                <w:color w:val="auto"/>
              </w:rPr>
            </w:pPr>
          </w:p>
        </w:tc>
        <w:tc>
          <w:tcPr>
            <w:tcW w:w="180" w:type="dxa"/>
            <w:vAlign w:val="bottom"/>
            <w:shd w:val="clear" w:color="auto" w:fill="D8D8D8"/>
          </w:tcPr>
          <w:p>
            <w:pPr>
              <w:spacing w:after="0"/>
              <w:rPr>
                <w:sz w:val="9"/>
                <w:szCs w:val="9"/>
                <w:color w:val="auto"/>
              </w:rPr>
            </w:pPr>
          </w:p>
        </w:tc>
        <w:tc>
          <w:tcPr>
            <w:tcW w:w="720" w:type="dxa"/>
            <w:vAlign w:val="bottom"/>
            <w:shd w:val="clear" w:color="auto" w:fill="D8D8D8"/>
          </w:tcPr>
          <w:p>
            <w:pPr>
              <w:spacing w:after="0"/>
              <w:rPr>
                <w:sz w:val="9"/>
                <w:szCs w:val="9"/>
                <w:color w:val="auto"/>
              </w:rPr>
            </w:pPr>
          </w:p>
        </w:tc>
        <w:tc>
          <w:tcPr>
            <w:tcW w:w="380" w:type="dxa"/>
            <w:vAlign w:val="bottom"/>
            <w:shd w:val="clear" w:color="auto" w:fill="D8D8D8"/>
          </w:tcPr>
          <w:p>
            <w:pPr>
              <w:spacing w:after="0"/>
              <w:rPr>
                <w:sz w:val="9"/>
                <w:szCs w:val="9"/>
                <w:color w:val="auto"/>
              </w:rPr>
            </w:pPr>
          </w:p>
        </w:tc>
        <w:tc>
          <w:tcPr>
            <w:tcW w:w="720" w:type="dxa"/>
            <w:vAlign w:val="bottom"/>
            <w:shd w:val="clear" w:color="auto" w:fill="D8D8D8"/>
          </w:tcPr>
          <w:p>
            <w:pPr>
              <w:spacing w:after="0"/>
              <w:rPr>
                <w:sz w:val="9"/>
                <w:szCs w:val="9"/>
                <w:color w:val="auto"/>
              </w:rPr>
            </w:pPr>
          </w:p>
        </w:tc>
        <w:tc>
          <w:tcPr>
            <w:tcW w:w="280" w:type="dxa"/>
            <w:vAlign w:val="bottom"/>
            <w:shd w:val="clear" w:color="auto" w:fill="D8D8D8"/>
          </w:tcPr>
          <w:p>
            <w:pPr>
              <w:spacing w:after="0"/>
              <w:rPr>
                <w:sz w:val="9"/>
                <w:szCs w:val="9"/>
                <w:color w:val="auto"/>
              </w:rPr>
            </w:pPr>
          </w:p>
        </w:tc>
        <w:tc>
          <w:tcPr>
            <w:tcW w:w="820" w:type="dxa"/>
            <w:vAlign w:val="bottom"/>
            <w:shd w:val="clear" w:color="auto" w:fill="D8D8D8"/>
          </w:tcPr>
          <w:p>
            <w:pPr>
              <w:spacing w:after="0"/>
              <w:rPr>
                <w:sz w:val="9"/>
                <w:szCs w:val="9"/>
                <w:color w:val="auto"/>
              </w:rPr>
            </w:pPr>
          </w:p>
        </w:tc>
        <w:tc>
          <w:tcPr>
            <w:tcW w:w="360" w:type="dxa"/>
            <w:vAlign w:val="bottom"/>
            <w:shd w:val="clear" w:color="auto" w:fill="D8D8D8"/>
          </w:tcPr>
          <w:p>
            <w:pPr>
              <w:spacing w:after="0"/>
              <w:rPr>
                <w:sz w:val="9"/>
                <w:szCs w:val="9"/>
                <w:color w:val="auto"/>
              </w:rPr>
            </w:pPr>
          </w:p>
        </w:tc>
        <w:tc>
          <w:tcPr>
            <w:tcW w:w="760" w:type="dxa"/>
            <w:vAlign w:val="bottom"/>
            <w:shd w:val="clear" w:color="auto" w:fill="D8D8D8"/>
          </w:tcPr>
          <w:p>
            <w:pPr>
              <w:spacing w:after="0"/>
              <w:rPr>
                <w:sz w:val="9"/>
                <w:szCs w:val="9"/>
                <w:color w:val="auto"/>
              </w:rPr>
            </w:pPr>
          </w:p>
        </w:tc>
        <w:tc>
          <w:tcPr>
            <w:tcW w:w="180" w:type="dxa"/>
            <w:vAlign w:val="bottom"/>
            <w:shd w:val="clear" w:color="auto" w:fill="D8D8D8"/>
          </w:tcPr>
          <w:p>
            <w:pPr>
              <w:spacing w:after="0"/>
              <w:rPr>
                <w:sz w:val="9"/>
                <w:szCs w:val="9"/>
                <w:color w:val="auto"/>
              </w:rPr>
            </w:pPr>
          </w:p>
        </w:tc>
        <w:tc>
          <w:tcPr>
            <w:tcW w:w="820" w:type="dxa"/>
            <w:vAlign w:val="bottom"/>
            <w:tcBorders>
              <w:right w:val="single" w:sz="8" w:color="7F7F7F"/>
            </w:tcBorders>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3340" w:type="dxa"/>
            <w:vAlign w:val="bottom"/>
            <w:tcBorders>
              <w:left w:val="single" w:sz="8" w:color="7F7F7F"/>
            </w:tcBorders>
            <w:vMerge w:val="continue"/>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vMerge w:val="restart"/>
          </w:tcPr>
          <w:p>
            <w:pPr>
              <w:jc w:val="right"/>
              <w:ind w:right="31"/>
              <w:spacing w:after="0" w:line="126" w:lineRule="exact"/>
              <w:rPr>
                <w:sz w:val="20"/>
                <w:szCs w:val="20"/>
                <w:color w:val="auto"/>
              </w:rPr>
            </w:pPr>
            <w:r>
              <w:rPr>
                <w:rFonts w:ascii="Arial" w:cs="Arial" w:eastAsia="Arial" w:hAnsi="Arial"/>
                <w:sz w:val="12"/>
                <w:szCs w:val="12"/>
                <w:color w:val="auto"/>
              </w:rPr>
              <w:t>(7)</w:t>
            </w:r>
          </w:p>
        </w:tc>
        <w:tc>
          <w:tcPr>
            <w:tcW w:w="180" w:type="dxa"/>
            <w:vAlign w:val="bottom"/>
          </w:tcPr>
          <w:p>
            <w:pPr>
              <w:spacing w:after="0"/>
              <w:rPr>
                <w:sz w:val="7"/>
                <w:szCs w:val="7"/>
                <w:color w:val="auto"/>
              </w:rPr>
            </w:pPr>
          </w:p>
        </w:tc>
        <w:tc>
          <w:tcPr>
            <w:tcW w:w="820" w:type="dxa"/>
            <w:vAlign w:val="bottom"/>
            <w:tcBorders>
              <w:right w:val="single" w:sz="8" w:color="7F7F7F"/>
            </w:tcBorders>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3340" w:type="dxa"/>
            <w:vAlign w:val="bottom"/>
            <w:tcBorders>
              <w:left w:val="single" w:sz="8" w:color="7F7F7F"/>
            </w:tcBorders>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Borders>
              <w:right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340" w:type="dxa"/>
            <w:vAlign w:val="bottom"/>
            <w:tcBorders>
              <w:left w:val="single" w:sz="8" w:color="7F7F7F"/>
            </w:tcBorders>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2020</w:t>
            </w:r>
          </w:p>
        </w:tc>
        <w:tc>
          <w:tcPr>
            <w:tcW w:w="920" w:type="dxa"/>
            <w:vAlign w:val="bottom"/>
            <w:gridSpan w:val="2"/>
          </w:tcPr>
          <w:p>
            <w:pPr>
              <w:jc w:val="right"/>
              <w:ind w:right="8"/>
              <w:spacing w:after="0"/>
              <w:rPr>
                <w:sz w:val="20"/>
                <w:szCs w:val="20"/>
                <w:color w:val="auto"/>
              </w:rPr>
            </w:pPr>
            <w:r>
              <w:rPr>
                <w:rFonts w:ascii="Arial" w:cs="Arial" w:eastAsia="Arial" w:hAnsi="Arial"/>
                <w:sz w:val="14"/>
                <w:szCs w:val="14"/>
                <w:color w:val="auto"/>
              </w:rPr>
              <w:t>$ 1,635,417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11,248,191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$ 3,875,300</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$ 11,414,991</w:t>
            </w:r>
          </w:p>
        </w:tc>
        <w:tc>
          <w:tcPr>
            <w:tcW w:w="1120" w:type="dxa"/>
            <w:vAlign w:val="bottom"/>
            <w:gridSpan w:val="2"/>
          </w:tcPr>
          <w:p>
            <w:pPr>
              <w:jc w:val="right"/>
              <w:ind w:right="171"/>
              <w:spacing w:after="0"/>
              <w:rPr>
                <w:sz w:val="20"/>
                <w:szCs w:val="20"/>
                <w:color w:val="auto"/>
              </w:rPr>
            </w:pPr>
            <w:r>
              <w:rPr>
                <w:rFonts w:ascii="Arial" w:cs="Arial" w:eastAsia="Arial" w:hAnsi="Arial"/>
                <w:sz w:val="14"/>
                <w:szCs w:val="14"/>
                <w:color w:val="auto"/>
              </w:rPr>
              <w:t>$ 843,132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7F7F7F"/>
            </w:tcBorders>
          </w:tcPr>
          <w:p>
            <w:pPr>
              <w:jc w:val="right"/>
              <w:ind w:right="8"/>
              <w:spacing w:after="0"/>
              <w:rPr>
                <w:sz w:val="20"/>
                <w:szCs w:val="20"/>
                <w:color w:val="auto"/>
              </w:rPr>
            </w:pPr>
            <w:r>
              <w:rPr>
                <w:rFonts w:ascii="Arial" w:cs="Arial" w:eastAsia="Arial" w:hAnsi="Arial"/>
                <w:sz w:val="14"/>
                <w:szCs w:val="14"/>
                <w:color w:val="auto"/>
              </w:rPr>
              <w:t>29,017,031</w:t>
            </w:r>
          </w:p>
        </w:tc>
        <w:tc>
          <w:tcPr>
            <w:tcW w:w="0" w:type="dxa"/>
            <w:vAlign w:val="bottom"/>
          </w:tcPr>
          <w:p>
            <w:pPr>
              <w:spacing w:after="0"/>
              <w:rPr>
                <w:sz w:val="1"/>
                <w:szCs w:val="1"/>
                <w:color w:val="auto"/>
              </w:rPr>
            </w:pPr>
          </w:p>
        </w:tc>
      </w:tr>
      <w:tr>
        <w:trPr>
          <w:trHeight w:val="35"/>
        </w:trPr>
        <w:tc>
          <w:tcPr>
            <w:tcW w:w="3340" w:type="dxa"/>
            <w:vAlign w:val="bottom"/>
            <w:tcBorders>
              <w:left w:val="single" w:sz="8" w:color="7F7F7F"/>
            </w:tcBorders>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112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Borders>
              <w:right w:val="single" w:sz="8" w:color="7F7F7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3340" w:type="dxa"/>
            <w:vAlign w:val="bottom"/>
            <w:tcBorders>
              <w:left w:val="single" w:sz="8" w:color="7F7F7F"/>
              <w:bottom w:val="single" w:sz="8" w:color="7F7F7F"/>
            </w:tcBorders>
          </w:tcPr>
          <w:p>
            <w:pPr>
              <w:spacing w:after="0"/>
              <w:rPr>
                <w:sz w:val="14"/>
                <w:szCs w:val="14"/>
                <w:color w:val="auto"/>
              </w:rPr>
            </w:pPr>
          </w:p>
        </w:tc>
        <w:tc>
          <w:tcPr>
            <w:tcW w:w="580" w:type="dxa"/>
            <w:vAlign w:val="bottom"/>
            <w:tcBorders>
              <w:bottom w:val="single" w:sz="8" w:color="7F7F7F"/>
            </w:tcBorders>
            <w:shd w:val="clear" w:color="auto" w:fill="D8D8D8"/>
          </w:tcPr>
          <w:p>
            <w:pPr>
              <w:jc w:val="right"/>
              <w:ind w:right="8"/>
              <w:spacing w:after="0"/>
              <w:rPr>
                <w:sz w:val="20"/>
                <w:szCs w:val="20"/>
                <w:color w:val="auto"/>
              </w:rPr>
            </w:pPr>
            <w:r>
              <w:rPr>
                <w:rFonts w:ascii="Arial" w:cs="Arial" w:eastAsia="Arial" w:hAnsi="Arial"/>
                <w:sz w:val="14"/>
                <w:szCs w:val="14"/>
                <w:color w:val="auto"/>
              </w:rPr>
              <w:t>2019</w:t>
            </w:r>
          </w:p>
        </w:tc>
        <w:tc>
          <w:tcPr>
            <w:tcW w:w="920" w:type="dxa"/>
            <w:vAlign w:val="bottom"/>
            <w:tcBorders>
              <w:bottom w:val="single" w:sz="8" w:color="7F7F7F"/>
            </w:tcBorders>
            <w:gridSpan w:val="2"/>
            <w:shd w:val="clear" w:color="auto" w:fill="D8D8D8"/>
          </w:tcPr>
          <w:p>
            <w:pPr>
              <w:jc w:val="right"/>
              <w:ind w:right="8"/>
              <w:spacing w:after="0"/>
              <w:rPr>
                <w:sz w:val="20"/>
                <w:szCs w:val="20"/>
                <w:color w:val="auto"/>
              </w:rPr>
            </w:pPr>
            <w:r>
              <w:rPr>
                <w:rFonts w:ascii="Arial" w:cs="Arial" w:eastAsia="Arial" w:hAnsi="Arial"/>
                <w:sz w:val="14"/>
                <w:szCs w:val="14"/>
                <w:color w:val="auto"/>
              </w:rPr>
              <w:t>$ 1,570,833</w:t>
            </w:r>
          </w:p>
        </w:tc>
        <w:tc>
          <w:tcPr>
            <w:tcW w:w="16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7F7F7F"/>
            </w:tcBorders>
            <w:shd w:val="clear" w:color="auto" w:fill="D8D8D8"/>
          </w:tcPr>
          <w:p>
            <w:pPr>
              <w:jc w:val="right"/>
              <w:ind w:right="8"/>
              <w:spacing w:after="0"/>
              <w:rPr>
                <w:sz w:val="20"/>
                <w:szCs w:val="20"/>
                <w:color w:val="auto"/>
              </w:rPr>
            </w:pPr>
            <w:r>
              <w:rPr>
                <w:rFonts w:ascii="Arial" w:cs="Arial" w:eastAsia="Arial" w:hAnsi="Arial"/>
                <w:sz w:val="14"/>
                <w:szCs w:val="14"/>
                <w:color w:val="auto"/>
              </w:rPr>
              <w:t>11,663,631</w:t>
            </w:r>
          </w:p>
        </w:tc>
        <w:tc>
          <w:tcPr>
            <w:tcW w:w="900" w:type="dxa"/>
            <w:vAlign w:val="bottom"/>
            <w:tcBorders>
              <w:bottom w:val="single" w:sz="8" w:color="7F7F7F"/>
            </w:tcBorders>
            <w:gridSpan w:val="2"/>
            <w:shd w:val="clear" w:color="auto" w:fill="D8D8D8"/>
          </w:tcPr>
          <w:p>
            <w:pPr>
              <w:jc w:val="right"/>
              <w:spacing w:after="0"/>
              <w:rPr>
                <w:sz w:val="20"/>
                <w:szCs w:val="20"/>
                <w:color w:val="auto"/>
              </w:rPr>
            </w:pPr>
            <w:r>
              <w:rPr>
                <w:rFonts w:ascii="Arial" w:cs="Arial" w:eastAsia="Arial" w:hAnsi="Arial"/>
                <w:sz w:val="14"/>
                <w:szCs w:val="14"/>
                <w:color w:val="auto"/>
              </w:rPr>
              <w:t>$ 3,750,127</w:t>
            </w:r>
          </w:p>
        </w:tc>
        <w:tc>
          <w:tcPr>
            <w:tcW w:w="1100" w:type="dxa"/>
            <w:vAlign w:val="bottom"/>
            <w:tcBorders>
              <w:bottom w:val="single" w:sz="8" w:color="7F7F7F"/>
            </w:tcBorders>
            <w:gridSpan w:val="2"/>
            <w:shd w:val="clear" w:color="auto" w:fill="D8D8D8"/>
          </w:tcPr>
          <w:p>
            <w:pPr>
              <w:jc w:val="right"/>
              <w:spacing w:after="0"/>
              <w:rPr>
                <w:sz w:val="20"/>
                <w:szCs w:val="20"/>
                <w:color w:val="auto"/>
              </w:rPr>
            </w:pPr>
            <w:r>
              <w:rPr>
                <w:rFonts w:ascii="Arial" w:cs="Arial" w:eastAsia="Arial" w:hAnsi="Arial"/>
                <w:sz w:val="14"/>
                <w:szCs w:val="14"/>
                <w:color w:val="auto"/>
              </w:rPr>
              <w:t>$ 2,280,000</w:t>
            </w:r>
          </w:p>
        </w:tc>
        <w:tc>
          <w:tcPr>
            <w:tcW w:w="1100" w:type="dxa"/>
            <w:vAlign w:val="bottom"/>
            <w:tcBorders>
              <w:bottom w:val="single" w:sz="8" w:color="7F7F7F"/>
            </w:tcBorders>
            <w:gridSpan w:val="2"/>
            <w:shd w:val="clear" w:color="auto" w:fill="D8D8D8"/>
          </w:tcPr>
          <w:p>
            <w:pPr>
              <w:jc w:val="right"/>
              <w:spacing w:after="0"/>
              <w:rPr>
                <w:sz w:val="20"/>
                <w:szCs w:val="20"/>
                <w:color w:val="auto"/>
              </w:rPr>
            </w:pPr>
            <w:r>
              <w:rPr>
                <w:rFonts w:ascii="Arial" w:cs="Arial" w:eastAsia="Arial" w:hAnsi="Arial"/>
                <w:sz w:val="14"/>
                <w:szCs w:val="14"/>
                <w:color w:val="auto"/>
              </w:rPr>
              <w:t>$ 13,383,378</w:t>
            </w:r>
          </w:p>
        </w:tc>
        <w:tc>
          <w:tcPr>
            <w:tcW w:w="1120" w:type="dxa"/>
            <w:vAlign w:val="bottom"/>
            <w:tcBorders>
              <w:bottom w:val="single" w:sz="8" w:color="7F7F7F"/>
            </w:tcBorders>
            <w:gridSpan w:val="2"/>
            <w:shd w:val="clear" w:color="auto" w:fill="D8D8D8"/>
          </w:tcPr>
          <w:p>
            <w:pPr>
              <w:jc w:val="right"/>
              <w:ind w:right="171"/>
              <w:spacing w:after="0"/>
              <w:rPr>
                <w:sz w:val="20"/>
                <w:szCs w:val="20"/>
                <w:color w:val="auto"/>
              </w:rPr>
            </w:pPr>
            <w:r>
              <w:rPr>
                <w:rFonts w:ascii="Arial" w:cs="Arial" w:eastAsia="Arial" w:hAnsi="Arial"/>
                <w:sz w:val="14"/>
                <w:szCs w:val="14"/>
                <w:color w:val="auto"/>
              </w:rPr>
              <w:t>$ 422,693</w:t>
            </w:r>
          </w:p>
        </w:tc>
        <w:tc>
          <w:tcPr>
            <w:tcW w:w="18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7F7F7F"/>
              <w:right w:val="single" w:sz="8" w:color="7F7F7F"/>
            </w:tcBorders>
            <w:shd w:val="clear" w:color="auto" w:fill="D8D8D8"/>
          </w:tcPr>
          <w:p>
            <w:pPr>
              <w:jc w:val="right"/>
              <w:ind w:right="8"/>
              <w:spacing w:after="0"/>
              <w:rPr>
                <w:sz w:val="20"/>
                <w:szCs w:val="20"/>
                <w:color w:val="auto"/>
              </w:rPr>
            </w:pPr>
            <w:r>
              <w:rPr>
                <w:rFonts w:ascii="Arial" w:cs="Arial" w:eastAsia="Arial" w:hAnsi="Arial"/>
                <w:sz w:val="14"/>
                <w:szCs w:val="14"/>
                <w:color w:val="auto"/>
              </w:rPr>
              <w:t>33,070,662</w:t>
            </w:r>
          </w:p>
        </w:tc>
        <w:tc>
          <w:tcPr>
            <w:tcW w:w="0" w:type="dxa"/>
            <w:vAlign w:val="bottom"/>
          </w:tcPr>
          <w:p>
            <w:pPr>
              <w:spacing w:after="0"/>
              <w:rPr>
                <w:sz w:val="1"/>
                <w:szCs w:val="1"/>
                <w:color w:val="auto"/>
              </w:rPr>
            </w:pPr>
          </w:p>
        </w:tc>
      </w:tr>
      <w:tr>
        <w:trPr>
          <w:trHeight w:val="196"/>
        </w:trPr>
        <w:tc>
          <w:tcPr>
            <w:tcW w:w="3340" w:type="dxa"/>
            <w:vAlign w:val="bottom"/>
            <w:tcBorders>
              <w:left w:val="single" w:sz="8" w:color="7F7F7F"/>
            </w:tcBorders>
          </w:tcPr>
          <w:p>
            <w:pPr>
              <w:ind w:left="160"/>
              <w:spacing w:after="0"/>
              <w:rPr>
                <w:sz w:val="20"/>
                <w:szCs w:val="20"/>
                <w:color w:val="auto"/>
              </w:rPr>
            </w:pPr>
            <w:r>
              <w:rPr>
                <w:rFonts w:ascii="Arial" w:cs="Arial" w:eastAsia="Arial" w:hAnsi="Arial"/>
                <w:sz w:val="14"/>
                <w:szCs w:val="14"/>
                <w:color w:val="auto"/>
              </w:rPr>
              <w:t>P.R. Breber,</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2021</w:t>
            </w:r>
          </w:p>
        </w:tc>
        <w:tc>
          <w:tcPr>
            <w:tcW w:w="920" w:type="dxa"/>
            <w:vAlign w:val="bottom"/>
            <w:gridSpan w:val="2"/>
          </w:tcPr>
          <w:p>
            <w:pPr>
              <w:jc w:val="right"/>
              <w:ind w:right="8"/>
              <w:spacing w:after="0"/>
              <w:rPr>
                <w:sz w:val="20"/>
                <w:szCs w:val="20"/>
                <w:color w:val="auto"/>
              </w:rPr>
            </w:pPr>
            <w:r>
              <w:rPr>
                <w:rFonts w:ascii="Arial" w:cs="Arial" w:eastAsia="Arial" w:hAnsi="Arial"/>
                <w:sz w:val="14"/>
                <w:szCs w:val="14"/>
                <w:color w:val="auto"/>
              </w:rPr>
              <w:t>$ 1,020,000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3,158,688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$ 1,000,818</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$ 1,800,000</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1,007,726</w:t>
            </w:r>
          </w:p>
        </w:tc>
        <w:tc>
          <w:tcPr>
            <w:tcW w:w="1120" w:type="dxa"/>
            <w:vAlign w:val="bottom"/>
            <w:gridSpan w:val="2"/>
          </w:tcPr>
          <w:p>
            <w:pPr>
              <w:jc w:val="right"/>
              <w:ind w:right="171"/>
              <w:spacing w:after="0"/>
              <w:rPr>
                <w:sz w:val="20"/>
                <w:szCs w:val="20"/>
                <w:color w:val="auto"/>
              </w:rPr>
            </w:pPr>
            <w:r>
              <w:rPr>
                <w:rFonts w:ascii="Arial" w:cs="Arial" w:eastAsia="Arial" w:hAnsi="Arial"/>
                <w:sz w:val="14"/>
                <w:szCs w:val="14"/>
                <w:color w:val="auto"/>
              </w:rPr>
              <w:t>$ 118,302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7F7F7F"/>
            </w:tcBorders>
          </w:tcPr>
          <w:p>
            <w:pPr>
              <w:jc w:val="right"/>
              <w:ind w:right="8"/>
              <w:spacing w:after="0"/>
              <w:rPr>
                <w:sz w:val="20"/>
                <w:szCs w:val="20"/>
                <w:color w:val="auto"/>
              </w:rPr>
            </w:pPr>
            <w:r>
              <w:rPr>
                <w:rFonts w:ascii="Arial" w:cs="Arial" w:eastAsia="Arial" w:hAnsi="Arial"/>
                <w:sz w:val="14"/>
                <w:szCs w:val="14"/>
                <w:color w:val="auto"/>
              </w:rPr>
              <w:t>8,105,534</w:t>
            </w:r>
          </w:p>
        </w:tc>
        <w:tc>
          <w:tcPr>
            <w:tcW w:w="0" w:type="dxa"/>
            <w:vAlign w:val="bottom"/>
          </w:tcPr>
          <w:p>
            <w:pPr>
              <w:spacing w:after="0"/>
              <w:rPr>
                <w:sz w:val="1"/>
                <w:szCs w:val="1"/>
                <w:color w:val="auto"/>
              </w:rPr>
            </w:pPr>
          </w:p>
        </w:tc>
      </w:tr>
      <w:tr>
        <w:trPr>
          <w:trHeight w:val="133"/>
        </w:trPr>
        <w:tc>
          <w:tcPr>
            <w:tcW w:w="3340" w:type="dxa"/>
            <w:vAlign w:val="bottom"/>
            <w:tcBorders>
              <w:left w:val="single" w:sz="8" w:color="7F7F7F"/>
            </w:tcBorders>
          </w:tcPr>
          <w:p>
            <w:pPr>
              <w:ind w:left="160"/>
              <w:spacing w:after="0" w:line="133" w:lineRule="exact"/>
              <w:rPr>
                <w:sz w:val="20"/>
                <w:szCs w:val="20"/>
                <w:color w:val="auto"/>
              </w:rPr>
            </w:pPr>
            <w:r>
              <w:rPr>
                <w:rFonts w:ascii="Arial" w:cs="Arial" w:eastAsia="Arial" w:hAnsi="Arial"/>
                <w:sz w:val="14"/>
                <w:szCs w:val="14"/>
                <w:color w:val="auto"/>
              </w:rPr>
              <w:t>Vice President and</w:t>
            </w:r>
          </w:p>
        </w:tc>
        <w:tc>
          <w:tcPr>
            <w:tcW w:w="580" w:type="dxa"/>
            <w:vAlign w:val="bottom"/>
            <w:tcBorders>
              <w:bottom w:val="single" w:sz="8" w:color="D8D8D8"/>
            </w:tcBorders>
          </w:tcPr>
          <w:p>
            <w:pPr>
              <w:spacing w:after="0"/>
              <w:rPr>
                <w:sz w:val="11"/>
                <w:szCs w:val="11"/>
                <w:color w:val="auto"/>
              </w:rPr>
            </w:pPr>
          </w:p>
        </w:tc>
        <w:tc>
          <w:tcPr>
            <w:tcW w:w="180" w:type="dxa"/>
            <w:vAlign w:val="bottom"/>
            <w:tcBorders>
              <w:bottom w:val="single" w:sz="8" w:color="D8D8D8"/>
            </w:tcBorders>
          </w:tcPr>
          <w:p>
            <w:pPr>
              <w:spacing w:after="0"/>
              <w:rPr>
                <w:sz w:val="11"/>
                <w:szCs w:val="11"/>
                <w:color w:val="auto"/>
              </w:rPr>
            </w:pPr>
          </w:p>
        </w:tc>
        <w:tc>
          <w:tcPr>
            <w:tcW w:w="740" w:type="dxa"/>
            <w:vAlign w:val="bottom"/>
            <w:tcBorders>
              <w:bottom w:val="single" w:sz="8" w:color="D8D8D8"/>
            </w:tcBorders>
          </w:tcPr>
          <w:p>
            <w:pPr>
              <w:spacing w:after="0"/>
              <w:rPr>
                <w:sz w:val="11"/>
                <w:szCs w:val="11"/>
                <w:color w:val="auto"/>
              </w:rPr>
            </w:pPr>
          </w:p>
        </w:tc>
        <w:tc>
          <w:tcPr>
            <w:tcW w:w="160" w:type="dxa"/>
            <w:vAlign w:val="bottom"/>
            <w:tcBorders>
              <w:bottom w:val="single" w:sz="8" w:color="D8D8D8"/>
            </w:tcBorders>
          </w:tcPr>
          <w:p>
            <w:pPr>
              <w:spacing w:after="0"/>
              <w:rPr>
                <w:sz w:val="11"/>
                <w:szCs w:val="11"/>
                <w:color w:val="auto"/>
              </w:rPr>
            </w:pPr>
          </w:p>
        </w:tc>
        <w:tc>
          <w:tcPr>
            <w:tcW w:w="820" w:type="dxa"/>
            <w:vAlign w:val="bottom"/>
            <w:tcBorders>
              <w:bottom w:val="single" w:sz="8" w:color="D8D8D8"/>
            </w:tcBorders>
          </w:tcPr>
          <w:p>
            <w:pPr>
              <w:spacing w:after="0"/>
              <w:rPr>
                <w:sz w:val="11"/>
                <w:szCs w:val="11"/>
                <w:color w:val="auto"/>
              </w:rPr>
            </w:pPr>
          </w:p>
        </w:tc>
        <w:tc>
          <w:tcPr>
            <w:tcW w:w="180" w:type="dxa"/>
            <w:vAlign w:val="bottom"/>
            <w:tcBorders>
              <w:bottom w:val="single" w:sz="8" w:color="D8D8D8"/>
            </w:tcBorders>
          </w:tcPr>
          <w:p>
            <w:pPr>
              <w:spacing w:after="0"/>
              <w:rPr>
                <w:sz w:val="11"/>
                <w:szCs w:val="11"/>
                <w:color w:val="auto"/>
              </w:rPr>
            </w:pPr>
          </w:p>
        </w:tc>
        <w:tc>
          <w:tcPr>
            <w:tcW w:w="720" w:type="dxa"/>
            <w:vAlign w:val="bottom"/>
            <w:tcBorders>
              <w:bottom w:val="single" w:sz="8" w:color="D8D8D8"/>
            </w:tcBorders>
          </w:tcPr>
          <w:p>
            <w:pPr>
              <w:spacing w:after="0"/>
              <w:rPr>
                <w:sz w:val="11"/>
                <w:szCs w:val="11"/>
                <w:color w:val="auto"/>
              </w:rPr>
            </w:pPr>
          </w:p>
        </w:tc>
        <w:tc>
          <w:tcPr>
            <w:tcW w:w="380" w:type="dxa"/>
            <w:vAlign w:val="bottom"/>
            <w:tcBorders>
              <w:bottom w:val="single" w:sz="8" w:color="D8D8D8"/>
            </w:tcBorders>
          </w:tcPr>
          <w:p>
            <w:pPr>
              <w:spacing w:after="0"/>
              <w:rPr>
                <w:sz w:val="11"/>
                <w:szCs w:val="11"/>
                <w:color w:val="auto"/>
              </w:rPr>
            </w:pPr>
          </w:p>
        </w:tc>
        <w:tc>
          <w:tcPr>
            <w:tcW w:w="720" w:type="dxa"/>
            <w:vAlign w:val="bottom"/>
            <w:tcBorders>
              <w:bottom w:val="single" w:sz="8" w:color="D8D8D8"/>
            </w:tcBorders>
          </w:tcPr>
          <w:p>
            <w:pPr>
              <w:spacing w:after="0"/>
              <w:rPr>
                <w:sz w:val="11"/>
                <w:szCs w:val="11"/>
                <w:color w:val="auto"/>
              </w:rPr>
            </w:pPr>
          </w:p>
        </w:tc>
        <w:tc>
          <w:tcPr>
            <w:tcW w:w="280" w:type="dxa"/>
            <w:vAlign w:val="bottom"/>
            <w:tcBorders>
              <w:bottom w:val="single" w:sz="8" w:color="D8D8D8"/>
            </w:tcBorders>
          </w:tcPr>
          <w:p>
            <w:pPr>
              <w:spacing w:after="0"/>
              <w:rPr>
                <w:sz w:val="11"/>
                <w:szCs w:val="11"/>
                <w:color w:val="auto"/>
              </w:rPr>
            </w:pPr>
          </w:p>
        </w:tc>
        <w:tc>
          <w:tcPr>
            <w:tcW w:w="820" w:type="dxa"/>
            <w:vAlign w:val="bottom"/>
            <w:tcBorders>
              <w:bottom w:val="single" w:sz="8" w:color="D8D8D8"/>
            </w:tcBorders>
          </w:tcPr>
          <w:p>
            <w:pPr>
              <w:spacing w:after="0"/>
              <w:rPr>
                <w:sz w:val="11"/>
                <w:szCs w:val="11"/>
                <w:color w:val="auto"/>
              </w:rPr>
            </w:pPr>
          </w:p>
        </w:tc>
        <w:tc>
          <w:tcPr>
            <w:tcW w:w="360" w:type="dxa"/>
            <w:vAlign w:val="bottom"/>
            <w:tcBorders>
              <w:bottom w:val="single" w:sz="8" w:color="D8D8D8"/>
            </w:tcBorders>
          </w:tcPr>
          <w:p>
            <w:pPr>
              <w:spacing w:after="0"/>
              <w:rPr>
                <w:sz w:val="11"/>
                <w:szCs w:val="11"/>
                <w:color w:val="auto"/>
              </w:rPr>
            </w:pPr>
          </w:p>
        </w:tc>
        <w:tc>
          <w:tcPr>
            <w:tcW w:w="760" w:type="dxa"/>
            <w:vAlign w:val="bottom"/>
            <w:tcBorders>
              <w:bottom w:val="single" w:sz="8" w:color="D8D8D8"/>
            </w:tcBorders>
          </w:tcPr>
          <w:p>
            <w:pPr>
              <w:spacing w:after="0"/>
              <w:rPr>
                <w:sz w:val="11"/>
                <w:szCs w:val="11"/>
                <w:color w:val="auto"/>
              </w:rPr>
            </w:pPr>
          </w:p>
        </w:tc>
        <w:tc>
          <w:tcPr>
            <w:tcW w:w="180" w:type="dxa"/>
            <w:vAlign w:val="bottom"/>
            <w:tcBorders>
              <w:bottom w:val="single" w:sz="8" w:color="D8D8D8"/>
            </w:tcBorders>
          </w:tcPr>
          <w:p>
            <w:pPr>
              <w:spacing w:after="0"/>
              <w:rPr>
                <w:sz w:val="11"/>
                <w:szCs w:val="11"/>
                <w:color w:val="auto"/>
              </w:rPr>
            </w:pPr>
          </w:p>
        </w:tc>
        <w:tc>
          <w:tcPr>
            <w:tcW w:w="820" w:type="dxa"/>
            <w:vAlign w:val="bottom"/>
            <w:tcBorders>
              <w:bottom w:val="single" w:sz="8" w:color="D8D8D8"/>
              <w:right w:val="single" w:sz="8" w:color="7F7F7F"/>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340" w:type="dxa"/>
            <w:vAlign w:val="bottom"/>
            <w:tcBorders>
              <w:left w:val="single" w:sz="8" w:color="7F7F7F"/>
            </w:tcBorders>
          </w:tcPr>
          <w:p>
            <w:pPr>
              <w:ind w:left="160"/>
              <w:spacing w:after="0" w:line="151" w:lineRule="exact"/>
              <w:rPr>
                <w:sz w:val="20"/>
                <w:szCs w:val="20"/>
                <w:color w:val="auto"/>
              </w:rPr>
            </w:pPr>
            <w:r>
              <w:rPr>
                <w:rFonts w:ascii="Arial" w:cs="Arial" w:eastAsia="Arial" w:hAnsi="Arial"/>
                <w:sz w:val="14"/>
                <w:szCs w:val="14"/>
                <w:color w:val="auto"/>
              </w:rPr>
              <w:t>Chief Financial Officer</w:t>
            </w:r>
          </w:p>
        </w:tc>
        <w:tc>
          <w:tcPr>
            <w:tcW w:w="580" w:type="dxa"/>
            <w:vAlign w:val="bottom"/>
            <w:tcBorders>
              <w:bottom w:val="single" w:sz="8" w:color="D8D8D8"/>
            </w:tcBorders>
            <w:shd w:val="clear" w:color="auto" w:fill="D8D8D8"/>
          </w:tcPr>
          <w:p>
            <w:pPr>
              <w:jc w:val="right"/>
              <w:ind w:right="8"/>
              <w:spacing w:after="0" w:line="145" w:lineRule="exact"/>
              <w:rPr>
                <w:sz w:val="20"/>
                <w:szCs w:val="20"/>
                <w:color w:val="auto"/>
              </w:rPr>
            </w:pPr>
            <w:r>
              <w:rPr>
                <w:rFonts w:ascii="Arial" w:cs="Arial" w:eastAsia="Arial" w:hAnsi="Arial"/>
                <w:sz w:val="14"/>
                <w:szCs w:val="14"/>
                <w:color w:val="auto"/>
              </w:rPr>
              <w:t>2020</w:t>
            </w:r>
          </w:p>
        </w:tc>
        <w:tc>
          <w:tcPr>
            <w:tcW w:w="920" w:type="dxa"/>
            <w:vAlign w:val="bottom"/>
            <w:tcBorders>
              <w:bottom w:val="single" w:sz="8" w:color="D8D8D8"/>
            </w:tcBorders>
            <w:gridSpan w:val="2"/>
            <w:shd w:val="clear" w:color="auto" w:fill="D8D8D8"/>
          </w:tcPr>
          <w:p>
            <w:pPr>
              <w:jc w:val="right"/>
              <w:ind w:right="8"/>
              <w:spacing w:after="0" w:line="145" w:lineRule="exact"/>
              <w:rPr>
                <w:sz w:val="20"/>
                <w:szCs w:val="20"/>
                <w:color w:val="auto"/>
              </w:rPr>
            </w:pPr>
            <w:r>
              <w:rPr>
                <w:rFonts w:ascii="Arial" w:cs="Arial" w:eastAsia="Arial" w:hAnsi="Arial"/>
                <w:sz w:val="14"/>
                <w:szCs w:val="14"/>
                <w:color w:val="auto"/>
              </w:rPr>
              <w:t>$ 1,014,167</w:t>
            </w:r>
          </w:p>
        </w:tc>
        <w:tc>
          <w:tcPr>
            <w:tcW w:w="160" w:type="dxa"/>
            <w:vAlign w:val="bottom"/>
            <w:tcBorders>
              <w:bottom w:val="single" w:sz="8" w:color="D8D8D8"/>
            </w:tcBorders>
            <w:shd w:val="clear" w:color="auto" w:fill="D8D8D8"/>
          </w:tcPr>
          <w:p>
            <w:pPr>
              <w:jc w:val="right"/>
              <w:spacing w:after="0" w:line="14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D8D8D8"/>
            </w:tcBorders>
            <w:shd w:val="clear" w:color="auto" w:fill="D8D8D8"/>
          </w:tcPr>
          <w:p>
            <w:pPr>
              <w:jc w:val="right"/>
              <w:ind w:right="8"/>
              <w:spacing w:after="0" w:line="145" w:lineRule="exact"/>
              <w:rPr>
                <w:sz w:val="20"/>
                <w:szCs w:val="20"/>
                <w:color w:val="auto"/>
              </w:rPr>
            </w:pPr>
            <w:r>
              <w:rPr>
                <w:rFonts w:ascii="Arial" w:cs="Arial" w:eastAsia="Arial" w:hAnsi="Arial"/>
                <w:sz w:val="14"/>
                <w:szCs w:val="14"/>
                <w:color w:val="auto"/>
              </w:rPr>
              <w:t>2,904,706</w:t>
            </w:r>
          </w:p>
        </w:tc>
        <w:tc>
          <w:tcPr>
            <w:tcW w:w="900" w:type="dxa"/>
            <w:vAlign w:val="bottom"/>
            <w:tcBorders>
              <w:bottom w:val="single" w:sz="8" w:color="D8D8D8"/>
            </w:tcBorders>
            <w:gridSpan w:val="2"/>
            <w:shd w:val="clear" w:color="auto" w:fill="D8D8D8"/>
          </w:tcPr>
          <w:p>
            <w:pPr>
              <w:jc w:val="right"/>
              <w:spacing w:after="0" w:line="145" w:lineRule="exact"/>
              <w:rPr>
                <w:sz w:val="20"/>
                <w:szCs w:val="20"/>
                <w:color w:val="auto"/>
              </w:rPr>
            </w:pPr>
            <w:r>
              <w:rPr>
                <w:rFonts w:ascii="Arial" w:cs="Arial" w:eastAsia="Arial" w:hAnsi="Arial"/>
                <w:sz w:val="14"/>
                <w:szCs w:val="14"/>
                <w:color w:val="auto"/>
              </w:rPr>
              <w:t>$ 1,001,000</w:t>
            </w:r>
          </w:p>
        </w:tc>
        <w:tc>
          <w:tcPr>
            <w:tcW w:w="380" w:type="dxa"/>
            <w:vAlign w:val="bottom"/>
            <w:tcBorders>
              <w:bottom w:val="single" w:sz="8" w:color="D8D8D8"/>
            </w:tcBorders>
            <w:shd w:val="clear" w:color="auto" w:fill="D8D8D8"/>
          </w:tcPr>
          <w:p>
            <w:pPr>
              <w:spacing w:after="0"/>
              <w:rPr>
                <w:sz w:val="13"/>
                <w:szCs w:val="13"/>
                <w:color w:val="auto"/>
              </w:rPr>
            </w:pPr>
          </w:p>
        </w:tc>
        <w:tc>
          <w:tcPr>
            <w:tcW w:w="720" w:type="dxa"/>
            <w:vAlign w:val="bottom"/>
            <w:tcBorders>
              <w:bottom w:val="single" w:sz="8" w:color="D8D8D8"/>
            </w:tcBorders>
            <w:shd w:val="clear" w:color="auto" w:fill="D8D8D8"/>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D8D8D8"/>
            </w:tcBorders>
            <w:shd w:val="clear" w:color="auto" w:fill="D8D8D8"/>
          </w:tcPr>
          <w:p>
            <w:pPr>
              <w:ind w:left="200"/>
              <w:spacing w:after="0" w:line="14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D8D8D8"/>
            </w:tcBorders>
            <w:shd w:val="clear" w:color="auto" w:fill="D8D8D8"/>
          </w:tcPr>
          <w:p>
            <w:pPr>
              <w:jc w:val="right"/>
              <w:spacing w:after="0" w:line="145" w:lineRule="exact"/>
              <w:rPr>
                <w:sz w:val="20"/>
                <w:szCs w:val="20"/>
                <w:color w:val="auto"/>
              </w:rPr>
            </w:pPr>
            <w:r>
              <w:rPr>
                <w:rFonts w:ascii="Arial" w:cs="Arial" w:eastAsia="Arial" w:hAnsi="Arial"/>
                <w:sz w:val="14"/>
                <w:szCs w:val="14"/>
                <w:color w:val="auto"/>
              </w:rPr>
              <w:t>3,327,613</w:t>
            </w:r>
          </w:p>
        </w:tc>
        <w:tc>
          <w:tcPr>
            <w:tcW w:w="1120" w:type="dxa"/>
            <w:vAlign w:val="bottom"/>
            <w:tcBorders>
              <w:bottom w:val="single" w:sz="8" w:color="D8D8D8"/>
            </w:tcBorders>
            <w:gridSpan w:val="2"/>
            <w:shd w:val="clear" w:color="auto" w:fill="D8D8D8"/>
          </w:tcPr>
          <w:p>
            <w:pPr>
              <w:jc w:val="right"/>
              <w:ind w:right="171"/>
              <w:spacing w:after="0" w:line="145" w:lineRule="exact"/>
              <w:rPr>
                <w:sz w:val="20"/>
                <w:szCs w:val="20"/>
                <w:color w:val="auto"/>
              </w:rPr>
            </w:pPr>
            <w:r>
              <w:rPr>
                <w:rFonts w:ascii="Arial" w:cs="Arial" w:eastAsia="Arial" w:hAnsi="Arial"/>
                <w:sz w:val="14"/>
                <w:szCs w:val="14"/>
                <w:color w:val="auto"/>
              </w:rPr>
              <w:t>$ 105,728</w:t>
            </w:r>
          </w:p>
        </w:tc>
        <w:tc>
          <w:tcPr>
            <w:tcW w:w="180" w:type="dxa"/>
            <w:vAlign w:val="bottom"/>
            <w:tcBorders>
              <w:bottom w:val="single" w:sz="8" w:color="D8D8D8"/>
            </w:tcBorders>
            <w:shd w:val="clear" w:color="auto" w:fill="D8D8D8"/>
          </w:tcPr>
          <w:p>
            <w:pPr>
              <w:jc w:val="right"/>
              <w:spacing w:after="0" w:line="14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D8D8D8"/>
              <w:right w:val="single" w:sz="8" w:color="7F7F7F"/>
            </w:tcBorders>
            <w:shd w:val="clear" w:color="auto" w:fill="D8D8D8"/>
          </w:tcPr>
          <w:p>
            <w:pPr>
              <w:jc w:val="right"/>
              <w:ind w:right="8"/>
              <w:spacing w:after="0" w:line="145" w:lineRule="exact"/>
              <w:rPr>
                <w:sz w:val="20"/>
                <w:szCs w:val="20"/>
                <w:color w:val="auto"/>
              </w:rPr>
            </w:pPr>
            <w:r>
              <w:rPr>
                <w:rFonts w:ascii="Arial" w:cs="Arial" w:eastAsia="Arial" w:hAnsi="Arial"/>
                <w:sz w:val="14"/>
                <w:szCs w:val="14"/>
                <w:color w:val="auto"/>
              </w:rPr>
              <w:t>8,353,214</w:t>
            </w:r>
          </w:p>
        </w:tc>
        <w:tc>
          <w:tcPr>
            <w:tcW w:w="0" w:type="dxa"/>
            <w:vAlign w:val="bottom"/>
          </w:tcPr>
          <w:p>
            <w:pPr>
              <w:spacing w:after="0"/>
              <w:rPr>
                <w:sz w:val="1"/>
                <w:szCs w:val="1"/>
                <w:color w:val="auto"/>
              </w:rPr>
            </w:pPr>
          </w:p>
        </w:tc>
      </w:tr>
      <w:tr>
        <w:trPr>
          <w:trHeight w:val="190"/>
        </w:trPr>
        <w:tc>
          <w:tcPr>
            <w:tcW w:w="3340" w:type="dxa"/>
            <w:vAlign w:val="bottom"/>
            <w:tcBorders>
              <w:left w:val="single" w:sz="8" w:color="7F7F7F"/>
            </w:tcBorders>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2019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988,917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3,081,375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990,958</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$ 1,045,000</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5,222,222</w:t>
            </w:r>
          </w:p>
        </w:tc>
        <w:tc>
          <w:tcPr>
            <w:tcW w:w="360" w:type="dxa"/>
            <w:vAlign w:val="bottom"/>
          </w:tcPr>
          <w:p>
            <w:pPr>
              <w:ind w:left="2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71"/>
              <w:spacing w:after="0"/>
              <w:rPr>
                <w:sz w:val="20"/>
                <w:szCs w:val="20"/>
                <w:color w:val="auto"/>
              </w:rPr>
            </w:pPr>
            <w:r>
              <w:rPr>
                <w:rFonts w:ascii="Arial" w:cs="Arial" w:eastAsia="Arial" w:hAnsi="Arial"/>
                <w:sz w:val="14"/>
                <w:szCs w:val="14"/>
                <w:color w:val="auto"/>
              </w:rPr>
              <w:t>91,948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7F7F7F"/>
            </w:tcBorders>
          </w:tcPr>
          <w:p>
            <w:pPr>
              <w:jc w:val="right"/>
              <w:ind w:right="8"/>
              <w:spacing w:after="0"/>
              <w:rPr>
                <w:sz w:val="20"/>
                <w:szCs w:val="20"/>
                <w:color w:val="auto"/>
              </w:rPr>
            </w:pPr>
            <w:r>
              <w:rPr>
                <w:rFonts w:ascii="Arial" w:cs="Arial" w:eastAsia="Arial" w:hAnsi="Arial"/>
                <w:sz w:val="14"/>
                <w:szCs w:val="14"/>
                <w:color w:val="auto"/>
              </w:rPr>
              <w:t>11,420,420</w:t>
            </w:r>
          </w:p>
        </w:tc>
        <w:tc>
          <w:tcPr>
            <w:tcW w:w="0" w:type="dxa"/>
            <w:vAlign w:val="bottom"/>
          </w:tcPr>
          <w:p>
            <w:pPr>
              <w:spacing w:after="0"/>
              <w:rPr>
                <w:sz w:val="1"/>
                <w:szCs w:val="1"/>
                <w:color w:val="auto"/>
              </w:rPr>
            </w:pPr>
          </w:p>
        </w:tc>
      </w:tr>
      <w:tr>
        <w:trPr>
          <w:trHeight w:val="26"/>
        </w:trPr>
        <w:tc>
          <w:tcPr>
            <w:tcW w:w="3340" w:type="dxa"/>
            <w:vAlign w:val="bottom"/>
            <w:tcBorders>
              <w:left w:val="single" w:sz="8" w:color="7F7F7F"/>
              <w:bottom w:val="single" w:sz="8" w:color="7F7F7F"/>
            </w:tcBorders>
          </w:tcPr>
          <w:p>
            <w:pPr>
              <w:spacing w:after="0"/>
              <w:rPr>
                <w:sz w:val="2"/>
                <w:szCs w:val="2"/>
                <w:color w:val="auto"/>
              </w:rPr>
            </w:pPr>
          </w:p>
        </w:tc>
        <w:tc>
          <w:tcPr>
            <w:tcW w:w="580" w:type="dxa"/>
            <w:vAlign w:val="bottom"/>
            <w:tcBorders>
              <w:bottom w:val="single" w:sz="8" w:color="7F7F7F"/>
            </w:tcBorders>
          </w:tcPr>
          <w:p>
            <w:pPr>
              <w:spacing w:after="0"/>
              <w:rPr>
                <w:sz w:val="2"/>
                <w:szCs w:val="2"/>
                <w:color w:val="auto"/>
              </w:rPr>
            </w:pPr>
          </w:p>
        </w:tc>
        <w:tc>
          <w:tcPr>
            <w:tcW w:w="920" w:type="dxa"/>
            <w:vAlign w:val="bottom"/>
            <w:tcBorders>
              <w:bottom w:val="single" w:sz="8" w:color="7F7F7F"/>
            </w:tcBorders>
            <w:gridSpan w:val="2"/>
          </w:tcPr>
          <w:p>
            <w:pPr>
              <w:spacing w:after="0"/>
              <w:rPr>
                <w:sz w:val="2"/>
                <w:szCs w:val="2"/>
                <w:color w:val="auto"/>
              </w:rPr>
            </w:pPr>
          </w:p>
        </w:tc>
        <w:tc>
          <w:tcPr>
            <w:tcW w:w="160" w:type="dxa"/>
            <w:vAlign w:val="bottom"/>
            <w:tcBorders>
              <w:bottom w:val="single" w:sz="8" w:color="7F7F7F"/>
            </w:tcBorders>
          </w:tcPr>
          <w:p>
            <w:pPr>
              <w:spacing w:after="0"/>
              <w:rPr>
                <w:sz w:val="2"/>
                <w:szCs w:val="2"/>
                <w:color w:val="auto"/>
              </w:rPr>
            </w:pPr>
          </w:p>
        </w:tc>
        <w:tc>
          <w:tcPr>
            <w:tcW w:w="820" w:type="dxa"/>
            <w:vAlign w:val="bottom"/>
            <w:tcBorders>
              <w:bottom w:val="single" w:sz="8" w:color="7F7F7F"/>
            </w:tcBorders>
          </w:tcPr>
          <w:p>
            <w:pPr>
              <w:spacing w:after="0"/>
              <w:rPr>
                <w:sz w:val="2"/>
                <w:szCs w:val="2"/>
                <w:color w:val="auto"/>
              </w:rPr>
            </w:pPr>
          </w:p>
        </w:tc>
        <w:tc>
          <w:tcPr>
            <w:tcW w:w="900" w:type="dxa"/>
            <w:vAlign w:val="bottom"/>
            <w:tcBorders>
              <w:bottom w:val="single" w:sz="8" w:color="7F7F7F"/>
            </w:tcBorders>
            <w:gridSpan w:val="2"/>
          </w:tcPr>
          <w:p>
            <w:pPr>
              <w:spacing w:after="0"/>
              <w:rPr>
                <w:sz w:val="2"/>
                <w:szCs w:val="2"/>
                <w:color w:val="auto"/>
              </w:rPr>
            </w:pPr>
          </w:p>
        </w:tc>
        <w:tc>
          <w:tcPr>
            <w:tcW w:w="1100" w:type="dxa"/>
            <w:vAlign w:val="bottom"/>
            <w:tcBorders>
              <w:bottom w:val="single" w:sz="8" w:color="7F7F7F"/>
            </w:tcBorders>
            <w:gridSpan w:val="2"/>
          </w:tcPr>
          <w:p>
            <w:pPr>
              <w:spacing w:after="0"/>
              <w:rPr>
                <w:sz w:val="2"/>
                <w:szCs w:val="2"/>
                <w:color w:val="auto"/>
              </w:rPr>
            </w:pPr>
          </w:p>
        </w:tc>
        <w:tc>
          <w:tcPr>
            <w:tcW w:w="280" w:type="dxa"/>
            <w:vAlign w:val="bottom"/>
            <w:tcBorders>
              <w:bottom w:val="single" w:sz="8" w:color="7F7F7F"/>
            </w:tcBorders>
          </w:tcPr>
          <w:p>
            <w:pPr>
              <w:spacing w:after="0"/>
              <w:rPr>
                <w:sz w:val="2"/>
                <w:szCs w:val="2"/>
                <w:color w:val="auto"/>
              </w:rPr>
            </w:pPr>
          </w:p>
        </w:tc>
        <w:tc>
          <w:tcPr>
            <w:tcW w:w="820" w:type="dxa"/>
            <w:vAlign w:val="bottom"/>
            <w:tcBorders>
              <w:bottom w:val="single" w:sz="8" w:color="7F7F7F"/>
            </w:tcBorders>
          </w:tcPr>
          <w:p>
            <w:pPr>
              <w:spacing w:after="0"/>
              <w:rPr>
                <w:sz w:val="2"/>
                <w:szCs w:val="2"/>
                <w:color w:val="auto"/>
              </w:rPr>
            </w:pPr>
          </w:p>
        </w:tc>
        <w:tc>
          <w:tcPr>
            <w:tcW w:w="1120" w:type="dxa"/>
            <w:vAlign w:val="bottom"/>
            <w:tcBorders>
              <w:bottom w:val="single" w:sz="8" w:color="7F7F7F"/>
            </w:tcBorders>
            <w:gridSpan w:val="2"/>
          </w:tcPr>
          <w:p>
            <w:pPr>
              <w:spacing w:after="0"/>
              <w:rPr>
                <w:sz w:val="2"/>
                <w:szCs w:val="2"/>
                <w:color w:val="auto"/>
              </w:rPr>
            </w:pPr>
          </w:p>
        </w:tc>
        <w:tc>
          <w:tcPr>
            <w:tcW w:w="180" w:type="dxa"/>
            <w:vAlign w:val="bottom"/>
            <w:tcBorders>
              <w:bottom w:val="single" w:sz="8" w:color="7F7F7F"/>
            </w:tcBorders>
          </w:tcPr>
          <w:p>
            <w:pPr>
              <w:spacing w:after="0"/>
              <w:rPr>
                <w:sz w:val="2"/>
                <w:szCs w:val="2"/>
                <w:color w:val="auto"/>
              </w:rPr>
            </w:pPr>
          </w:p>
        </w:tc>
        <w:tc>
          <w:tcPr>
            <w:tcW w:w="820" w:type="dxa"/>
            <w:vAlign w:val="bottom"/>
            <w:tcBorders>
              <w:bottom w:val="single" w:sz="8" w:color="7F7F7F"/>
              <w:right w:val="single" w:sz="8" w:color="7F7F7F"/>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40" w:type="dxa"/>
            <w:vAlign w:val="bottom"/>
            <w:tcBorders>
              <w:left w:val="single" w:sz="8" w:color="7F7F7F"/>
            </w:tcBorders>
          </w:tcPr>
          <w:p>
            <w:pPr>
              <w:ind w:left="160"/>
              <w:spacing w:after="0"/>
              <w:rPr>
                <w:sz w:val="20"/>
                <w:szCs w:val="20"/>
                <w:color w:val="auto"/>
              </w:rPr>
            </w:pPr>
            <w:r>
              <w:rPr>
                <w:rFonts w:ascii="Arial" w:cs="Arial" w:eastAsia="Arial" w:hAnsi="Arial"/>
                <w:sz w:val="14"/>
                <w:szCs w:val="14"/>
                <w:color w:val="auto"/>
              </w:rPr>
              <w:t>J.W. Johnson,</w:t>
            </w:r>
          </w:p>
        </w:tc>
        <w:tc>
          <w:tcPr>
            <w:tcW w:w="58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2021</w:t>
            </w:r>
          </w:p>
        </w:tc>
        <w:tc>
          <w:tcPr>
            <w:tcW w:w="920" w:type="dxa"/>
            <w:vAlign w:val="bottom"/>
            <w:gridSpan w:val="2"/>
            <w:shd w:val="clear" w:color="auto" w:fill="D8D8D8"/>
          </w:tcPr>
          <w:p>
            <w:pPr>
              <w:jc w:val="right"/>
              <w:ind w:right="8"/>
              <w:spacing w:after="0"/>
              <w:rPr>
                <w:sz w:val="20"/>
                <w:szCs w:val="20"/>
                <w:color w:val="auto"/>
              </w:rPr>
            </w:pPr>
            <w:r>
              <w:rPr>
                <w:rFonts w:ascii="Arial" w:cs="Arial" w:eastAsia="Arial" w:hAnsi="Arial"/>
                <w:sz w:val="14"/>
                <w:szCs w:val="14"/>
                <w:color w:val="auto"/>
              </w:rPr>
              <w:t>$ 1,210,000</w:t>
            </w:r>
          </w:p>
        </w:tc>
        <w:tc>
          <w:tcPr>
            <w:tcW w:w="1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4,101,716</w:t>
            </w:r>
          </w:p>
        </w:tc>
        <w:tc>
          <w:tcPr>
            <w:tcW w:w="90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$ 1,298,986</w:t>
            </w:r>
          </w:p>
        </w:tc>
        <w:tc>
          <w:tcPr>
            <w:tcW w:w="110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$ 2,250,000</w:t>
            </w:r>
          </w:p>
        </w:tc>
        <w:tc>
          <w:tcPr>
            <w:tcW w:w="280" w:type="dxa"/>
            <w:vAlign w:val="bottom"/>
            <w:shd w:val="clear" w:color="auto" w:fill="D8D8D8"/>
          </w:tcPr>
          <w:p>
            <w:pPr>
              <w:spacing w:after="0"/>
              <w:rPr>
                <w:sz w:val="17"/>
                <w:szCs w:val="17"/>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D8D8D8"/>
          </w:tcPr>
          <w:p>
            <w:pPr>
              <w:jc w:val="right"/>
              <w:ind w:right="171"/>
              <w:spacing w:after="0"/>
              <w:rPr>
                <w:sz w:val="20"/>
                <w:szCs w:val="20"/>
                <w:color w:val="auto"/>
              </w:rPr>
            </w:pPr>
            <w:r>
              <w:rPr>
                <w:rFonts w:ascii="Arial" w:cs="Arial" w:eastAsia="Arial" w:hAnsi="Arial"/>
                <w:sz w:val="14"/>
                <w:szCs w:val="14"/>
                <w:color w:val="auto"/>
              </w:rPr>
              <w:t>$ 586,125</w:t>
            </w:r>
          </w:p>
        </w:tc>
        <w:tc>
          <w:tcPr>
            <w:tcW w:w="1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7F7F7F"/>
            </w:tcBorders>
            <w:shd w:val="clear" w:color="auto" w:fill="D8D8D8"/>
          </w:tcPr>
          <w:p>
            <w:pPr>
              <w:jc w:val="right"/>
              <w:ind w:right="8"/>
              <w:spacing w:after="0"/>
              <w:rPr>
                <w:sz w:val="20"/>
                <w:szCs w:val="20"/>
                <w:color w:val="auto"/>
              </w:rPr>
            </w:pPr>
            <w:r>
              <w:rPr>
                <w:rFonts w:ascii="Arial" w:cs="Arial" w:eastAsia="Arial" w:hAnsi="Arial"/>
                <w:sz w:val="14"/>
                <w:szCs w:val="14"/>
                <w:color w:val="auto"/>
              </w:rPr>
              <w:t>9,446,827</w:t>
            </w:r>
          </w:p>
        </w:tc>
        <w:tc>
          <w:tcPr>
            <w:tcW w:w="0" w:type="dxa"/>
            <w:vAlign w:val="bottom"/>
          </w:tcPr>
          <w:p>
            <w:pPr>
              <w:spacing w:after="0"/>
              <w:rPr>
                <w:sz w:val="1"/>
                <w:szCs w:val="1"/>
                <w:color w:val="auto"/>
              </w:rPr>
            </w:pPr>
          </w:p>
        </w:tc>
      </w:tr>
      <w:tr>
        <w:trPr>
          <w:trHeight w:val="108"/>
        </w:trPr>
        <w:tc>
          <w:tcPr>
            <w:tcW w:w="3340" w:type="dxa"/>
            <w:vAlign w:val="bottom"/>
            <w:tcBorders>
              <w:left w:val="single" w:sz="8" w:color="7F7F7F"/>
            </w:tcBorders>
            <w:vMerge w:val="restart"/>
          </w:tcPr>
          <w:p>
            <w:pPr>
              <w:ind w:left="160"/>
              <w:spacing w:after="0" w:line="153" w:lineRule="exact"/>
              <w:rPr>
                <w:sz w:val="20"/>
                <w:szCs w:val="20"/>
                <w:color w:val="auto"/>
              </w:rPr>
            </w:pPr>
            <w:r>
              <w:rPr>
                <w:rFonts w:ascii="Arial" w:cs="Arial" w:eastAsia="Arial" w:hAnsi="Arial"/>
                <w:sz w:val="14"/>
                <w:szCs w:val="14"/>
                <w:color w:val="auto"/>
              </w:rPr>
              <w:t>Executive Vice President,</w:t>
            </w:r>
          </w:p>
        </w:tc>
        <w:tc>
          <w:tcPr>
            <w:tcW w:w="580" w:type="dxa"/>
            <w:vAlign w:val="bottom"/>
            <w:shd w:val="clear" w:color="auto" w:fill="D8D8D8"/>
          </w:tcPr>
          <w:p>
            <w:pPr>
              <w:spacing w:after="0"/>
              <w:rPr>
                <w:sz w:val="9"/>
                <w:szCs w:val="9"/>
                <w:color w:val="auto"/>
              </w:rPr>
            </w:pPr>
          </w:p>
        </w:tc>
        <w:tc>
          <w:tcPr>
            <w:tcW w:w="180" w:type="dxa"/>
            <w:vAlign w:val="bottom"/>
            <w:shd w:val="clear" w:color="auto" w:fill="D8D8D8"/>
          </w:tcPr>
          <w:p>
            <w:pPr>
              <w:spacing w:after="0"/>
              <w:rPr>
                <w:sz w:val="9"/>
                <w:szCs w:val="9"/>
                <w:color w:val="auto"/>
              </w:rPr>
            </w:pPr>
          </w:p>
        </w:tc>
        <w:tc>
          <w:tcPr>
            <w:tcW w:w="740" w:type="dxa"/>
            <w:vAlign w:val="bottom"/>
            <w:shd w:val="clear" w:color="auto" w:fill="D8D8D8"/>
          </w:tcPr>
          <w:p>
            <w:pPr>
              <w:spacing w:after="0"/>
              <w:rPr>
                <w:sz w:val="9"/>
                <w:szCs w:val="9"/>
                <w:color w:val="auto"/>
              </w:rPr>
            </w:pPr>
          </w:p>
        </w:tc>
        <w:tc>
          <w:tcPr>
            <w:tcW w:w="160" w:type="dxa"/>
            <w:vAlign w:val="bottom"/>
            <w:shd w:val="clear" w:color="auto" w:fill="D8D8D8"/>
          </w:tcPr>
          <w:p>
            <w:pPr>
              <w:spacing w:after="0"/>
              <w:rPr>
                <w:sz w:val="9"/>
                <w:szCs w:val="9"/>
                <w:color w:val="auto"/>
              </w:rPr>
            </w:pPr>
          </w:p>
        </w:tc>
        <w:tc>
          <w:tcPr>
            <w:tcW w:w="820" w:type="dxa"/>
            <w:vAlign w:val="bottom"/>
            <w:shd w:val="clear" w:color="auto" w:fill="D8D8D8"/>
          </w:tcPr>
          <w:p>
            <w:pPr>
              <w:spacing w:after="0"/>
              <w:rPr>
                <w:sz w:val="9"/>
                <w:szCs w:val="9"/>
                <w:color w:val="auto"/>
              </w:rPr>
            </w:pPr>
          </w:p>
        </w:tc>
        <w:tc>
          <w:tcPr>
            <w:tcW w:w="180" w:type="dxa"/>
            <w:vAlign w:val="bottom"/>
            <w:shd w:val="clear" w:color="auto" w:fill="D8D8D8"/>
          </w:tcPr>
          <w:p>
            <w:pPr>
              <w:spacing w:after="0"/>
              <w:rPr>
                <w:sz w:val="9"/>
                <w:szCs w:val="9"/>
                <w:color w:val="auto"/>
              </w:rPr>
            </w:pPr>
          </w:p>
        </w:tc>
        <w:tc>
          <w:tcPr>
            <w:tcW w:w="720" w:type="dxa"/>
            <w:vAlign w:val="bottom"/>
            <w:shd w:val="clear" w:color="auto" w:fill="D8D8D8"/>
          </w:tcPr>
          <w:p>
            <w:pPr>
              <w:spacing w:after="0"/>
              <w:rPr>
                <w:sz w:val="9"/>
                <w:szCs w:val="9"/>
                <w:color w:val="auto"/>
              </w:rPr>
            </w:pPr>
          </w:p>
        </w:tc>
        <w:tc>
          <w:tcPr>
            <w:tcW w:w="380" w:type="dxa"/>
            <w:vAlign w:val="bottom"/>
            <w:shd w:val="clear" w:color="auto" w:fill="D8D8D8"/>
          </w:tcPr>
          <w:p>
            <w:pPr>
              <w:spacing w:after="0"/>
              <w:rPr>
                <w:sz w:val="9"/>
                <w:szCs w:val="9"/>
                <w:color w:val="auto"/>
              </w:rPr>
            </w:pPr>
          </w:p>
        </w:tc>
        <w:tc>
          <w:tcPr>
            <w:tcW w:w="720" w:type="dxa"/>
            <w:vAlign w:val="bottom"/>
            <w:shd w:val="clear" w:color="auto" w:fill="D8D8D8"/>
          </w:tcPr>
          <w:p>
            <w:pPr>
              <w:spacing w:after="0"/>
              <w:rPr>
                <w:sz w:val="9"/>
                <w:szCs w:val="9"/>
                <w:color w:val="auto"/>
              </w:rPr>
            </w:pPr>
          </w:p>
        </w:tc>
        <w:tc>
          <w:tcPr>
            <w:tcW w:w="280" w:type="dxa"/>
            <w:vAlign w:val="bottom"/>
            <w:shd w:val="clear" w:color="auto" w:fill="D8D8D8"/>
          </w:tcPr>
          <w:p>
            <w:pPr>
              <w:spacing w:after="0"/>
              <w:rPr>
                <w:sz w:val="9"/>
                <w:szCs w:val="9"/>
                <w:color w:val="auto"/>
              </w:rPr>
            </w:pPr>
          </w:p>
        </w:tc>
        <w:tc>
          <w:tcPr>
            <w:tcW w:w="820" w:type="dxa"/>
            <w:vAlign w:val="bottom"/>
            <w:shd w:val="clear" w:color="auto" w:fill="D8D8D8"/>
          </w:tcPr>
          <w:p>
            <w:pPr>
              <w:spacing w:after="0"/>
              <w:rPr>
                <w:sz w:val="9"/>
                <w:szCs w:val="9"/>
                <w:color w:val="auto"/>
              </w:rPr>
            </w:pPr>
          </w:p>
        </w:tc>
        <w:tc>
          <w:tcPr>
            <w:tcW w:w="360" w:type="dxa"/>
            <w:vAlign w:val="bottom"/>
            <w:shd w:val="clear" w:color="auto" w:fill="D8D8D8"/>
          </w:tcPr>
          <w:p>
            <w:pPr>
              <w:spacing w:after="0"/>
              <w:rPr>
                <w:sz w:val="9"/>
                <w:szCs w:val="9"/>
                <w:color w:val="auto"/>
              </w:rPr>
            </w:pPr>
          </w:p>
        </w:tc>
        <w:tc>
          <w:tcPr>
            <w:tcW w:w="760" w:type="dxa"/>
            <w:vAlign w:val="bottom"/>
            <w:shd w:val="clear" w:color="auto" w:fill="D8D8D8"/>
          </w:tcPr>
          <w:p>
            <w:pPr>
              <w:spacing w:after="0"/>
              <w:rPr>
                <w:sz w:val="9"/>
                <w:szCs w:val="9"/>
                <w:color w:val="auto"/>
              </w:rPr>
            </w:pPr>
          </w:p>
        </w:tc>
        <w:tc>
          <w:tcPr>
            <w:tcW w:w="180" w:type="dxa"/>
            <w:vAlign w:val="bottom"/>
            <w:shd w:val="clear" w:color="auto" w:fill="D8D8D8"/>
          </w:tcPr>
          <w:p>
            <w:pPr>
              <w:spacing w:after="0"/>
              <w:rPr>
                <w:sz w:val="9"/>
                <w:szCs w:val="9"/>
                <w:color w:val="auto"/>
              </w:rPr>
            </w:pPr>
          </w:p>
        </w:tc>
        <w:tc>
          <w:tcPr>
            <w:tcW w:w="820" w:type="dxa"/>
            <w:vAlign w:val="bottom"/>
            <w:tcBorders>
              <w:right w:val="single" w:sz="8" w:color="7F7F7F"/>
            </w:tcBorders>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3340" w:type="dxa"/>
            <w:vAlign w:val="bottom"/>
            <w:tcBorders>
              <w:left w:val="single" w:sz="8" w:color="7F7F7F"/>
            </w:tcBorders>
            <w:vMerge w:val="continue"/>
          </w:tcPr>
          <w:p>
            <w:pPr>
              <w:spacing w:after="0"/>
              <w:rPr>
                <w:sz w:val="3"/>
                <w:szCs w:val="3"/>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2020</w:t>
            </w:r>
          </w:p>
        </w:tc>
        <w:tc>
          <w:tcPr>
            <w:tcW w:w="9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$ 1,207,083</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3,771,805</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$ 1,300,000</w:t>
            </w:r>
          </w:p>
        </w:tc>
        <w:tc>
          <w:tcPr>
            <w:tcW w:w="380" w:type="dxa"/>
            <w:vAlign w:val="bottom"/>
          </w:tcPr>
          <w:p>
            <w:pPr>
              <w:spacing w:after="0"/>
              <w:rPr>
                <w:sz w:val="3"/>
                <w:szCs w:val="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3,765,630</w:t>
            </w:r>
          </w:p>
        </w:tc>
        <w:tc>
          <w:tcPr>
            <w:tcW w:w="1120" w:type="dxa"/>
            <w:vAlign w:val="bottom"/>
            <w:gridSpan w:val="2"/>
            <w:vMerge w:val="restart"/>
          </w:tcPr>
          <w:p>
            <w:pPr>
              <w:jc w:val="right"/>
              <w:ind w:right="171"/>
              <w:spacing w:after="0"/>
              <w:rPr>
                <w:sz w:val="20"/>
                <w:szCs w:val="20"/>
                <w:color w:val="auto"/>
              </w:rPr>
            </w:pPr>
            <w:r>
              <w:rPr>
                <w:rFonts w:ascii="Arial" w:cs="Arial" w:eastAsia="Arial" w:hAnsi="Arial"/>
                <w:sz w:val="14"/>
                <w:szCs w:val="14"/>
                <w:color w:val="auto"/>
              </w:rPr>
              <w:t>$ 157,538</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7F7F7F"/>
            </w:tcBorders>
            <w:vMerge w:val="restart"/>
          </w:tcPr>
          <w:p>
            <w:pPr>
              <w:jc w:val="right"/>
              <w:ind w:right="8"/>
              <w:spacing w:after="0"/>
              <w:rPr>
                <w:sz w:val="20"/>
                <w:szCs w:val="20"/>
                <w:color w:val="auto"/>
              </w:rPr>
            </w:pPr>
            <w:r>
              <w:rPr>
                <w:rFonts w:ascii="Arial" w:cs="Arial" w:eastAsia="Arial" w:hAnsi="Arial"/>
                <w:sz w:val="14"/>
                <w:szCs w:val="14"/>
                <w:color w:val="auto"/>
              </w:rPr>
              <w:t>10,202,056</w:t>
            </w:r>
          </w:p>
        </w:tc>
        <w:tc>
          <w:tcPr>
            <w:tcW w:w="0" w:type="dxa"/>
            <w:vAlign w:val="bottom"/>
          </w:tcPr>
          <w:p>
            <w:pPr>
              <w:spacing w:after="0"/>
              <w:rPr>
                <w:sz w:val="1"/>
                <w:szCs w:val="1"/>
                <w:color w:val="auto"/>
              </w:rPr>
            </w:pPr>
          </w:p>
        </w:tc>
      </w:tr>
      <w:tr>
        <w:trPr>
          <w:trHeight w:val="144"/>
        </w:trPr>
        <w:tc>
          <w:tcPr>
            <w:tcW w:w="3340" w:type="dxa"/>
            <w:vAlign w:val="bottom"/>
            <w:tcBorders>
              <w:left w:val="single" w:sz="8" w:color="7F7F7F"/>
            </w:tcBorders>
            <w:vMerge w:val="restart"/>
          </w:tcPr>
          <w:p>
            <w:pPr>
              <w:ind w:left="160"/>
              <w:spacing w:after="0"/>
              <w:rPr>
                <w:sz w:val="20"/>
                <w:szCs w:val="20"/>
                <w:color w:val="auto"/>
              </w:rPr>
            </w:pPr>
            <w:r>
              <w:rPr>
                <w:rFonts w:ascii="Arial" w:cs="Arial" w:eastAsia="Arial" w:hAnsi="Arial"/>
                <w:sz w:val="14"/>
                <w:szCs w:val="14"/>
                <w:color w:val="auto"/>
              </w:rPr>
              <w:t>Upstream</w:t>
            </w:r>
          </w:p>
        </w:tc>
        <w:tc>
          <w:tcPr>
            <w:tcW w:w="58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820" w:type="dxa"/>
            <w:vAlign w:val="bottom"/>
            <w:tcBorders>
              <w:right w:val="single" w:sz="8" w:color="7F7F7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340" w:type="dxa"/>
            <w:vAlign w:val="bottom"/>
            <w:tcBorders>
              <w:left w:val="single" w:sz="8" w:color="7F7F7F"/>
            </w:tcBorders>
            <w:vMerge w:val="continue"/>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Borders>
              <w:right w:val="single" w:sz="8" w:color="7F7F7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tcBorders>
              <w:left w:val="single" w:sz="8" w:color="7F7F7F"/>
            </w:tcBorders>
          </w:tcPr>
          <w:p>
            <w:pPr>
              <w:spacing w:after="0"/>
              <w:rPr>
                <w:sz w:val="18"/>
                <w:szCs w:val="18"/>
                <w:color w:val="auto"/>
              </w:rPr>
            </w:pPr>
          </w:p>
        </w:tc>
        <w:tc>
          <w:tcPr>
            <w:tcW w:w="580" w:type="dxa"/>
            <w:vAlign w:val="bottom"/>
            <w:tcBorders>
              <w:bottom w:val="single" w:sz="8" w:color="D8D8D8"/>
            </w:tcBorders>
            <w:shd w:val="clear" w:color="auto" w:fill="D8D8D8"/>
          </w:tcPr>
          <w:p>
            <w:pPr>
              <w:jc w:val="right"/>
              <w:ind w:right="8"/>
              <w:spacing w:after="0"/>
              <w:rPr>
                <w:sz w:val="20"/>
                <w:szCs w:val="20"/>
                <w:color w:val="auto"/>
              </w:rPr>
            </w:pPr>
            <w:r>
              <w:rPr>
                <w:rFonts w:ascii="Arial" w:cs="Arial" w:eastAsia="Arial" w:hAnsi="Arial"/>
                <w:sz w:val="14"/>
                <w:szCs w:val="14"/>
                <w:color w:val="auto"/>
              </w:rPr>
              <w:t>2019</w:t>
            </w:r>
          </w:p>
        </w:tc>
        <w:tc>
          <w:tcPr>
            <w:tcW w:w="920" w:type="dxa"/>
            <w:vAlign w:val="bottom"/>
            <w:tcBorders>
              <w:bottom w:val="single" w:sz="8" w:color="D8D8D8"/>
            </w:tcBorders>
            <w:gridSpan w:val="2"/>
            <w:shd w:val="clear" w:color="auto" w:fill="D8D8D8"/>
          </w:tcPr>
          <w:p>
            <w:pPr>
              <w:jc w:val="right"/>
              <w:ind w:right="8"/>
              <w:spacing w:after="0"/>
              <w:rPr>
                <w:sz w:val="20"/>
                <w:szCs w:val="20"/>
                <w:color w:val="auto"/>
              </w:rPr>
            </w:pPr>
            <w:r>
              <w:rPr>
                <w:rFonts w:ascii="Arial" w:cs="Arial" w:eastAsia="Arial" w:hAnsi="Arial"/>
                <w:sz w:val="14"/>
                <w:szCs w:val="14"/>
                <w:color w:val="auto"/>
              </w:rPr>
              <w:t>$ 1,180,458</w:t>
            </w:r>
          </w:p>
        </w:tc>
        <w:tc>
          <w:tcPr>
            <w:tcW w:w="16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8D8D8"/>
            </w:tcBorders>
            <w:shd w:val="clear" w:color="auto" w:fill="D8D8D8"/>
          </w:tcPr>
          <w:p>
            <w:pPr>
              <w:jc w:val="right"/>
              <w:ind w:right="8"/>
              <w:spacing w:after="0"/>
              <w:rPr>
                <w:sz w:val="20"/>
                <w:szCs w:val="20"/>
                <w:color w:val="auto"/>
              </w:rPr>
            </w:pPr>
            <w:r>
              <w:rPr>
                <w:rFonts w:ascii="Arial" w:cs="Arial" w:eastAsia="Arial" w:hAnsi="Arial"/>
                <w:sz w:val="14"/>
                <w:szCs w:val="14"/>
                <w:color w:val="auto"/>
              </w:rPr>
              <w:t>4,003,471</w:t>
            </w:r>
          </w:p>
        </w:tc>
        <w:tc>
          <w:tcPr>
            <w:tcW w:w="900" w:type="dxa"/>
            <w:vAlign w:val="bottom"/>
            <w:tcBorders>
              <w:bottom w:val="single" w:sz="8" w:color="D8D8D8"/>
            </w:tcBorders>
            <w:gridSpan w:val="2"/>
            <w:shd w:val="clear" w:color="auto" w:fill="D8D8D8"/>
          </w:tcPr>
          <w:p>
            <w:pPr>
              <w:jc w:val="right"/>
              <w:spacing w:after="0"/>
              <w:rPr>
                <w:sz w:val="20"/>
                <w:szCs w:val="20"/>
                <w:color w:val="auto"/>
              </w:rPr>
            </w:pPr>
            <w:r>
              <w:rPr>
                <w:rFonts w:ascii="Arial" w:cs="Arial" w:eastAsia="Arial" w:hAnsi="Arial"/>
                <w:sz w:val="14"/>
                <w:szCs w:val="14"/>
                <w:color w:val="auto"/>
              </w:rPr>
              <w:t>$ 1,286,979</w:t>
            </w:r>
          </w:p>
        </w:tc>
        <w:tc>
          <w:tcPr>
            <w:tcW w:w="1100" w:type="dxa"/>
            <w:vAlign w:val="bottom"/>
            <w:tcBorders>
              <w:bottom w:val="single" w:sz="8" w:color="D8D8D8"/>
            </w:tcBorders>
            <w:gridSpan w:val="2"/>
            <w:shd w:val="clear" w:color="auto" w:fill="D8D8D8"/>
          </w:tcPr>
          <w:p>
            <w:pPr>
              <w:jc w:val="right"/>
              <w:spacing w:after="0"/>
              <w:rPr>
                <w:sz w:val="20"/>
                <w:szCs w:val="20"/>
                <w:color w:val="auto"/>
              </w:rPr>
            </w:pPr>
            <w:r>
              <w:rPr>
                <w:rFonts w:ascii="Arial" w:cs="Arial" w:eastAsia="Arial" w:hAnsi="Arial"/>
                <w:sz w:val="14"/>
                <w:szCs w:val="14"/>
                <w:color w:val="auto"/>
              </w:rPr>
              <w:t>$ 1,231,200</w:t>
            </w:r>
          </w:p>
        </w:tc>
        <w:tc>
          <w:tcPr>
            <w:tcW w:w="280" w:type="dxa"/>
            <w:vAlign w:val="bottom"/>
            <w:tcBorders>
              <w:bottom w:val="single" w:sz="8" w:color="D8D8D8"/>
            </w:tcBorders>
            <w:shd w:val="clear" w:color="auto" w:fill="D8D8D8"/>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7,479,507</w:t>
            </w:r>
          </w:p>
        </w:tc>
        <w:tc>
          <w:tcPr>
            <w:tcW w:w="1120" w:type="dxa"/>
            <w:vAlign w:val="bottom"/>
            <w:tcBorders>
              <w:bottom w:val="single" w:sz="8" w:color="D8D8D8"/>
            </w:tcBorders>
            <w:gridSpan w:val="2"/>
            <w:shd w:val="clear" w:color="auto" w:fill="D8D8D8"/>
          </w:tcPr>
          <w:p>
            <w:pPr>
              <w:jc w:val="right"/>
              <w:ind w:right="171"/>
              <w:spacing w:after="0"/>
              <w:rPr>
                <w:sz w:val="20"/>
                <w:szCs w:val="20"/>
                <w:color w:val="auto"/>
              </w:rPr>
            </w:pPr>
            <w:r>
              <w:rPr>
                <w:rFonts w:ascii="Arial" w:cs="Arial" w:eastAsia="Arial" w:hAnsi="Arial"/>
                <w:sz w:val="14"/>
                <w:szCs w:val="14"/>
                <w:color w:val="auto"/>
              </w:rPr>
              <w:t>$ 134,015</w:t>
            </w:r>
          </w:p>
        </w:tc>
        <w:tc>
          <w:tcPr>
            <w:tcW w:w="18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8D8D8"/>
              <w:right w:val="single" w:sz="8" w:color="7F7F7F"/>
            </w:tcBorders>
            <w:shd w:val="clear" w:color="auto" w:fill="D8D8D8"/>
          </w:tcPr>
          <w:p>
            <w:pPr>
              <w:jc w:val="right"/>
              <w:ind w:right="8"/>
              <w:spacing w:after="0"/>
              <w:rPr>
                <w:sz w:val="20"/>
                <w:szCs w:val="20"/>
                <w:color w:val="auto"/>
              </w:rPr>
            </w:pPr>
            <w:r>
              <w:rPr>
                <w:rFonts w:ascii="Arial" w:cs="Arial" w:eastAsia="Arial" w:hAnsi="Arial"/>
                <w:sz w:val="14"/>
                <w:szCs w:val="14"/>
                <w:color w:val="auto"/>
              </w:rPr>
              <w:t>15,315,630</w:t>
            </w:r>
          </w:p>
        </w:tc>
        <w:tc>
          <w:tcPr>
            <w:tcW w:w="0" w:type="dxa"/>
            <w:vAlign w:val="bottom"/>
          </w:tcPr>
          <w:p>
            <w:pPr>
              <w:spacing w:after="0"/>
              <w:rPr>
                <w:sz w:val="1"/>
                <w:szCs w:val="1"/>
                <w:color w:val="auto"/>
              </w:rPr>
            </w:pPr>
          </w:p>
        </w:tc>
      </w:tr>
      <w:tr>
        <w:trPr>
          <w:trHeight w:val="196"/>
        </w:trPr>
        <w:tc>
          <w:tcPr>
            <w:tcW w:w="3340" w:type="dxa"/>
            <w:vAlign w:val="bottom"/>
            <w:tcBorders>
              <w:top w:val="single" w:sz="8" w:color="7F7F7F"/>
              <w:left w:val="single" w:sz="8" w:color="7F7F7F"/>
            </w:tcBorders>
          </w:tcPr>
          <w:p>
            <w:pPr>
              <w:ind w:left="160"/>
              <w:spacing w:after="0"/>
              <w:rPr>
                <w:sz w:val="20"/>
                <w:szCs w:val="20"/>
                <w:color w:val="auto"/>
              </w:rPr>
            </w:pPr>
            <w:r>
              <w:rPr>
                <w:rFonts w:ascii="Arial" w:cs="Arial" w:eastAsia="Arial" w:hAnsi="Arial"/>
                <w:sz w:val="14"/>
                <w:szCs w:val="14"/>
                <w:color w:val="auto"/>
              </w:rPr>
              <w:t>J.C. Geagea,</w:t>
            </w:r>
          </w:p>
        </w:tc>
        <w:tc>
          <w:tcPr>
            <w:tcW w:w="580" w:type="dxa"/>
            <w:vAlign w:val="bottom"/>
            <w:tcBorders>
              <w:top w:val="single" w:sz="8" w:color="7F7F7F"/>
            </w:tcBorders>
          </w:tcPr>
          <w:p>
            <w:pPr>
              <w:jc w:val="right"/>
              <w:ind w:right="8"/>
              <w:spacing w:after="0"/>
              <w:rPr>
                <w:sz w:val="20"/>
                <w:szCs w:val="20"/>
                <w:color w:val="auto"/>
              </w:rPr>
            </w:pPr>
            <w:r>
              <w:rPr>
                <w:rFonts w:ascii="Arial" w:cs="Arial" w:eastAsia="Arial" w:hAnsi="Arial"/>
                <w:sz w:val="14"/>
                <w:szCs w:val="14"/>
                <w:color w:val="auto"/>
              </w:rPr>
              <w:t>2021</w:t>
            </w:r>
          </w:p>
        </w:tc>
        <w:tc>
          <w:tcPr>
            <w:tcW w:w="920" w:type="dxa"/>
            <w:vAlign w:val="bottom"/>
            <w:tcBorders>
              <w:top w:val="single" w:sz="8" w:color="7F7F7F"/>
            </w:tcBorders>
            <w:gridSpan w:val="2"/>
          </w:tcPr>
          <w:p>
            <w:pPr>
              <w:jc w:val="right"/>
              <w:ind w:right="8"/>
              <w:spacing w:after="0"/>
              <w:rPr>
                <w:sz w:val="20"/>
                <w:szCs w:val="20"/>
                <w:color w:val="auto"/>
              </w:rPr>
            </w:pPr>
            <w:r>
              <w:rPr>
                <w:rFonts w:ascii="Arial" w:cs="Arial" w:eastAsia="Arial" w:hAnsi="Arial"/>
                <w:sz w:val="14"/>
                <w:szCs w:val="14"/>
                <w:color w:val="auto"/>
              </w:rPr>
              <w:t>$ 1,020,000</w:t>
            </w:r>
          </w:p>
        </w:tc>
        <w:tc>
          <w:tcPr>
            <w:tcW w:w="16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7F7F7F"/>
            </w:tcBorders>
          </w:tcPr>
          <w:p>
            <w:pPr>
              <w:jc w:val="right"/>
              <w:ind w:right="8"/>
              <w:spacing w:after="0"/>
              <w:rPr>
                <w:sz w:val="20"/>
                <w:szCs w:val="20"/>
                <w:color w:val="auto"/>
              </w:rPr>
            </w:pPr>
            <w:r>
              <w:rPr>
                <w:rFonts w:ascii="Arial" w:cs="Arial" w:eastAsia="Arial" w:hAnsi="Arial"/>
                <w:sz w:val="14"/>
                <w:szCs w:val="14"/>
                <w:color w:val="auto"/>
              </w:rPr>
              <w:t>4,759,518</w:t>
            </w:r>
          </w:p>
        </w:tc>
        <w:tc>
          <w:tcPr>
            <w:tcW w:w="900" w:type="dxa"/>
            <w:vAlign w:val="bottom"/>
            <w:tcBorders>
              <w:top w:val="single" w:sz="8" w:color="7F7F7F"/>
            </w:tcBorders>
            <w:gridSpan w:val="2"/>
          </w:tcPr>
          <w:p>
            <w:pPr>
              <w:jc w:val="right"/>
              <w:spacing w:after="0"/>
              <w:rPr>
                <w:sz w:val="20"/>
                <w:szCs w:val="20"/>
                <w:color w:val="auto"/>
              </w:rPr>
            </w:pPr>
            <w:r>
              <w:rPr>
                <w:rFonts w:ascii="Arial" w:cs="Arial" w:eastAsia="Arial" w:hAnsi="Arial"/>
                <w:sz w:val="14"/>
                <w:szCs w:val="14"/>
                <w:color w:val="auto"/>
              </w:rPr>
              <w:t>$ 1,000,818</w:t>
            </w:r>
          </w:p>
        </w:tc>
        <w:tc>
          <w:tcPr>
            <w:tcW w:w="1100" w:type="dxa"/>
            <w:vAlign w:val="bottom"/>
            <w:tcBorders>
              <w:top w:val="single" w:sz="8" w:color="7F7F7F"/>
            </w:tcBorders>
            <w:gridSpan w:val="2"/>
          </w:tcPr>
          <w:p>
            <w:pPr>
              <w:jc w:val="right"/>
              <w:spacing w:after="0"/>
              <w:rPr>
                <w:sz w:val="20"/>
                <w:szCs w:val="20"/>
                <w:color w:val="auto"/>
              </w:rPr>
            </w:pPr>
            <w:r>
              <w:rPr>
                <w:rFonts w:ascii="Arial" w:cs="Arial" w:eastAsia="Arial" w:hAnsi="Arial"/>
                <w:sz w:val="14"/>
                <w:szCs w:val="14"/>
                <w:color w:val="auto"/>
              </w:rPr>
              <w:t>$ 1,800,000</w:t>
            </w:r>
          </w:p>
        </w:tc>
        <w:tc>
          <w:tcPr>
            <w:tcW w:w="280" w:type="dxa"/>
            <w:vAlign w:val="bottom"/>
            <w:tcBorders>
              <w:top w:val="single" w:sz="8" w:color="7F7F7F"/>
            </w:tcBorders>
          </w:tcPr>
          <w:p>
            <w:pPr>
              <w:spacing w:after="0"/>
              <w:rPr>
                <w:sz w:val="17"/>
                <w:szCs w:val="17"/>
                <w:color w:val="auto"/>
              </w:rPr>
            </w:pPr>
          </w:p>
        </w:tc>
        <w:tc>
          <w:tcPr>
            <w:tcW w:w="82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7F7F7F"/>
            </w:tcBorders>
            <w:gridSpan w:val="2"/>
          </w:tcPr>
          <w:p>
            <w:pPr>
              <w:jc w:val="right"/>
              <w:ind w:right="171"/>
              <w:spacing w:after="0"/>
              <w:rPr>
                <w:sz w:val="20"/>
                <w:szCs w:val="20"/>
                <w:color w:val="auto"/>
              </w:rPr>
            </w:pPr>
            <w:r>
              <w:rPr>
                <w:rFonts w:ascii="Arial" w:cs="Arial" w:eastAsia="Arial" w:hAnsi="Arial"/>
                <w:sz w:val="14"/>
                <w:szCs w:val="14"/>
                <w:color w:val="auto"/>
              </w:rPr>
              <w:t>$ 495,675</w:t>
            </w:r>
          </w:p>
        </w:tc>
        <w:tc>
          <w:tcPr>
            <w:tcW w:w="18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7F7F7F"/>
              <w:right w:val="single" w:sz="8" w:color="7F7F7F"/>
            </w:tcBorders>
          </w:tcPr>
          <w:p>
            <w:pPr>
              <w:jc w:val="right"/>
              <w:ind w:right="8"/>
              <w:spacing w:after="0"/>
              <w:rPr>
                <w:sz w:val="20"/>
                <w:szCs w:val="20"/>
                <w:color w:val="auto"/>
              </w:rPr>
            </w:pPr>
            <w:r>
              <w:rPr>
                <w:rFonts w:ascii="Arial" w:cs="Arial" w:eastAsia="Arial" w:hAnsi="Arial"/>
                <w:sz w:val="14"/>
                <w:szCs w:val="14"/>
                <w:color w:val="auto"/>
              </w:rPr>
              <w:t>9,076,011</w:t>
            </w:r>
          </w:p>
        </w:tc>
        <w:tc>
          <w:tcPr>
            <w:tcW w:w="0" w:type="dxa"/>
            <w:vAlign w:val="bottom"/>
          </w:tcPr>
          <w:p>
            <w:pPr>
              <w:spacing w:after="0"/>
              <w:rPr>
                <w:sz w:val="1"/>
                <w:szCs w:val="1"/>
                <w:color w:val="auto"/>
              </w:rPr>
            </w:pPr>
          </w:p>
        </w:tc>
      </w:tr>
      <w:tr>
        <w:trPr>
          <w:trHeight w:val="133"/>
        </w:trPr>
        <w:tc>
          <w:tcPr>
            <w:tcW w:w="3340" w:type="dxa"/>
            <w:vAlign w:val="bottom"/>
            <w:tcBorders>
              <w:left w:val="single" w:sz="8" w:color="7F7F7F"/>
            </w:tcBorders>
          </w:tcPr>
          <w:p>
            <w:pPr>
              <w:ind w:left="160"/>
              <w:spacing w:after="0" w:line="133" w:lineRule="exact"/>
              <w:rPr>
                <w:sz w:val="20"/>
                <w:szCs w:val="20"/>
                <w:color w:val="auto"/>
              </w:rPr>
            </w:pPr>
            <w:r>
              <w:rPr>
                <w:rFonts w:ascii="Arial" w:cs="Arial" w:eastAsia="Arial" w:hAnsi="Arial"/>
                <w:sz w:val="14"/>
                <w:szCs w:val="14"/>
                <w:color w:val="auto"/>
              </w:rPr>
              <w:t>Executive Vice President</w:t>
            </w:r>
          </w:p>
        </w:tc>
        <w:tc>
          <w:tcPr>
            <w:tcW w:w="580" w:type="dxa"/>
            <w:vAlign w:val="bottom"/>
            <w:tcBorders>
              <w:bottom w:val="single" w:sz="8" w:color="D8D8D8"/>
            </w:tcBorders>
          </w:tcPr>
          <w:p>
            <w:pPr>
              <w:spacing w:after="0"/>
              <w:rPr>
                <w:sz w:val="11"/>
                <w:szCs w:val="11"/>
                <w:color w:val="auto"/>
              </w:rPr>
            </w:pPr>
          </w:p>
        </w:tc>
        <w:tc>
          <w:tcPr>
            <w:tcW w:w="180" w:type="dxa"/>
            <w:vAlign w:val="bottom"/>
            <w:tcBorders>
              <w:bottom w:val="single" w:sz="8" w:color="D8D8D8"/>
            </w:tcBorders>
          </w:tcPr>
          <w:p>
            <w:pPr>
              <w:spacing w:after="0"/>
              <w:rPr>
                <w:sz w:val="11"/>
                <w:szCs w:val="11"/>
                <w:color w:val="auto"/>
              </w:rPr>
            </w:pPr>
          </w:p>
        </w:tc>
        <w:tc>
          <w:tcPr>
            <w:tcW w:w="740" w:type="dxa"/>
            <w:vAlign w:val="bottom"/>
            <w:tcBorders>
              <w:bottom w:val="single" w:sz="8" w:color="D8D8D8"/>
            </w:tcBorders>
          </w:tcPr>
          <w:p>
            <w:pPr>
              <w:spacing w:after="0"/>
              <w:rPr>
                <w:sz w:val="11"/>
                <w:szCs w:val="11"/>
                <w:color w:val="auto"/>
              </w:rPr>
            </w:pPr>
          </w:p>
        </w:tc>
        <w:tc>
          <w:tcPr>
            <w:tcW w:w="160" w:type="dxa"/>
            <w:vAlign w:val="bottom"/>
            <w:tcBorders>
              <w:bottom w:val="single" w:sz="8" w:color="D8D8D8"/>
            </w:tcBorders>
          </w:tcPr>
          <w:p>
            <w:pPr>
              <w:spacing w:after="0"/>
              <w:rPr>
                <w:sz w:val="11"/>
                <w:szCs w:val="11"/>
                <w:color w:val="auto"/>
              </w:rPr>
            </w:pPr>
          </w:p>
        </w:tc>
        <w:tc>
          <w:tcPr>
            <w:tcW w:w="820" w:type="dxa"/>
            <w:vAlign w:val="bottom"/>
            <w:tcBorders>
              <w:bottom w:val="single" w:sz="8" w:color="D8D8D8"/>
            </w:tcBorders>
          </w:tcPr>
          <w:p>
            <w:pPr>
              <w:spacing w:after="0"/>
              <w:rPr>
                <w:sz w:val="11"/>
                <w:szCs w:val="11"/>
                <w:color w:val="auto"/>
              </w:rPr>
            </w:pPr>
          </w:p>
        </w:tc>
        <w:tc>
          <w:tcPr>
            <w:tcW w:w="180" w:type="dxa"/>
            <w:vAlign w:val="bottom"/>
            <w:tcBorders>
              <w:bottom w:val="single" w:sz="8" w:color="D8D8D8"/>
            </w:tcBorders>
          </w:tcPr>
          <w:p>
            <w:pPr>
              <w:spacing w:after="0"/>
              <w:rPr>
                <w:sz w:val="11"/>
                <w:szCs w:val="11"/>
                <w:color w:val="auto"/>
              </w:rPr>
            </w:pPr>
          </w:p>
        </w:tc>
        <w:tc>
          <w:tcPr>
            <w:tcW w:w="720" w:type="dxa"/>
            <w:vAlign w:val="bottom"/>
            <w:tcBorders>
              <w:bottom w:val="single" w:sz="8" w:color="D8D8D8"/>
            </w:tcBorders>
          </w:tcPr>
          <w:p>
            <w:pPr>
              <w:spacing w:after="0"/>
              <w:rPr>
                <w:sz w:val="11"/>
                <w:szCs w:val="11"/>
                <w:color w:val="auto"/>
              </w:rPr>
            </w:pPr>
          </w:p>
        </w:tc>
        <w:tc>
          <w:tcPr>
            <w:tcW w:w="380" w:type="dxa"/>
            <w:vAlign w:val="bottom"/>
            <w:tcBorders>
              <w:bottom w:val="single" w:sz="8" w:color="D8D8D8"/>
            </w:tcBorders>
          </w:tcPr>
          <w:p>
            <w:pPr>
              <w:spacing w:after="0"/>
              <w:rPr>
                <w:sz w:val="11"/>
                <w:szCs w:val="11"/>
                <w:color w:val="auto"/>
              </w:rPr>
            </w:pPr>
          </w:p>
        </w:tc>
        <w:tc>
          <w:tcPr>
            <w:tcW w:w="720" w:type="dxa"/>
            <w:vAlign w:val="bottom"/>
            <w:tcBorders>
              <w:bottom w:val="single" w:sz="8" w:color="D8D8D8"/>
            </w:tcBorders>
          </w:tcPr>
          <w:p>
            <w:pPr>
              <w:spacing w:after="0"/>
              <w:rPr>
                <w:sz w:val="11"/>
                <w:szCs w:val="11"/>
                <w:color w:val="auto"/>
              </w:rPr>
            </w:pPr>
          </w:p>
        </w:tc>
        <w:tc>
          <w:tcPr>
            <w:tcW w:w="280" w:type="dxa"/>
            <w:vAlign w:val="bottom"/>
            <w:tcBorders>
              <w:bottom w:val="single" w:sz="8" w:color="D8D8D8"/>
            </w:tcBorders>
          </w:tcPr>
          <w:p>
            <w:pPr>
              <w:spacing w:after="0"/>
              <w:rPr>
                <w:sz w:val="11"/>
                <w:szCs w:val="11"/>
                <w:color w:val="auto"/>
              </w:rPr>
            </w:pPr>
          </w:p>
        </w:tc>
        <w:tc>
          <w:tcPr>
            <w:tcW w:w="820" w:type="dxa"/>
            <w:vAlign w:val="bottom"/>
            <w:tcBorders>
              <w:bottom w:val="single" w:sz="8" w:color="D8D8D8"/>
            </w:tcBorders>
          </w:tcPr>
          <w:p>
            <w:pPr>
              <w:spacing w:after="0"/>
              <w:rPr>
                <w:sz w:val="11"/>
                <w:szCs w:val="11"/>
                <w:color w:val="auto"/>
              </w:rPr>
            </w:pPr>
          </w:p>
        </w:tc>
        <w:tc>
          <w:tcPr>
            <w:tcW w:w="360" w:type="dxa"/>
            <w:vAlign w:val="bottom"/>
            <w:tcBorders>
              <w:bottom w:val="single" w:sz="8" w:color="D8D8D8"/>
            </w:tcBorders>
          </w:tcPr>
          <w:p>
            <w:pPr>
              <w:spacing w:after="0"/>
              <w:rPr>
                <w:sz w:val="11"/>
                <w:szCs w:val="11"/>
                <w:color w:val="auto"/>
              </w:rPr>
            </w:pPr>
          </w:p>
        </w:tc>
        <w:tc>
          <w:tcPr>
            <w:tcW w:w="760" w:type="dxa"/>
            <w:vAlign w:val="bottom"/>
            <w:tcBorders>
              <w:bottom w:val="single" w:sz="8" w:color="D8D8D8"/>
            </w:tcBorders>
          </w:tcPr>
          <w:p>
            <w:pPr>
              <w:spacing w:after="0"/>
              <w:rPr>
                <w:sz w:val="11"/>
                <w:szCs w:val="11"/>
                <w:color w:val="auto"/>
              </w:rPr>
            </w:pPr>
          </w:p>
        </w:tc>
        <w:tc>
          <w:tcPr>
            <w:tcW w:w="180" w:type="dxa"/>
            <w:vAlign w:val="bottom"/>
            <w:tcBorders>
              <w:bottom w:val="single" w:sz="8" w:color="D8D8D8"/>
            </w:tcBorders>
          </w:tcPr>
          <w:p>
            <w:pPr>
              <w:spacing w:after="0"/>
              <w:rPr>
                <w:sz w:val="11"/>
                <w:szCs w:val="11"/>
                <w:color w:val="auto"/>
              </w:rPr>
            </w:pPr>
          </w:p>
        </w:tc>
        <w:tc>
          <w:tcPr>
            <w:tcW w:w="820" w:type="dxa"/>
            <w:vAlign w:val="bottom"/>
            <w:tcBorders>
              <w:bottom w:val="single" w:sz="8" w:color="D8D8D8"/>
              <w:right w:val="single" w:sz="8" w:color="7F7F7F"/>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340" w:type="dxa"/>
            <w:vAlign w:val="bottom"/>
            <w:tcBorders>
              <w:left w:val="single" w:sz="8" w:color="7F7F7F"/>
            </w:tcBorders>
          </w:tcPr>
          <w:p>
            <w:pPr>
              <w:ind w:left="160"/>
              <w:spacing w:after="0" w:line="151" w:lineRule="exact"/>
              <w:rPr>
                <w:sz w:val="20"/>
                <w:szCs w:val="20"/>
                <w:color w:val="auto"/>
              </w:rPr>
            </w:pPr>
            <w:r>
              <w:rPr>
                <w:rFonts w:ascii="Arial" w:cs="Arial" w:eastAsia="Arial" w:hAnsi="Arial"/>
                <w:sz w:val="14"/>
                <w:szCs w:val="14"/>
                <w:color w:val="auto"/>
              </w:rPr>
              <w:t>and Senior Advisor to Chairman and CEO</w:t>
            </w:r>
          </w:p>
        </w:tc>
        <w:tc>
          <w:tcPr>
            <w:tcW w:w="580" w:type="dxa"/>
            <w:vAlign w:val="bottom"/>
            <w:tcBorders>
              <w:bottom w:val="single" w:sz="8" w:color="D8D8D8"/>
            </w:tcBorders>
            <w:shd w:val="clear" w:color="auto" w:fill="D8D8D8"/>
          </w:tcPr>
          <w:p>
            <w:pPr>
              <w:jc w:val="right"/>
              <w:ind w:right="8"/>
              <w:spacing w:after="0" w:line="145" w:lineRule="exact"/>
              <w:rPr>
                <w:sz w:val="20"/>
                <w:szCs w:val="20"/>
                <w:color w:val="auto"/>
              </w:rPr>
            </w:pPr>
            <w:r>
              <w:rPr>
                <w:rFonts w:ascii="Arial" w:cs="Arial" w:eastAsia="Arial" w:hAnsi="Arial"/>
                <w:sz w:val="14"/>
                <w:szCs w:val="14"/>
                <w:color w:val="auto"/>
              </w:rPr>
              <w:t>2020</w:t>
            </w:r>
          </w:p>
        </w:tc>
        <w:tc>
          <w:tcPr>
            <w:tcW w:w="920" w:type="dxa"/>
            <w:vAlign w:val="bottom"/>
            <w:tcBorders>
              <w:bottom w:val="single" w:sz="8" w:color="D8D8D8"/>
            </w:tcBorders>
            <w:gridSpan w:val="2"/>
            <w:shd w:val="clear" w:color="auto" w:fill="D8D8D8"/>
          </w:tcPr>
          <w:p>
            <w:pPr>
              <w:jc w:val="right"/>
              <w:ind w:right="8"/>
              <w:spacing w:after="0" w:line="145" w:lineRule="exact"/>
              <w:rPr>
                <w:sz w:val="20"/>
                <w:szCs w:val="20"/>
                <w:color w:val="auto"/>
              </w:rPr>
            </w:pPr>
            <w:r>
              <w:rPr>
                <w:rFonts w:ascii="Arial" w:cs="Arial" w:eastAsia="Arial" w:hAnsi="Arial"/>
                <w:sz w:val="14"/>
                <w:szCs w:val="14"/>
                <w:color w:val="auto"/>
              </w:rPr>
              <w:t>$ 1,014,167</w:t>
            </w:r>
          </w:p>
        </w:tc>
        <w:tc>
          <w:tcPr>
            <w:tcW w:w="160" w:type="dxa"/>
            <w:vAlign w:val="bottom"/>
            <w:tcBorders>
              <w:bottom w:val="single" w:sz="8" w:color="D8D8D8"/>
            </w:tcBorders>
            <w:shd w:val="clear" w:color="auto" w:fill="D8D8D8"/>
          </w:tcPr>
          <w:p>
            <w:pPr>
              <w:jc w:val="right"/>
              <w:spacing w:after="0" w:line="14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D8D8D8"/>
            </w:tcBorders>
            <w:shd w:val="clear" w:color="auto" w:fill="D8D8D8"/>
          </w:tcPr>
          <w:p>
            <w:pPr>
              <w:jc w:val="right"/>
              <w:ind w:right="8"/>
              <w:spacing w:after="0" w:line="145" w:lineRule="exact"/>
              <w:rPr>
                <w:sz w:val="20"/>
                <w:szCs w:val="20"/>
                <w:color w:val="auto"/>
              </w:rPr>
            </w:pPr>
            <w:r>
              <w:rPr>
                <w:rFonts w:ascii="Arial" w:cs="Arial" w:eastAsia="Arial" w:hAnsi="Arial"/>
                <w:sz w:val="14"/>
                <w:szCs w:val="14"/>
                <w:color w:val="auto"/>
              </w:rPr>
              <w:t>2,904,706</w:t>
            </w:r>
          </w:p>
        </w:tc>
        <w:tc>
          <w:tcPr>
            <w:tcW w:w="900" w:type="dxa"/>
            <w:vAlign w:val="bottom"/>
            <w:tcBorders>
              <w:bottom w:val="single" w:sz="8" w:color="D8D8D8"/>
            </w:tcBorders>
            <w:gridSpan w:val="2"/>
            <w:shd w:val="clear" w:color="auto" w:fill="D8D8D8"/>
          </w:tcPr>
          <w:p>
            <w:pPr>
              <w:jc w:val="right"/>
              <w:spacing w:after="0" w:line="145" w:lineRule="exact"/>
              <w:rPr>
                <w:sz w:val="20"/>
                <w:szCs w:val="20"/>
                <w:color w:val="auto"/>
              </w:rPr>
            </w:pPr>
            <w:r>
              <w:rPr>
                <w:rFonts w:ascii="Arial" w:cs="Arial" w:eastAsia="Arial" w:hAnsi="Arial"/>
                <w:sz w:val="14"/>
                <w:szCs w:val="14"/>
                <w:color w:val="auto"/>
              </w:rPr>
              <w:t>$ 1,001,000</w:t>
            </w:r>
          </w:p>
        </w:tc>
        <w:tc>
          <w:tcPr>
            <w:tcW w:w="380" w:type="dxa"/>
            <w:vAlign w:val="bottom"/>
            <w:tcBorders>
              <w:bottom w:val="single" w:sz="8" w:color="D8D8D8"/>
            </w:tcBorders>
            <w:shd w:val="clear" w:color="auto" w:fill="D8D8D8"/>
          </w:tcPr>
          <w:p>
            <w:pPr>
              <w:spacing w:after="0"/>
              <w:rPr>
                <w:sz w:val="13"/>
                <w:szCs w:val="13"/>
                <w:color w:val="auto"/>
              </w:rPr>
            </w:pPr>
          </w:p>
        </w:tc>
        <w:tc>
          <w:tcPr>
            <w:tcW w:w="720" w:type="dxa"/>
            <w:vAlign w:val="bottom"/>
            <w:tcBorders>
              <w:bottom w:val="single" w:sz="8" w:color="D8D8D8"/>
            </w:tcBorders>
            <w:shd w:val="clear" w:color="auto" w:fill="D8D8D8"/>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D8D8D8"/>
            </w:tcBorders>
            <w:shd w:val="clear" w:color="auto" w:fill="D8D8D8"/>
          </w:tcPr>
          <w:p>
            <w:pPr>
              <w:ind w:left="200"/>
              <w:spacing w:after="0" w:line="14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D8D8D8"/>
            </w:tcBorders>
            <w:shd w:val="clear" w:color="auto" w:fill="D8D8D8"/>
          </w:tcPr>
          <w:p>
            <w:pPr>
              <w:jc w:val="right"/>
              <w:spacing w:after="0" w:line="145" w:lineRule="exact"/>
              <w:rPr>
                <w:sz w:val="20"/>
                <w:szCs w:val="20"/>
                <w:color w:val="auto"/>
              </w:rPr>
            </w:pPr>
            <w:r>
              <w:rPr>
                <w:rFonts w:ascii="Arial" w:cs="Arial" w:eastAsia="Arial" w:hAnsi="Arial"/>
                <w:sz w:val="14"/>
                <w:szCs w:val="14"/>
                <w:color w:val="auto"/>
              </w:rPr>
              <w:t>2,929,733</w:t>
            </w:r>
          </w:p>
        </w:tc>
        <w:tc>
          <w:tcPr>
            <w:tcW w:w="1120" w:type="dxa"/>
            <w:vAlign w:val="bottom"/>
            <w:tcBorders>
              <w:bottom w:val="single" w:sz="8" w:color="D8D8D8"/>
            </w:tcBorders>
            <w:gridSpan w:val="2"/>
            <w:shd w:val="clear" w:color="auto" w:fill="D8D8D8"/>
          </w:tcPr>
          <w:p>
            <w:pPr>
              <w:jc w:val="right"/>
              <w:ind w:right="171"/>
              <w:spacing w:after="0" w:line="145" w:lineRule="exact"/>
              <w:rPr>
                <w:sz w:val="20"/>
                <w:szCs w:val="20"/>
                <w:color w:val="auto"/>
              </w:rPr>
            </w:pPr>
            <w:r>
              <w:rPr>
                <w:rFonts w:ascii="Arial" w:cs="Arial" w:eastAsia="Arial" w:hAnsi="Arial"/>
                <w:sz w:val="14"/>
                <w:szCs w:val="14"/>
                <w:color w:val="auto"/>
              </w:rPr>
              <w:t>$ 102,652</w:t>
            </w:r>
          </w:p>
        </w:tc>
        <w:tc>
          <w:tcPr>
            <w:tcW w:w="180" w:type="dxa"/>
            <w:vAlign w:val="bottom"/>
            <w:tcBorders>
              <w:bottom w:val="single" w:sz="8" w:color="D8D8D8"/>
            </w:tcBorders>
            <w:shd w:val="clear" w:color="auto" w:fill="D8D8D8"/>
          </w:tcPr>
          <w:p>
            <w:pPr>
              <w:jc w:val="right"/>
              <w:spacing w:after="0" w:line="14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D8D8D8"/>
              <w:right w:val="single" w:sz="8" w:color="7F7F7F"/>
            </w:tcBorders>
            <w:shd w:val="clear" w:color="auto" w:fill="D8D8D8"/>
          </w:tcPr>
          <w:p>
            <w:pPr>
              <w:jc w:val="right"/>
              <w:ind w:right="8"/>
              <w:spacing w:after="0" w:line="145" w:lineRule="exact"/>
              <w:rPr>
                <w:sz w:val="20"/>
                <w:szCs w:val="20"/>
                <w:color w:val="auto"/>
              </w:rPr>
            </w:pPr>
            <w:r>
              <w:rPr>
                <w:rFonts w:ascii="Arial" w:cs="Arial" w:eastAsia="Arial" w:hAnsi="Arial"/>
                <w:sz w:val="14"/>
                <w:szCs w:val="14"/>
                <w:color w:val="auto"/>
              </w:rPr>
              <w:t>7,952,258</w:t>
            </w:r>
          </w:p>
        </w:tc>
        <w:tc>
          <w:tcPr>
            <w:tcW w:w="0" w:type="dxa"/>
            <w:vAlign w:val="bottom"/>
          </w:tcPr>
          <w:p>
            <w:pPr>
              <w:spacing w:after="0"/>
              <w:rPr>
                <w:sz w:val="1"/>
                <w:szCs w:val="1"/>
                <w:color w:val="auto"/>
              </w:rPr>
            </w:pPr>
          </w:p>
        </w:tc>
      </w:tr>
      <w:tr>
        <w:trPr>
          <w:trHeight w:val="162"/>
        </w:trPr>
        <w:tc>
          <w:tcPr>
            <w:tcW w:w="3340" w:type="dxa"/>
            <w:vAlign w:val="bottom"/>
            <w:tcBorders>
              <w:left w:val="single" w:sz="8" w:color="7F7F7F"/>
              <w:bottom w:val="single" w:sz="8" w:color="7F7F7F"/>
            </w:tcBorders>
          </w:tcPr>
          <w:p>
            <w:pPr>
              <w:spacing w:after="0"/>
              <w:rPr>
                <w:sz w:val="14"/>
                <w:szCs w:val="14"/>
                <w:color w:val="auto"/>
              </w:rPr>
            </w:pPr>
          </w:p>
        </w:tc>
        <w:tc>
          <w:tcPr>
            <w:tcW w:w="580" w:type="dxa"/>
            <w:vAlign w:val="bottom"/>
            <w:tcBorders>
              <w:bottom w:val="single" w:sz="8" w:color="7F7F7F"/>
            </w:tcBorders>
          </w:tcPr>
          <w:p>
            <w:pPr>
              <w:jc w:val="right"/>
              <w:ind w:right="8"/>
              <w:spacing w:after="0"/>
              <w:rPr>
                <w:sz w:val="20"/>
                <w:szCs w:val="20"/>
                <w:color w:val="auto"/>
              </w:rPr>
            </w:pPr>
            <w:r>
              <w:rPr>
                <w:rFonts w:ascii="Arial" w:cs="Arial" w:eastAsia="Arial" w:hAnsi="Arial"/>
                <w:sz w:val="14"/>
                <w:szCs w:val="14"/>
                <w:color w:val="auto"/>
              </w:rPr>
              <w:t>2019</w:t>
            </w:r>
          </w:p>
        </w:tc>
        <w:tc>
          <w:tcPr>
            <w:tcW w:w="18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7F7F7F"/>
            </w:tcBorders>
          </w:tcPr>
          <w:p>
            <w:pPr>
              <w:jc w:val="right"/>
              <w:ind w:right="8"/>
              <w:spacing w:after="0"/>
              <w:rPr>
                <w:sz w:val="20"/>
                <w:szCs w:val="20"/>
                <w:color w:val="auto"/>
              </w:rPr>
            </w:pPr>
            <w:r>
              <w:rPr>
                <w:rFonts w:ascii="Arial" w:cs="Arial" w:eastAsia="Arial" w:hAnsi="Arial"/>
                <w:sz w:val="14"/>
                <w:szCs w:val="14"/>
                <w:color w:val="auto"/>
              </w:rPr>
              <w:t>994,750</w:t>
            </w:r>
          </w:p>
        </w:tc>
        <w:tc>
          <w:tcPr>
            <w:tcW w:w="16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7F7F7F"/>
            </w:tcBorders>
          </w:tcPr>
          <w:p>
            <w:pPr>
              <w:jc w:val="right"/>
              <w:ind w:right="8"/>
              <w:spacing w:after="0"/>
              <w:rPr>
                <w:sz w:val="20"/>
                <w:szCs w:val="20"/>
                <w:color w:val="auto"/>
              </w:rPr>
            </w:pPr>
            <w:r>
              <w:rPr>
                <w:rFonts w:ascii="Arial" w:cs="Arial" w:eastAsia="Arial" w:hAnsi="Arial"/>
                <w:sz w:val="14"/>
                <w:szCs w:val="14"/>
                <w:color w:val="auto"/>
              </w:rPr>
              <w:t>3,081,375</w:t>
            </w:r>
          </w:p>
        </w:tc>
        <w:tc>
          <w:tcPr>
            <w:tcW w:w="18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990,958</w:t>
            </w:r>
          </w:p>
        </w:tc>
        <w:tc>
          <w:tcPr>
            <w:tcW w:w="38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992,800</w:t>
            </w:r>
          </w:p>
        </w:tc>
        <w:tc>
          <w:tcPr>
            <w:tcW w:w="280" w:type="dxa"/>
            <w:vAlign w:val="bottom"/>
            <w:tcBorders>
              <w:bottom w:val="single" w:sz="8" w:color="7F7F7F"/>
            </w:tcBorders>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6,535,781</w:t>
            </w:r>
          </w:p>
        </w:tc>
        <w:tc>
          <w:tcPr>
            <w:tcW w:w="1120" w:type="dxa"/>
            <w:vAlign w:val="bottom"/>
            <w:tcBorders>
              <w:bottom w:val="single" w:sz="8" w:color="7F7F7F"/>
            </w:tcBorders>
            <w:gridSpan w:val="2"/>
          </w:tcPr>
          <w:p>
            <w:pPr>
              <w:jc w:val="right"/>
              <w:ind w:right="171"/>
              <w:spacing w:after="0"/>
              <w:rPr>
                <w:sz w:val="20"/>
                <w:szCs w:val="20"/>
                <w:color w:val="auto"/>
              </w:rPr>
            </w:pPr>
            <w:r>
              <w:rPr>
                <w:rFonts w:ascii="Arial" w:cs="Arial" w:eastAsia="Arial" w:hAnsi="Arial"/>
                <w:sz w:val="14"/>
                <w:szCs w:val="14"/>
                <w:color w:val="auto"/>
              </w:rPr>
              <w:t>$ 414,139</w:t>
            </w:r>
          </w:p>
        </w:tc>
        <w:tc>
          <w:tcPr>
            <w:tcW w:w="18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7F7F7F"/>
              <w:right w:val="single" w:sz="8" w:color="7F7F7F"/>
            </w:tcBorders>
          </w:tcPr>
          <w:p>
            <w:pPr>
              <w:jc w:val="right"/>
              <w:ind w:right="8"/>
              <w:spacing w:after="0"/>
              <w:rPr>
                <w:sz w:val="20"/>
                <w:szCs w:val="20"/>
                <w:color w:val="auto"/>
              </w:rPr>
            </w:pPr>
            <w:r>
              <w:rPr>
                <w:rFonts w:ascii="Arial" w:cs="Arial" w:eastAsia="Arial" w:hAnsi="Arial"/>
                <w:sz w:val="14"/>
                <w:szCs w:val="14"/>
                <w:color w:val="auto"/>
              </w:rPr>
              <w:t>13,009,803</w:t>
            </w:r>
          </w:p>
        </w:tc>
        <w:tc>
          <w:tcPr>
            <w:tcW w:w="0" w:type="dxa"/>
            <w:vAlign w:val="bottom"/>
          </w:tcPr>
          <w:p>
            <w:pPr>
              <w:spacing w:after="0"/>
              <w:rPr>
                <w:sz w:val="1"/>
                <w:szCs w:val="1"/>
                <w:color w:val="auto"/>
              </w:rPr>
            </w:pPr>
          </w:p>
        </w:tc>
      </w:tr>
      <w:tr>
        <w:trPr>
          <w:trHeight w:val="196"/>
        </w:trPr>
        <w:tc>
          <w:tcPr>
            <w:tcW w:w="3340" w:type="dxa"/>
            <w:vAlign w:val="bottom"/>
            <w:tcBorders>
              <w:left w:val="single" w:sz="8" w:color="7F7F7F"/>
            </w:tcBorders>
          </w:tcPr>
          <w:p>
            <w:pPr>
              <w:ind w:left="160"/>
              <w:spacing w:after="0"/>
              <w:rPr>
                <w:sz w:val="20"/>
                <w:szCs w:val="20"/>
                <w:color w:val="auto"/>
              </w:rPr>
            </w:pPr>
            <w:r>
              <w:rPr>
                <w:rFonts w:ascii="Arial" w:cs="Arial" w:eastAsia="Arial" w:hAnsi="Arial"/>
                <w:sz w:val="14"/>
                <w:szCs w:val="14"/>
                <w:color w:val="auto"/>
              </w:rPr>
              <w:t>M.A. Nelson,</w:t>
            </w:r>
          </w:p>
        </w:tc>
        <w:tc>
          <w:tcPr>
            <w:tcW w:w="58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2021</w:t>
            </w:r>
          </w:p>
        </w:tc>
        <w:tc>
          <w:tcPr>
            <w:tcW w:w="1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950,000</w:t>
            </w:r>
          </w:p>
        </w:tc>
        <w:tc>
          <w:tcPr>
            <w:tcW w:w="1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3,158,688</w:t>
            </w:r>
          </w:p>
        </w:tc>
        <w:tc>
          <w:tcPr>
            <w:tcW w:w="90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$ 1,000,818</w:t>
            </w:r>
          </w:p>
        </w:tc>
        <w:tc>
          <w:tcPr>
            <w:tcW w:w="110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$ 1,800,000</w:t>
            </w:r>
          </w:p>
        </w:tc>
        <w:tc>
          <w:tcPr>
            <w:tcW w:w="280" w:type="dxa"/>
            <w:vAlign w:val="bottom"/>
            <w:shd w:val="clear" w:color="auto" w:fill="D8D8D8"/>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963,473</w:t>
            </w:r>
          </w:p>
        </w:tc>
        <w:tc>
          <w:tcPr>
            <w:tcW w:w="1120" w:type="dxa"/>
            <w:vAlign w:val="bottom"/>
            <w:gridSpan w:val="2"/>
            <w:shd w:val="clear" w:color="auto" w:fill="D8D8D8"/>
          </w:tcPr>
          <w:p>
            <w:pPr>
              <w:jc w:val="right"/>
              <w:ind w:right="171"/>
              <w:spacing w:after="0"/>
              <w:rPr>
                <w:sz w:val="20"/>
                <w:szCs w:val="20"/>
                <w:color w:val="auto"/>
              </w:rPr>
            </w:pPr>
            <w:r>
              <w:rPr>
                <w:rFonts w:ascii="Arial" w:cs="Arial" w:eastAsia="Arial" w:hAnsi="Arial"/>
                <w:sz w:val="14"/>
                <w:szCs w:val="14"/>
                <w:color w:val="auto"/>
              </w:rPr>
              <w:t>$ 115,401</w:t>
            </w:r>
          </w:p>
        </w:tc>
        <w:tc>
          <w:tcPr>
            <w:tcW w:w="1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7F7F7F"/>
            </w:tcBorders>
            <w:shd w:val="clear" w:color="auto" w:fill="D8D8D8"/>
          </w:tcPr>
          <w:p>
            <w:pPr>
              <w:jc w:val="right"/>
              <w:ind w:right="8"/>
              <w:spacing w:after="0"/>
              <w:rPr>
                <w:sz w:val="20"/>
                <w:szCs w:val="20"/>
                <w:color w:val="auto"/>
              </w:rPr>
            </w:pPr>
            <w:r>
              <w:rPr>
                <w:rFonts w:ascii="Arial" w:cs="Arial" w:eastAsia="Arial" w:hAnsi="Arial"/>
                <w:sz w:val="14"/>
                <w:szCs w:val="14"/>
                <w:color w:val="auto"/>
              </w:rPr>
              <w:t>7,988,380</w:t>
            </w:r>
          </w:p>
        </w:tc>
        <w:tc>
          <w:tcPr>
            <w:tcW w:w="0" w:type="dxa"/>
            <w:vAlign w:val="bottom"/>
          </w:tcPr>
          <w:p>
            <w:pPr>
              <w:spacing w:after="0"/>
              <w:rPr>
                <w:sz w:val="1"/>
                <w:szCs w:val="1"/>
                <w:color w:val="auto"/>
              </w:rPr>
            </w:pPr>
          </w:p>
        </w:tc>
      </w:tr>
      <w:tr>
        <w:trPr>
          <w:trHeight w:val="108"/>
        </w:trPr>
        <w:tc>
          <w:tcPr>
            <w:tcW w:w="3340" w:type="dxa"/>
            <w:vAlign w:val="bottom"/>
            <w:tcBorders>
              <w:left w:val="single" w:sz="8" w:color="7F7F7F"/>
            </w:tcBorders>
            <w:vMerge w:val="restart"/>
          </w:tcPr>
          <w:p>
            <w:pPr>
              <w:ind w:left="160"/>
              <w:spacing w:after="0" w:line="153" w:lineRule="exact"/>
              <w:rPr>
                <w:sz w:val="20"/>
                <w:szCs w:val="20"/>
                <w:color w:val="auto"/>
              </w:rPr>
            </w:pPr>
            <w:r>
              <w:rPr>
                <w:rFonts w:ascii="Arial" w:cs="Arial" w:eastAsia="Arial" w:hAnsi="Arial"/>
                <w:sz w:val="14"/>
                <w:szCs w:val="14"/>
                <w:color w:val="auto"/>
              </w:rPr>
              <w:t>Executive Vice President,</w:t>
            </w:r>
          </w:p>
        </w:tc>
        <w:tc>
          <w:tcPr>
            <w:tcW w:w="580" w:type="dxa"/>
            <w:vAlign w:val="bottom"/>
            <w:shd w:val="clear" w:color="auto" w:fill="D8D8D8"/>
          </w:tcPr>
          <w:p>
            <w:pPr>
              <w:spacing w:after="0"/>
              <w:rPr>
                <w:sz w:val="9"/>
                <w:szCs w:val="9"/>
                <w:color w:val="auto"/>
              </w:rPr>
            </w:pPr>
          </w:p>
        </w:tc>
        <w:tc>
          <w:tcPr>
            <w:tcW w:w="180" w:type="dxa"/>
            <w:vAlign w:val="bottom"/>
            <w:shd w:val="clear" w:color="auto" w:fill="D8D8D8"/>
          </w:tcPr>
          <w:p>
            <w:pPr>
              <w:spacing w:after="0"/>
              <w:rPr>
                <w:sz w:val="9"/>
                <w:szCs w:val="9"/>
                <w:color w:val="auto"/>
              </w:rPr>
            </w:pPr>
          </w:p>
        </w:tc>
        <w:tc>
          <w:tcPr>
            <w:tcW w:w="740" w:type="dxa"/>
            <w:vAlign w:val="bottom"/>
            <w:shd w:val="clear" w:color="auto" w:fill="D8D8D8"/>
          </w:tcPr>
          <w:p>
            <w:pPr>
              <w:spacing w:after="0"/>
              <w:rPr>
                <w:sz w:val="9"/>
                <w:szCs w:val="9"/>
                <w:color w:val="auto"/>
              </w:rPr>
            </w:pPr>
          </w:p>
        </w:tc>
        <w:tc>
          <w:tcPr>
            <w:tcW w:w="160" w:type="dxa"/>
            <w:vAlign w:val="bottom"/>
            <w:shd w:val="clear" w:color="auto" w:fill="D8D8D8"/>
          </w:tcPr>
          <w:p>
            <w:pPr>
              <w:spacing w:after="0"/>
              <w:rPr>
                <w:sz w:val="9"/>
                <w:szCs w:val="9"/>
                <w:color w:val="auto"/>
              </w:rPr>
            </w:pPr>
          </w:p>
        </w:tc>
        <w:tc>
          <w:tcPr>
            <w:tcW w:w="820" w:type="dxa"/>
            <w:vAlign w:val="bottom"/>
            <w:shd w:val="clear" w:color="auto" w:fill="D8D8D8"/>
          </w:tcPr>
          <w:p>
            <w:pPr>
              <w:spacing w:after="0"/>
              <w:rPr>
                <w:sz w:val="9"/>
                <w:szCs w:val="9"/>
                <w:color w:val="auto"/>
              </w:rPr>
            </w:pPr>
          </w:p>
        </w:tc>
        <w:tc>
          <w:tcPr>
            <w:tcW w:w="180" w:type="dxa"/>
            <w:vAlign w:val="bottom"/>
            <w:shd w:val="clear" w:color="auto" w:fill="D8D8D8"/>
          </w:tcPr>
          <w:p>
            <w:pPr>
              <w:spacing w:after="0"/>
              <w:rPr>
                <w:sz w:val="9"/>
                <w:szCs w:val="9"/>
                <w:color w:val="auto"/>
              </w:rPr>
            </w:pPr>
          </w:p>
        </w:tc>
        <w:tc>
          <w:tcPr>
            <w:tcW w:w="720" w:type="dxa"/>
            <w:vAlign w:val="bottom"/>
            <w:shd w:val="clear" w:color="auto" w:fill="D8D8D8"/>
          </w:tcPr>
          <w:p>
            <w:pPr>
              <w:spacing w:after="0"/>
              <w:rPr>
                <w:sz w:val="9"/>
                <w:szCs w:val="9"/>
                <w:color w:val="auto"/>
              </w:rPr>
            </w:pPr>
          </w:p>
        </w:tc>
        <w:tc>
          <w:tcPr>
            <w:tcW w:w="380" w:type="dxa"/>
            <w:vAlign w:val="bottom"/>
            <w:shd w:val="clear" w:color="auto" w:fill="D8D8D8"/>
          </w:tcPr>
          <w:p>
            <w:pPr>
              <w:spacing w:after="0"/>
              <w:rPr>
                <w:sz w:val="9"/>
                <w:szCs w:val="9"/>
                <w:color w:val="auto"/>
              </w:rPr>
            </w:pPr>
          </w:p>
        </w:tc>
        <w:tc>
          <w:tcPr>
            <w:tcW w:w="720" w:type="dxa"/>
            <w:vAlign w:val="bottom"/>
            <w:shd w:val="clear" w:color="auto" w:fill="D8D8D8"/>
          </w:tcPr>
          <w:p>
            <w:pPr>
              <w:spacing w:after="0"/>
              <w:rPr>
                <w:sz w:val="9"/>
                <w:szCs w:val="9"/>
                <w:color w:val="auto"/>
              </w:rPr>
            </w:pPr>
          </w:p>
        </w:tc>
        <w:tc>
          <w:tcPr>
            <w:tcW w:w="280" w:type="dxa"/>
            <w:vAlign w:val="bottom"/>
            <w:shd w:val="clear" w:color="auto" w:fill="D8D8D8"/>
          </w:tcPr>
          <w:p>
            <w:pPr>
              <w:spacing w:after="0"/>
              <w:rPr>
                <w:sz w:val="9"/>
                <w:szCs w:val="9"/>
                <w:color w:val="auto"/>
              </w:rPr>
            </w:pPr>
          </w:p>
        </w:tc>
        <w:tc>
          <w:tcPr>
            <w:tcW w:w="820" w:type="dxa"/>
            <w:vAlign w:val="bottom"/>
            <w:shd w:val="clear" w:color="auto" w:fill="D8D8D8"/>
          </w:tcPr>
          <w:p>
            <w:pPr>
              <w:spacing w:after="0"/>
              <w:rPr>
                <w:sz w:val="9"/>
                <w:szCs w:val="9"/>
                <w:color w:val="auto"/>
              </w:rPr>
            </w:pPr>
          </w:p>
        </w:tc>
        <w:tc>
          <w:tcPr>
            <w:tcW w:w="360" w:type="dxa"/>
            <w:vAlign w:val="bottom"/>
            <w:shd w:val="clear" w:color="auto" w:fill="D8D8D8"/>
          </w:tcPr>
          <w:p>
            <w:pPr>
              <w:spacing w:after="0"/>
              <w:rPr>
                <w:sz w:val="9"/>
                <w:szCs w:val="9"/>
                <w:color w:val="auto"/>
              </w:rPr>
            </w:pPr>
          </w:p>
        </w:tc>
        <w:tc>
          <w:tcPr>
            <w:tcW w:w="760" w:type="dxa"/>
            <w:vAlign w:val="bottom"/>
            <w:shd w:val="clear" w:color="auto" w:fill="D8D8D8"/>
          </w:tcPr>
          <w:p>
            <w:pPr>
              <w:spacing w:after="0"/>
              <w:rPr>
                <w:sz w:val="9"/>
                <w:szCs w:val="9"/>
                <w:color w:val="auto"/>
              </w:rPr>
            </w:pPr>
          </w:p>
        </w:tc>
        <w:tc>
          <w:tcPr>
            <w:tcW w:w="180" w:type="dxa"/>
            <w:vAlign w:val="bottom"/>
            <w:shd w:val="clear" w:color="auto" w:fill="D8D8D8"/>
          </w:tcPr>
          <w:p>
            <w:pPr>
              <w:spacing w:after="0"/>
              <w:rPr>
                <w:sz w:val="9"/>
                <w:szCs w:val="9"/>
                <w:color w:val="auto"/>
              </w:rPr>
            </w:pPr>
          </w:p>
        </w:tc>
        <w:tc>
          <w:tcPr>
            <w:tcW w:w="820" w:type="dxa"/>
            <w:vAlign w:val="bottom"/>
            <w:tcBorders>
              <w:right w:val="single" w:sz="8" w:color="7F7F7F"/>
            </w:tcBorders>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3340" w:type="dxa"/>
            <w:vAlign w:val="bottom"/>
            <w:tcBorders>
              <w:left w:val="single" w:sz="8" w:color="7F7F7F"/>
            </w:tcBorders>
            <w:vMerge w:val="continue"/>
          </w:tcPr>
          <w:p>
            <w:pPr>
              <w:spacing w:after="0"/>
              <w:rPr>
                <w:sz w:val="3"/>
                <w:szCs w:val="3"/>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2020</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935,417</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2,904,706</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$ 1,001,000</w:t>
            </w:r>
          </w:p>
        </w:tc>
        <w:tc>
          <w:tcPr>
            <w:tcW w:w="380" w:type="dxa"/>
            <w:vAlign w:val="bottom"/>
          </w:tcPr>
          <w:p>
            <w:pPr>
              <w:spacing w:after="0"/>
              <w:rPr>
                <w:sz w:val="3"/>
                <w:szCs w:val="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4,767,497</w:t>
            </w:r>
          </w:p>
        </w:tc>
        <w:tc>
          <w:tcPr>
            <w:tcW w:w="36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171"/>
              <w:spacing w:after="0"/>
              <w:rPr>
                <w:sz w:val="20"/>
                <w:szCs w:val="20"/>
                <w:color w:val="auto"/>
              </w:rPr>
            </w:pPr>
            <w:r>
              <w:rPr>
                <w:rFonts w:ascii="Arial" w:cs="Arial" w:eastAsia="Arial" w:hAnsi="Arial"/>
                <w:sz w:val="14"/>
                <w:szCs w:val="14"/>
                <w:color w:val="auto"/>
              </w:rPr>
              <w:t>96,354</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7F7F7F"/>
            </w:tcBorders>
            <w:vMerge w:val="restart"/>
          </w:tcPr>
          <w:p>
            <w:pPr>
              <w:jc w:val="right"/>
              <w:ind w:right="8"/>
              <w:spacing w:after="0"/>
              <w:rPr>
                <w:sz w:val="20"/>
                <w:szCs w:val="20"/>
                <w:color w:val="auto"/>
              </w:rPr>
            </w:pPr>
            <w:r>
              <w:rPr>
                <w:rFonts w:ascii="Arial" w:cs="Arial" w:eastAsia="Arial" w:hAnsi="Arial"/>
                <w:sz w:val="14"/>
                <w:szCs w:val="14"/>
                <w:color w:val="auto"/>
              </w:rPr>
              <w:t>9,704,974</w:t>
            </w:r>
          </w:p>
        </w:tc>
        <w:tc>
          <w:tcPr>
            <w:tcW w:w="0" w:type="dxa"/>
            <w:vAlign w:val="bottom"/>
          </w:tcPr>
          <w:p>
            <w:pPr>
              <w:spacing w:after="0"/>
              <w:rPr>
                <w:sz w:val="1"/>
                <w:szCs w:val="1"/>
                <w:color w:val="auto"/>
              </w:rPr>
            </w:pPr>
          </w:p>
        </w:tc>
      </w:tr>
      <w:tr>
        <w:trPr>
          <w:trHeight w:val="144"/>
        </w:trPr>
        <w:tc>
          <w:tcPr>
            <w:tcW w:w="3340" w:type="dxa"/>
            <w:vAlign w:val="bottom"/>
            <w:tcBorders>
              <w:left w:val="single" w:sz="8" w:color="7F7F7F"/>
            </w:tcBorders>
            <w:vMerge w:val="restart"/>
          </w:tcPr>
          <w:p>
            <w:pPr>
              <w:ind w:left="160"/>
              <w:spacing w:after="0"/>
              <w:rPr>
                <w:sz w:val="20"/>
                <w:szCs w:val="20"/>
                <w:color w:val="auto"/>
              </w:rPr>
            </w:pPr>
            <w:r>
              <w:rPr>
                <w:rFonts w:ascii="Arial" w:cs="Arial" w:eastAsia="Arial" w:hAnsi="Arial"/>
                <w:sz w:val="14"/>
                <w:szCs w:val="14"/>
                <w:color w:val="auto"/>
              </w:rPr>
              <w:t>Downstream &amp; Chemicals</w:t>
            </w:r>
          </w:p>
        </w:tc>
        <w:tc>
          <w:tcPr>
            <w:tcW w:w="5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820" w:type="dxa"/>
            <w:vAlign w:val="bottom"/>
            <w:tcBorders>
              <w:right w:val="single" w:sz="8" w:color="7F7F7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340" w:type="dxa"/>
            <w:vAlign w:val="bottom"/>
            <w:tcBorders>
              <w:left w:val="single" w:sz="8" w:color="7F7F7F"/>
            </w:tcBorders>
            <w:vMerge w:val="continue"/>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Borders>
              <w:right w:val="single" w:sz="8" w:color="7F7F7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340" w:type="dxa"/>
            <w:vAlign w:val="bottom"/>
            <w:tcBorders>
              <w:left w:val="single" w:sz="8" w:color="7F7F7F"/>
              <w:bottom w:val="single" w:sz="8" w:color="7F7F7F"/>
            </w:tcBorders>
          </w:tcPr>
          <w:p>
            <w:pPr>
              <w:spacing w:after="0"/>
              <w:rPr>
                <w:sz w:val="14"/>
                <w:szCs w:val="14"/>
                <w:color w:val="auto"/>
              </w:rPr>
            </w:pPr>
          </w:p>
        </w:tc>
        <w:tc>
          <w:tcPr>
            <w:tcW w:w="580" w:type="dxa"/>
            <w:vAlign w:val="bottom"/>
            <w:tcBorders>
              <w:bottom w:val="single" w:sz="8" w:color="7F7F7F"/>
            </w:tcBorders>
            <w:shd w:val="clear" w:color="auto" w:fill="D8D8D8"/>
          </w:tcPr>
          <w:p>
            <w:pPr>
              <w:jc w:val="right"/>
              <w:ind w:right="8"/>
              <w:spacing w:after="0"/>
              <w:rPr>
                <w:sz w:val="20"/>
                <w:szCs w:val="20"/>
                <w:color w:val="auto"/>
              </w:rPr>
            </w:pPr>
            <w:r>
              <w:rPr>
                <w:rFonts w:ascii="Arial" w:cs="Arial" w:eastAsia="Arial" w:hAnsi="Arial"/>
                <w:sz w:val="14"/>
                <w:szCs w:val="14"/>
                <w:color w:val="auto"/>
              </w:rPr>
              <w:t>2019</w:t>
            </w:r>
          </w:p>
        </w:tc>
        <w:tc>
          <w:tcPr>
            <w:tcW w:w="18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7F7F7F"/>
            </w:tcBorders>
            <w:shd w:val="clear" w:color="auto" w:fill="D8D8D8"/>
          </w:tcPr>
          <w:p>
            <w:pPr>
              <w:jc w:val="right"/>
              <w:ind w:right="8"/>
              <w:spacing w:after="0"/>
              <w:rPr>
                <w:sz w:val="20"/>
                <w:szCs w:val="20"/>
                <w:color w:val="auto"/>
              </w:rPr>
            </w:pPr>
            <w:r>
              <w:rPr>
                <w:rFonts w:ascii="Arial" w:cs="Arial" w:eastAsia="Arial" w:hAnsi="Arial"/>
                <w:sz w:val="14"/>
                <w:szCs w:val="14"/>
                <w:color w:val="auto"/>
              </w:rPr>
              <w:t>847,292</w:t>
            </w:r>
          </w:p>
        </w:tc>
        <w:tc>
          <w:tcPr>
            <w:tcW w:w="16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7F7F7F"/>
            </w:tcBorders>
            <w:shd w:val="clear" w:color="auto" w:fill="D8D8D8"/>
          </w:tcPr>
          <w:p>
            <w:pPr>
              <w:jc w:val="right"/>
              <w:ind w:right="8"/>
              <w:spacing w:after="0"/>
              <w:rPr>
                <w:sz w:val="20"/>
                <w:szCs w:val="20"/>
                <w:color w:val="auto"/>
              </w:rPr>
            </w:pPr>
            <w:r>
              <w:rPr>
                <w:rFonts w:ascii="Arial" w:cs="Arial" w:eastAsia="Arial" w:hAnsi="Arial"/>
                <w:sz w:val="14"/>
                <w:szCs w:val="14"/>
                <w:color w:val="auto"/>
              </w:rPr>
              <w:t>3,081,375</w:t>
            </w:r>
          </w:p>
        </w:tc>
        <w:tc>
          <w:tcPr>
            <w:tcW w:w="18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4"/>
                <w:szCs w:val="14"/>
                <w:color w:val="auto"/>
              </w:rPr>
              <w:t>990,958</w:t>
            </w:r>
          </w:p>
        </w:tc>
        <w:tc>
          <w:tcPr>
            <w:tcW w:w="38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4"/>
                <w:szCs w:val="14"/>
                <w:color w:val="auto"/>
              </w:rPr>
              <w:t>940,500</w:t>
            </w:r>
          </w:p>
        </w:tc>
        <w:tc>
          <w:tcPr>
            <w:tcW w:w="280" w:type="dxa"/>
            <w:vAlign w:val="bottom"/>
            <w:tcBorders>
              <w:bottom w:val="single" w:sz="8" w:color="7F7F7F"/>
            </w:tcBorders>
            <w:shd w:val="clear" w:color="auto" w:fill="D8D8D8"/>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4"/>
                <w:szCs w:val="14"/>
                <w:color w:val="auto"/>
              </w:rPr>
              <w:t>3,843,391</w:t>
            </w:r>
          </w:p>
        </w:tc>
        <w:tc>
          <w:tcPr>
            <w:tcW w:w="1120" w:type="dxa"/>
            <w:vAlign w:val="bottom"/>
            <w:tcBorders>
              <w:bottom w:val="single" w:sz="8" w:color="7F7F7F"/>
            </w:tcBorders>
            <w:gridSpan w:val="2"/>
            <w:shd w:val="clear" w:color="auto" w:fill="D8D8D8"/>
          </w:tcPr>
          <w:p>
            <w:pPr>
              <w:jc w:val="right"/>
              <w:ind w:right="171"/>
              <w:spacing w:after="0"/>
              <w:rPr>
                <w:sz w:val="20"/>
                <w:szCs w:val="20"/>
                <w:color w:val="auto"/>
              </w:rPr>
            </w:pPr>
            <w:r>
              <w:rPr>
                <w:rFonts w:ascii="Arial" w:cs="Arial" w:eastAsia="Arial" w:hAnsi="Arial"/>
                <w:sz w:val="14"/>
                <w:szCs w:val="14"/>
                <w:color w:val="auto"/>
              </w:rPr>
              <w:t>$ 118,017</w:t>
            </w:r>
          </w:p>
        </w:tc>
        <w:tc>
          <w:tcPr>
            <w:tcW w:w="18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7F7F7F"/>
              <w:right w:val="single" w:sz="8" w:color="7F7F7F"/>
            </w:tcBorders>
            <w:shd w:val="clear" w:color="auto" w:fill="D8D8D8"/>
          </w:tcPr>
          <w:p>
            <w:pPr>
              <w:jc w:val="right"/>
              <w:ind w:right="8"/>
              <w:spacing w:after="0"/>
              <w:rPr>
                <w:sz w:val="20"/>
                <w:szCs w:val="20"/>
                <w:color w:val="auto"/>
              </w:rPr>
            </w:pPr>
            <w:r>
              <w:rPr>
                <w:rFonts w:ascii="Arial" w:cs="Arial" w:eastAsia="Arial" w:hAnsi="Arial"/>
                <w:sz w:val="14"/>
                <w:szCs w:val="14"/>
                <w:color w:val="auto"/>
              </w:rPr>
              <w:t>9,821,533</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660" w:right="20" w:hanging="436"/>
        <w:spacing w:after="0" w:line="281" w:lineRule="auto"/>
        <w:tabs>
          <w:tab w:leader="none" w:pos="660" w:val="left"/>
        </w:tabs>
        <w:numPr>
          <w:ilvl w:val="0"/>
          <w:numId w:val="93"/>
        </w:numPr>
        <w:rPr>
          <w:rFonts w:ascii="Arial" w:cs="Arial" w:eastAsia="Arial" w:hAnsi="Arial"/>
          <w:sz w:val="13"/>
          <w:szCs w:val="13"/>
          <w:color w:val="auto"/>
        </w:rPr>
      </w:pPr>
      <w:r>
        <w:rPr>
          <w:rFonts w:ascii="Arial" w:cs="Arial" w:eastAsia="Arial" w:hAnsi="Arial"/>
          <w:sz w:val="13"/>
          <w:szCs w:val="13"/>
          <w:color w:val="auto"/>
        </w:rPr>
        <w:t>Reflects actual salary earned during the fiscal year covered. The following table reflects the annual salary rate and effective date for the years in which each person was an NEO and the amounts deferred under the Deferred Compensation Plan (“DCP”).</w:t>
      </w:r>
    </w:p>
    <w:p>
      <w:pPr>
        <w:spacing w:after="0" w:line="108" w:lineRule="exact"/>
        <w:rPr>
          <w:sz w:val="20"/>
          <w:szCs w:val="20"/>
          <w:color w:val="auto"/>
        </w:rPr>
      </w:pPr>
    </w:p>
    <w:tbl>
      <w:tblPr>
        <w:tblLayout w:type="fixed"/>
        <w:tblInd w:w="570" w:type="dxa"/>
        <w:tblCellMar>
          <w:top w:w="0" w:type="dxa"/>
          <w:left w:w="0" w:type="dxa"/>
          <w:bottom w:w="0" w:type="dxa"/>
          <w:right w:w="0" w:type="dxa"/>
        </w:tblCellMar>
      </w:tblPr>
      <w:tr>
        <w:trPr>
          <w:trHeight w:val="68"/>
        </w:trPr>
        <w:tc>
          <w:tcPr>
            <w:tcW w:w="4200" w:type="dxa"/>
            <w:vAlign w:val="bottom"/>
            <w:tcBorders>
              <w:left w:val="single" w:sz="8" w:color="7F7F7F"/>
            </w:tcBorders>
            <w:shd w:val="clear" w:color="auto" w:fill="0066B2"/>
          </w:tcPr>
          <w:p>
            <w:pPr>
              <w:spacing w:after="0"/>
              <w:rPr>
                <w:sz w:val="5"/>
                <w:szCs w:val="5"/>
                <w:color w:val="auto"/>
              </w:rPr>
            </w:pPr>
          </w:p>
        </w:tc>
        <w:tc>
          <w:tcPr>
            <w:tcW w:w="2720" w:type="dxa"/>
            <w:vAlign w:val="bottom"/>
            <w:shd w:val="clear" w:color="auto" w:fill="0B2D71"/>
          </w:tcPr>
          <w:p>
            <w:pPr>
              <w:spacing w:after="0"/>
              <w:rPr>
                <w:sz w:val="5"/>
                <w:szCs w:val="5"/>
                <w:color w:val="auto"/>
              </w:rPr>
            </w:pPr>
          </w:p>
        </w:tc>
        <w:tc>
          <w:tcPr>
            <w:tcW w:w="600" w:type="dxa"/>
            <w:vAlign w:val="bottom"/>
            <w:shd w:val="clear" w:color="auto" w:fill="0B2D71"/>
          </w:tcPr>
          <w:p>
            <w:pPr>
              <w:spacing w:after="0"/>
              <w:rPr>
                <w:sz w:val="5"/>
                <w:szCs w:val="5"/>
                <w:color w:val="auto"/>
              </w:rPr>
            </w:pPr>
          </w:p>
        </w:tc>
        <w:tc>
          <w:tcPr>
            <w:tcW w:w="1200" w:type="dxa"/>
            <w:vAlign w:val="bottom"/>
            <w:shd w:val="clear" w:color="auto" w:fill="0B2D71"/>
          </w:tcPr>
          <w:p>
            <w:pPr>
              <w:spacing w:after="0"/>
              <w:rPr>
                <w:sz w:val="5"/>
                <w:szCs w:val="5"/>
                <w:color w:val="auto"/>
              </w:rPr>
            </w:pPr>
          </w:p>
        </w:tc>
        <w:tc>
          <w:tcPr>
            <w:tcW w:w="1120" w:type="dxa"/>
            <w:vAlign w:val="bottom"/>
            <w:shd w:val="clear" w:color="auto" w:fill="0B2D71"/>
          </w:tcPr>
          <w:p>
            <w:pPr>
              <w:spacing w:after="0"/>
              <w:rPr>
                <w:sz w:val="5"/>
                <w:szCs w:val="5"/>
                <w:color w:val="auto"/>
              </w:rPr>
            </w:pPr>
          </w:p>
        </w:tc>
        <w:tc>
          <w:tcPr>
            <w:tcW w:w="760" w:type="dxa"/>
            <w:vAlign w:val="bottom"/>
            <w:tcBorders>
              <w:right w:val="single" w:sz="8" w:color="7F7F7F"/>
            </w:tcBorders>
            <w:shd w:val="clear" w:color="auto" w:fill="0B2D71"/>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200" w:type="dxa"/>
            <w:vAlign w:val="bottom"/>
            <w:tcBorders>
              <w:left w:val="single" w:sz="8" w:color="7F7F7F"/>
            </w:tcBorders>
            <w:vMerge w:val="restart"/>
            <w:shd w:val="clear" w:color="auto" w:fill="0066B2"/>
          </w:tcPr>
          <w:p>
            <w:pPr>
              <w:ind w:left="160"/>
              <w:spacing w:after="0"/>
              <w:rPr>
                <w:sz w:val="20"/>
                <w:szCs w:val="20"/>
                <w:color w:val="auto"/>
              </w:rPr>
            </w:pPr>
            <w:r>
              <w:rPr>
                <w:rFonts w:ascii="Arial" w:cs="Arial" w:eastAsia="Arial" w:hAnsi="Arial"/>
                <w:sz w:val="14"/>
                <w:szCs w:val="14"/>
                <w:b w:val="1"/>
                <w:bCs w:val="1"/>
                <w:color w:val="FFFFFF"/>
              </w:rPr>
              <w:t>Name</w:t>
            </w:r>
          </w:p>
        </w:tc>
        <w:tc>
          <w:tcPr>
            <w:tcW w:w="2720" w:type="dxa"/>
            <w:vAlign w:val="bottom"/>
            <w:shd w:val="clear" w:color="auto" w:fill="0066B2"/>
          </w:tcPr>
          <w:p>
            <w:pPr>
              <w:spacing w:after="0"/>
              <w:rPr>
                <w:sz w:val="16"/>
                <w:szCs w:val="16"/>
                <w:color w:val="auto"/>
              </w:rPr>
            </w:pPr>
          </w:p>
        </w:tc>
        <w:tc>
          <w:tcPr>
            <w:tcW w:w="600" w:type="dxa"/>
            <w:vAlign w:val="bottom"/>
            <w:shd w:val="clear" w:color="auto" w:fill="0066B2"/>
          </w:tcPr>
          <w:p>
            <w:pPr>
              <w:spacing w:after="0"/>
              <w:rPr>
                <w:sz w:val="16"/>
                <w:szCs w:val="16"/>
                <w:color w:val="auto"/>
              </w:rPr>
            </w:pPr>
          </w:p>
        </w:tc>
        <w:tc>
          <w:tcPr>
            <w:tcW w:w="1200" w:type="dxa"/>
            <w:vAlign w:val="bottom"/>
            <w:shd w:val="clear" w:color="auto" w:fill="0066B2"/>
          </w:tcPr>
          <w:p>
            <w:pPr>
              <w:spacing w:after="0"/>
              <w:rPr>
                <w:sz w:val="16"/>
                <w:szCs w:val="16"/>
                <w:color w:val="auto"/>
              </w:rPr>
            </w:pPr>
          </w:p>
        </w:tc>
        <w:tc>
          <w:tcPr>
            <w:tcW w:w="1880" w:type="dxa"/>
            <w:vAlign w:val="bottom"/>
            <w:tcBorders>
              <w:right w:val="single" w:sz="8" w:color="7F7F7F"/>
            </w:tcBorders>
            <w:gridSpan w:val="2"/>
            <w:shd w:val="clear" w:color="auto" w:fill="0066B2"/>
          </w:tcPr>
          <w:p>
            <w:pPr>
              <w:jc w:val="right"/>
              <w:spacing w:after="0"/>
              <w:rPr>
                <w:sz w:val="20"/>
                <w:szCs w:val="20"/>
                <w:color w:val="auto"/>
              </w:rPr>
            </w:pPr>
            <w:r>
              <w:rPr>
                <w:rFonts w:ascii="Arial" w:cs="Arial" w:eastAsia="Arial" w:hAnsi="Arial"/>
                <w:sz w:val="14"/>
                <w:szCs w:val="14"/>
                <w:b w:val="1"/>
                <w:bCs w:val="1"/>
                <w:color w:val="FFFFFF"/>
              </w:rPr>
              <w:t>Total salary deferred</w:t>
            </w:r>
          </w:p>
        </w:tc>
        <w:tc>
          <w:tcPr>
            <w:tcW w:w="0" w:type="dxa"/>
            <w:vAlign w:val="bottom"/>
          </w:tcPr>
          <w:p>
            <w:pPr>
              <w:spacing w:after="0"/>
              <w:rPr>
                <w:sz w:val="1"/>
                <w:szCs w:val="1"/>
                <w:color w:val="auto"/>
              </w:rPr>
            </w:pPr>
          </w:p>
        </w:tc>
      </w:tr>
      <w:tr>
        <w:trPr>
          <w:trHeight w:val="198"/>
        </w:trPr>
        <w:tc>
          <w:tcPr>
            <w:tcW w:w="4200" w:type="dxa"/>
            <w:vAlign w:val="bottom"/>
            <w:tcBorders>
              <w:left w:val="single" w:sz="8" w:color="7F7F7F"/>
            </w:tcBorders>
            <w:vMerge w:val="continue"/>
            <w:shd w:val="clear" w:color="auto" w:fill="0066B2"/>
          </w:tcPr>
          <w:p>
            <w:pPr>
              <w:spacing w:after="0"/>
              <w:rPr>
                <w:sz w:val="17"/>
                <w:szCs w:val="17"/>
                <w:color w:val="auto"/>
              </w:rPr>
            </w:pPr>
          </w:p>
        </w:tc>
        <w:tc>
          <w:tcPr>
            <w:tcW w:w="2720" w:type="dxa"/>
            <w:vAlign w:val="bottom"/>
            <w:shd w:val="clear" w:color="auto" w:fill="0066B2"/>
          </w:tcPr>
          <w:p>
            <w:pPr>
              <w:jc w:val="center"/>
              <w:ind w:left="348"/>
              <w:spacing w:after="0"/>
              <w:rPr>
                <w:sz w:val="20"/>
                <w:szCs w:val="20"/>
                <w:color w:val="auto"/>
              </w:rPr>
            </w:pPr>
            <w:r>
              <w:rPr>
                <w:rFonts w:ascii="Arial" w:cs="Arial" w:eastAsia="Arial" w:hAnsi="Arial"/>
                <w:sz w:val="14"/>
                <w:szCs w:val="14"/>
                <w:b w:val="1"/>
                <w:bCs w:val="1"/>
                <w:color w:val="FFFFFF"/>
              </w:rPr>
              <w:t>Salary effective date</w:t>
            </w:r>
          </w:p>
        </w:tc>
        <w:tc>
          <w:tcPr>
            <w:tcW w:w="600" w:type="dxa"/>
            <w:vAlign w:val="bottom"/>
            <w:shd w:val="clear" w:color="auto" w:fill="0066B2"/>
          </w:tcPr>
          <w:p>
            <w:pPr>
              <w:spacing w:after="0"/>
              <w:rPr>
                <w:sz w:val="17"/>
                <w:szCs w:val="17"/>
                <w:color w:val="auto"/>
              </w:rPr>
            </w:pPr>
          </w:p>
        </w:tc>
        <w:tc>
          <w:tcPr>
            <w:tcW w:w="1200" w:type="dxa"/>
            <w:vAlign w:val="bottom"/>
            <w:shd w:val="clear" w:color="auto" w:fill="0066B2"/>
          </w:tcPr>
          <w:p>
            <w:pPr>
              <w:jc w:val="right"/>
              <w:ind w:right="628"/>
              <w:spacing w:after="0"/>
              <w:rPr>
                <w:sz w:val="20"/>
                <w:szCs w:val="20"/>
                <w:color w:val="auto"/>
              </w:rPr>
            </w:pPr>
            <w:r>
              <w:rPr>
                <w:rFonts w:ascii="Arial" w:cs="Arial" w:eastAsia="Arial" w:hAnsi="Arial"/>
                <w:sz w:val="14"/>
                <w:szCs w:val="14"/>
                <w:b w:val="1"/>
                <w:bCs w:val="1"/>
                <w:color w:val="FFFFFF"/>
              </w:rPr>
              <w:t>Salary</w:t>
            </w:r>
          </w:p>
        </w:tc>
        <w:tc>
          <w:tcPr>
            <w:tcW w:w="1880" w:type="dxa"/>
            <w:vAlign w:val="bottom"/>
            <w:tcBorders>
              <w:right w:val="single" w:sz="8" w:color="7F7F7F"/>
            </w:tcBorders>
            <w:gridSpan w:val="2"/>
            <w:shd w:val="clear" w:color="auto" w:fill="0066B2"/>
          </w:tcPr>
          <w:p>
            <w:pPr>
              <w:jc w:val="right"/>
              <w:ind w:right="168"/>
              <w:spacing w:after="0"/>
              <w:rPr>
                <w:sz w:val="20"/>
                <w:szCs w:val="20"/>
                <w:color w:val="auto"/>
              </w:rPr>
            </w:pPr>
            <w:r>
              <w:rPr>
                <w:rFonts w:ascii="Arial" w:cs="Arial" w:eastAsia="Arial" w:hAnsi="Arial"/>
                <w:sz w:val="14"/>
                <w:szCs w:val="14"/>
                <w:b w:val="1"/>
                <w:bCs w:val="1"/>
                <w:color w:val="FFFFFF"/>
              </w:rPr>
              <w:t>under the DCP</w:t>
            </w:r>
          </w:p>
        </w:tc>
        <w:tc>
          <w:tcPr>
            <w:tcW w:w="0" w:type="dxa"/>
            <w:vAlign w:val="bottom"/>
          </w:tcPr>
          <w:p>
            <w:pPr>
              <w:spacing w:after="0"/>
              <w:rPr>
                <w:sz w:val="1"/>
                <w:szCs w:val="1"/>
                <w:color w:val="auto"/>
              </w:rPr>
            </w:pPr>
          </w:p>
        </w:tc>
      </w:tr>
      <w:tr>
        <w:trPr>
          <w:trHeight w:val="203"/>
        </w:trPr>
        <w:tc>
          <w:tcPr>
            <w:tcW w:w="4200" w:type="dxa"/>
            <w:vAlign w:val="bottom"/>
            <w:tcBorders>
              <w:left w:val="single" w:sz="8" w:color="7F7F7F"/>
            </w:tcBorders>
          </w:tcPr>
          <w:p>
            <w:pPr>
              <w:ind w:left="160"/>
              <w:spacing w:after="0"/>
              <w:rPr>
                <w:sz w:val="20"/>
                <w:szCs w:val="20"/>
                <w:color w:val="auto"/>
              </w:rPr>
            </w:pPr>
            <w:r>
              <w:rPr>
                <w:rFonts w:ascii="Arial" w:cs="Arial" w:eastAsia="Arial" w:hAnsi="Arial"/>
                <w:sz w:val="14"/>
                <w:szCs w:val="14"/>
                <w:color w:val="auto"/>
              </w:rPr>
              <w:t>M.K. Wirth</w:t>
            </w:r>
          </w:p>
        </w:tc>
        <w:tc>
          <w:tcPr>
            <w:tcW w:w="2720" w:type="dxa"/>
            <w:vAlign w:val="bottom"/>
            <w:shd w:val="clear" w:color="auto" w:fill="D8D8D8"/>
          </w:tcPr>
          <w:p>
            <w:pPr>
              <w:jc w:val="center"/>
              <w:ind w:left="328"/>
              <w:spacing w:after="0"/>
              <w:rPr>
                <w:sz w:val="20"/>
                <w:szCs w:val="20"/>
                <w:color w:val="auto"/>
              </w:rPr>
            </w:pPr>
            <w:r>
              <w:rPr>
                <w:rFonts w:ascii="Arial" w:cs="Arial" w:eastAsia="Arial" w:hAnsi="Arial"/>
                <w:sz w:val="14"/>
                <w:szCs w:val="14"/>
                <w:color w:val="auto"/>
              </w:rPr>
              <w:t>March 2021</w:t>
            </w: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D8D8D8"/>
          </w:tcPr>
          <w:p>
            <w:pPr>
              <w:jc w:val="right"/>
              <w:ind w:right="388"/>
              <w:spacing w:after="0"/>
              <w:rPr>
                <w:sz w:val="20"/>
                <w:szCs w:val="20"/>
                <w:color w:val="auto"/>
              </w:rPr>
            </w:pPr>
            <w:r>
              <w:rPr>
                <w:rFonts w:ascii="Arial" w:cs="Arial" w:eastAsia="Arial" w:hAnsi="Arial"/>
                <w:sz w:val="14"/>
                <w:szCs w:val="14"/>
                <w:color w:val="auto"/>
              </w:rPr>
              <w:t>1,650,000</w:t>
            </w:r>
          </w:p>
        </w:tc>
        <w:tc>
          <w:tcPr>
            <w:tcW w:w="112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7F7F7F"/>
            </w:tcBorders>
            <w:shd w:val="clear" w:color="auto" w:fill="D8D8D8"/>
          </w:tcPr>
          <w:p>
            <w:pPr>
              <w:jc w:val="right"/>
              <w:ind w:right="168"/>
              <w:spacing w:after="0"/>
              <w:rPr>
                <w:sz w:val="20"/>
                <w:szCs w:val="20"/>
                <w:color w:val="auto"/>
              </w:rPr>
            </w:pPr>
            <w:r>
              <w:rPr>
                <w:rFonts w:ascii="Arial" w:cs="Arial" w:eastAsia="Arial" w:hAnsi="Arial"/>
                <w:sz w:val="14"/>
                <w:szCs w:val="14"/>
                <w:color w:val="auto"/>
              </w:rPr>
              <w:t>27,200</w:t>
            </w:r>
          </w:p>
        </w:tc>
        <w:tc>
          <w:tcPr>
            <w:tcW w:w="0" w:type="dxa"/>
            <w:vAlign w:val="bottom"/>
          </w:tcPr>
          <w:p>
            <w:pPr>
              <w:spacing w:after="0"/>
              <w:rPr>
                <w:sz w:val="1"/>
                <w:szCs w:val="1"/>
                <w:color w:val="auto"/>
              </w:rPr>
            </w:pPr>
          </w:p>
        </w:tc>
      </w:tr>
      <w:tr>
        <w:trPr>
          <w:trHeight w:val="198"/>
        </w:trPr>
        <w:tc>
          <w:tcPr>
            <w:tcW w:w="4200" w:type="dxa"/>
            <w:vAlign w:val="bottom"/>
            <w:tcBorders>
              <w:left w:val="single" w:sz="8" w:color="7F7F7F"/>
            </w:tcBorders>
          </w:tcPr>
          <w:p>
            <w:pPr>
              <w:spacing w:after="0"/>
              <w:rPr>
                <w:sz w:val="17"/>
                <w:szCs w:val="17"/>
                <w:color w:val="auto"/>
              </w:rPr>
            </w:pPr>
          </w:p>
        </w:tc>
        <w:tc>
          <w:tcPr>
            <w:tcW w:w="2720" w:type="dxa"/>
            <w:vAlign w:val="bottom"/>
          </w:tcPr>
          <w:p>
            <w:pPr>
              <w:jc w:val="center"/>
              <w:ind w:left="348"/>
              <w:spacing w:after="0"/>
              <w:rPr>
                <w:sz w:val="20"/>
                <w:szCs w:val="20"/>
                <w:color w:val="auto"/>
              </w:rPr>
            </w:pPr>
            <w:r>
              <w:rPr>
                <w:rFonts w:ascii="Arial" w:cs="Arial" w:eastAsia="Arial" w:hAnsi="Arial"/>
                <w:sz w:val="14"/>
                <w:szCs w:val="14"/>
                <w:color w:val="auto"/>
              </w:rPr>
              <w:t>April 2020</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88"/>
              <w:spacing w:after="0"/>
              <w:rPr>
                <w:sz w:val="20"/>
                <w:szCs w:val="20"/>
                <w:color w:val="auto"/>
              </w:rPr>
            </w:pPr>
            <w:r>
              <w:rPr>
                <w:rFonts w:ascii="Arial" w:cs="Arial" w:eastAsia="Arial" w:hAnsi="Arial"/>
                <w:sz w:val="14"/>
                <w:szCs w:val="14"/>
                <w:color w:val="auto"/>
              </w:rPr>
              <w:t>1,650,000</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7F7F7F"/>
            </w:tcBorders>
          </w:tcPr>
          <w:p>
            <w:pPr>
              <w:jc w:val="right"/>
              <w:ind w:right="168"/>
              <w:spacing w:after="0"/>
              <w:rPr>
                <w:sz w:val="20"/>
                <w:szCs w:val="20"/>
                <w:color w:val="auto"/>
              </w:rPr>
            </w:pPr>
            <w:r>
              <w:rPr>
                <w:rFonts w:ascii="Arial" w:cs="Arial" w:eastAsia="Arial" w:hAnsi="Arial"/>
                <w:sz w:val="14"/>
                <w:szCs w:val="14"/>
                <w:color w:val="auto"/>
              </w:rPr>
              <w:t>27,008</w:t>
            </w:r>
          </w:p>
        </w:tc>
        <w:tc>
          <w:tcPr>
            <w:tcW w:w="0" w:type="dxa"/>
            <w:vAlign w:val="bottom"/>
          </w:tcPr>
          <w:p>
            <w:pPr>
              <w:spacing w:after="0"/>
              <w:rPr>
                <w:sz w:val="1"/>
                <w:szCs w:val="1"/>
                <w:color w:val="auto"/>
              </w:rPr>
            </w:pPr>
          </w:p>
        </w:tc>
      </w:tr>
      <w:tr>
        <w:trPr>
          <w:trHeight w:val="203"/>
        </w:trPr>
        <w:tc>
          <w:tcPr>
            <w:tcW w:w="4200" w:type="dxa"/>
            <w:vAlign w:val="bottom"/>
            <w:tcBorders>
              <w:left w:val="single" w:sz="8" w:color="7F7F7F"/>
              <w:bottom w:val="single" w:sz="8" w:color="7F7F7F"/>
            </w:tcBorders>
          </w:tcPr>
          <w:p>
            <w:pPr>
              <w:spacing w:after="0"/>
              <w:rPr>
                <w:sz w:val="17"/>
                <w:szCs w:val="17"/>
                <w:color w:val="auto"/>
              </w:rPr>
            </w:pPr>
          </w:p>
        </w:tc>
        <w:tc>
          <w:tcPr>
            <w:tcW w:w="2720" w:type="dxa"/>
            <w:vAlign w:val="bottom"/>
            <w:tcBorders>
              <w:bottom w:val="single" w:sz="8" w:color="7F7F7F"/>
            </w:tcBorders>
            <w:shd w:val="clear" w:color="auto" w:fill="D8D8D8"/>
          </w:tcPr>
          <w:p>
            <w:pPr>
              <w:jc w:val="center"/>
              <w:ind w:left="348"/>
              <w:spacing w:after="0"/>
              <w:rPr>
                <w:sz w:val="20"/>
                <w:szCs w:val="20"/>
                <w:color w:val="auto"/>
              </w:rPr>
            </w:pPr>
            <w:r>
              <w:rPr>
                <w:rFonts w:ascii="Arial" w:cs="Arial" w:eastAsia="Arial" w:hAnsi="Arial"/>
                <w:sz w:val="14"/>
                <w:szCs w:val="14"/>
                <w:color w:val="auto"/>
              </w:rPr>
              <w:t>April 2019</w:t>
            </w:r>
          </w:p>
        </w:tc>
        <w:tc>
          <w:tcPr>
            <w:tcW w:w="60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7F7F7F"/>
            </w:tcBorders>
            <w:shd w:val="clear" w:color="auto" w:fill="D8D8D8"/>
          </w:tcPr>
          <w:p>
            <w:pPr>
              <w:jc w:val="right"/>
              <w:ind w:right="388"/>
              <w:spacing w:after="0"/>
              <w:rPr>
                <w:sz w:val="20"/>
                <w:szCs w:val="20"/>
                <w:color w:val="auto"/>
              </w:rPr>
            </w:pPr>
            <w:r>
              <w:rPr>
                <w:rFonts w:ascii="Arial" w:cs="Arial" w:eastAsia="Arial" w:hAnsi="Arial"/>
                <w:sz w:val="14"/>
                <w:szCs w:val="14"/>
                <w:color w:val="auto"/>
              </w:rPr>
              <w:t>1,600,000</w:t>
            </w:r>
          </w:p>
        </w:tc>
        <w:tc>
          <w:tcPr>
            <w:tcW w:w="1120" w:type="dxa"/>
            <w:vAlign w:val="bottom"/>
            <w:tcBorders>
              <w:bottom w:val="single" w:sz="8" w:color="7F7F7F"/>
            </w:tcBorders>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7F7F7F"/>
              <w:right w:val="single" w:sz="8" w:color="7F7F7F"/>
            </w:tcBorders>
            <w:shd w:val="clear" w:color="auto" w:fill="D8D8D8"/>
          </w:tcPr>
          <w:p>
            <w:pPr>
              <w:jc w:val="right"/>
              <w:ind w:right="168"/>
              <w:spacing w:after="0"/>
              <w:rPr>
                <w:sz w:val="20"/>
                <w:szCs w:val="20"/>
                <w:color w:val="auto"/>
              </w:rPr>
            </w:pPr>
            <w:r>
              <w:rPr>
                <w:rFonts w:ascii="Arial" w:cs="Arial" w:eastAsia="Arial" w:hAnsi="Arial"/>
                <w:sz w:val="14"/>
                <w:szCs w:val="14"/>
                <w:color w:val="auto"/>
              </w:rPr>
              <w:t>25,817</w:t>
            </w:r>
          </w:p>
        </w:tc>
        <w:tc>
          <w:tcPr>
            <w:tcW w:w="0" w:type="dxa"/>
            <w:vAlign w:val="bottom"/>
          </w:tcPr>
          <w:p>
            <w:pPr>
              <w:spacing w:after="0"/>
              <w:rPr>
                <w:sz w:val="1"/>
                <w:szCs w:val="1"/>
                <w:color w:val="auto"/>
              </w:rPr>
            </w:pPr>
          </w:p>
        </w:tc>
      </w:tr>
      <w:tr>
        <w:trPr>
          <w:trHeight w:val="196"/>
        </w:trPr>
        <w:tc>
          <w:tcPr>
            <w:tcW w:w="4200" w:type="dxa"/>
            <w:vAlign w:val="bottom"/>
            <w:tcBorders>
              <w:left w:val="single" w:sz="8" w:color="7F7F7F"/>
            </w:tcBorders>
          </w:tcPr>
          <w:p>
            <w:pPr>
              <w:ind w:left="160"/>
              <w:spacing w:after="0"/>
              <w:rPr>
                <w:sz w:val="20"/>
                <w:szCs w:val="20"/>
                <w:color w:val="auto"/>
              </w:rPr>
            </w:pPr>
            <w:r>
              <w:rPr>
                <w:rFonts w:ascii="Arial" w:cs="Arial" w:eastAsia="Arial" w:hAnsi="Arial"/>
                <w:sz w:val="14"/>
                <w:szCs w:val="14"/>
                <w:color w:val="auto"/>
              </w:rPr>
              <w:t>P.R. Breber</w:t>
            </w:r>
          </w:p>
        </w:tc>
        <w:tc>
          <w:tcPr>
            <w:tcW w:w="2720" w:type="dxa"/>
            <w:vAlign w:val="bottom"/>
          </w:tcPr>
          <w:p>
            <w:pPr>
              <w:jc w:val="center"/>
              <w:ind w:left="328"/>
              <w:spacing w:after="0"/>
              <w:rPr>
                <w:sz w:val="20"/>
                <w:szCs w:val="20"/>
                <w:color w:val="auto"/>
              </w:rPr>
            </w:pPr>
            <w:r>
              <w:rPr>
                <w:rFonts w:ascii="Arial" w:cs="Arial" w:eastAsia="Arial" w:hAnsi="Arial"/>
                <w:sz w:val="14"/>
                <w:szCs w:val="14"/>
                <w:color w:val="auto"/>
              </w:rPr>
              <w:t>March 2021</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88"/>
              <w:spacing w:after="0"/>
              <w:rPr>
                <w:sz w:val="20"/>
                <w:szCs w:val="20"/>
                <w:color w:val="auto"/>
              </w:rPr>
            </w:pPr>
            <w:r>
              <w:rPr>
                <w:rFonts w:ascii="Arial" w:cs="Arial" w:eastAsia="Arial" w:hAnsi="Arial"/>
                <w:sz w:val="14"/>
                <w:szCs w:val="14"/>
                <w:color w:val="auto"/>
              </w:rPr>
              <w:t>1,020,000</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7F7F7F"/>
            </w:tcBorders>
          </w:tcPr>
          <w:p>
            <w:pPr>
              <w:jc w:val="right"/>
              <w:ind w:right="168"/>
              <w:spacing w:after="0"/>
              <w:rPr>
                <w:sz w:val="20"/>
                <w:szCs w:val="20"/>
                <w:color w:val="auto"/>
              </w:rPr>
            </w:pPr>
            <w:r>
              <w:rPr>
                <w:rFonts w:ascii="Arial" w:cs="Arial" w:eastAsia="Arial" w:hAnsi="Arial"/>
                <w:sz w:val="14"/>
                <w:szCs w:val="14"/>
                <w:color w:val="auto"/>
              </w:rPr>
              <w:t>14,600</w:t>
            </w:r>
          </w:p>
        </w:tc>
        <w:tc>
          <w:tcPr>
            <w:tcW w:w="0" w:type="dxa"/>
            <w:vAlign w:val="bottom"/>
          </w:tcPr>
          <w:p>
            <w:pPr>
              <w:spacing w:after="0"/>
              <w:rPr>
                <w:sz w:val="1"/>
                <w:szCs w:val="1"/>
                <w:color w:val="auto"/>
              </w:rPr>
            </w:pPr>
          </w:p>
        </w:tc>
      </w:tr>
      <w:tr>
        <w:trPr>
          <w:trHeight w:val="207"/>
        </w:trPr>
        <w:tc>
          <w:tcPr>
            <w:tcW w:w="4200" w:type="dxa"/>
            <w:vAlign w:val="bottom"/>
            <w:tcBorders>
              <w:left w:val="single" w:sz="8" w:color="7F7F7F"/>
            </w:tcBorders>
          </w:tcPr>
          <w:p>
            <w:pPr>
              <w:spacing w:after="0"/>
              <w:rPr>
                <w:sz w:val="17"/>
                <w:szCs w:val="17"/>
                <w:color w:val="auto"/>
              </w:rPr>
            </w:pPr>
          </w:p>
        </w:tc>
        <w:tc>
          <w:tcPr>
            <w:tcW w:w="2720" w:type="dxa"/>
            <w:vAlign w:val="bottom"/>
            <w:shd w:val="clear" w:color="auto" w:fill="D8D8D8"/>
          </w:tcPr>
          <w:p>
            <w:pPr>
              <w:jc w:val="center"/>
              <w:ind w:left="348"/>
              <w:spacing w:after="0"/>
              <w:rPr>
                <w:sz w:val="20"/>
                <w:szCs w:val="20"/>
                <w:color w:val="auto"/>
              </w:rPr>
            </w:pPr>
            <w:r>
              <w:rPr>
                <w:rFonts w:ascii="Arial" w:cs="Arial" w:eastAsia="Arial" w:hAnsi="Arial"/>
                <w:sz w:val="14"/>
                <w:szCs w:val="14"/>
                <w:color w:val="auto"/>
              </w:rPr>
              <w:t>April 2020</w:t>
            </w: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D8D8D8"/>
          </w:tcPr>
          <w:p>
            <w:pPr>
              <w:jc w:val="right"/>
              <w:ind w:right="388"/>
              <w:spacing w:after="0"/>
              <w:rPr>
                <w:sz w:val="20"/>
                <w:szCs w:val="20"/>
                <w:color w:val="auto"/>
              </w:rPr>
            </w:pPr>
            <w:r>
              <w:rPr>
                <w:rFonts w:ascii="Arial" w:cs="Arial" w:eastAsia="Arial" w:hAnsi="Arial"/>
                <w:sz w:val="14"/>
                <w:szCs w:val="14"/>
                <w:color w:val="auto"/>
              </w:rPr>
              <w:t>1,020,000</w:t>
            </w:r>
          </w:p>
        </w:tc>
        <w:tc>
          <w:tcPr>
            <w:tcW w:w="112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7F7F7F"/>
            </w:tcBorders>
            <w:shd w:val="clear" w:color="auto" w:fill="D8D8D8"/>
          </w:tcPr>
          <w:p>
            <w:pPr>
              <w:jc w:val="right"/>
              <w:ind w:right="168"/>
              <w:spacing w:after="0"/>
              <w:rPr>
                <w:sz w:val="20"/>
                <w:szCs w:val="20"/>
                <w:color w:val="auto"/>
              </w:rPr>
            </w:pPr>
            <w:r>
              <w:rPr>
                <w:rFonts w:ascii="Arial" w:cs="Arial" w:eastAsia="Arial" w:hAnsi="Arial"/>
                <w:sz w:val="14"/>
                <w:szCs w:val="14"/>
                <w:color w:val="auto"/>
              </w:rPr>
              <w:t>14,583</w:t>
            </w:r>
          </w:p>
        </w:tc>
        <w:tc>
          <w:tcPr>
            <w:tcW w:w="0" w:type="dxa"/>
            <w:vAlign w:val="bottom"/>
          </w:tcPr>
          <w:p>
            <w:pPr>
              <w:spacing w:after="0"/>
              <w:rPr>
                <w:sz w:val="1"/>
                <w:szCs w:val="1"/>
                <w:color w:val="auto"/>
              </w:rPr>
            </w:pPr>
          </w:p>
        </w:tc>
      </w:tr>
      <w:tr>
        <w:trPr>
          <w:trHeight w:val="198"/>
        </w:trPr>
        <w:tc>
          <w:tcPr>
            <w:tcW w:w="4200" w:type="dxa"/>
            <w:vAlign w:val="bottom"/>
            <w:tcBorders>
              <w:left w:val="single" w:sz="8" w:color="7F7F7F"/>
              <w:bottom w:val="single" w:sz="8" w:color="7F7F7F"/>
            </w:tcBorders>
          </w:tcPr>
          <w:p>
            <w:pPr>
              <w:spacing w:after="0"/>
              <w:rPr>
                <w:sz w:val="17"/>
                <w:szCs w:val="17"/>
                <w:color w:val="auto"/>
              </w:rPr>
            </w:pPr>
          </w:p>
        </w:tc>
        <w:tc>
          <w:tcPr>
            <w:tcW w:w="2720" w:type="dxa"/>
            <w:vAlign w:val="bottom"/>
            <w:tcBorders>
              <w:bottom w:val="single" w:sz="8" w:color="7F7F7F"/>
            </w:tcBorders>
          </w:tcPr>
          <w:p>
            <w:pPr>
              <w:jc w:val="center"/>
              <w:ind w:left="348"/>
              <w:spacing w:after="0"/>
              <w:rPr>
                <w:sz w:val="20"/>
                <w:szCs w:val="20"/>
                <w:color w:val="auto"/>
              </w:rPr>
            </w:pPr>
            <w:r>
              <w:rPr>
                <w:rFonts w:ascii="Arial" w:cs="Arial" w:eastAsia="Arial" w:hAnsi="Arial"/>
                <w:sz w:val="14"/>
                <w:szCs w:val="14"/>
                <w:color w:val="auto"/>
              </w:rPr>
              <w:t>April 2019</w:t>
            </w:r>
          </w:p>
        </w:tc>
        <w:tc>
          <w:tcPr>
            <w:tcW w:w="60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7F7F7F"/>
            </w:tcBorders>
          </w:tcPr>
          <w:p>
            <w:pPr>
              <w:jc w:val="right"/>
              <w:ind w:right="388"/>
              <w:spacing w:after="0"/>
              <w:rPr>
                <w:sz w:val="20"/>
                <w:szCs w:val="20"/>
                <w:color w:val="auto"/>
              </w:rPr>
            </w:pPr>
            <w:r>
              <w:rPr>
                <w:rFonts w:ascii="Arial" w:cs="Arial" w:eastAsia="Arial" w:hAnsi="Arial"/>
                <w:sz w:val="14"/>
                <w:szCs w:val="14"/>
                <w:color w:val="auto"/>
              </w:rPr>
              <w:t>1,000,000</w:t>
            </w:r>
          </w:p>
        </w:tc>
        <w:tc>
          <w:tcPr>
            <w:tcW w:w="1120" w:type="dxa"/>
            <w:vAlign w:val="bottom"/>
            <w:tcBorders>
              <w:bottom w:val="single" w:sz="8" w:color="7F7F7F"/>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7F7F7F"/>
              <w:right w:val="single" w:sz="8" w:color="7F7F7F"/>
            </w:tcBorders>
          </w:tcPr>
          <w:p>
            <w:pPr>
              <w:jc w:val="right"/>
              <w:ind w:right="168"/>
              <w:spacing w:after="0"/>
              <w:rPr>
                <w:sz w:val="20"/>
                <w:szCs w:val="20"/>
                <w:color w:val="auto"/>
              </w:rPr>
            </w:pPr>
            <w:r>
              <w:rPr>
                <w:rFonts w:ascii="Arial" w:cs="Arial" w:eastAsia="Arial" w:hAnsi="Arial"/>
                <w:sz w:val="14"/>
                <w:szCs w:val="14"/>
                <w:color w:val="auto"/>
              </w:rPr>
              <w:t>14,178</w:t>
            </w:r>
          </w:p>
        </w:tc>
        <w:tc>
          <w:tcPr>
            <w:tcW w:w="0" w:type="dxa"/>
            <w:vAlign w:val="bottom"/>
          </w:tcPr>
          <w:p>
            <w:pPr>
              <w:spacing w:after="0"/>
              <w:rPr>
                <w:sz w:val="1"/>
                <w:szCs w:val="1"/>
                <w:color w:val="auto"/>
              </w:rPr>
            </w:pPr>
          </w:p>
        </w:tc>
      </w:tr>
      <w:tr>
        <w:trPr>
          <w:trHeight w:val="214"/>
        </w:trPr>
        <w:tc>
          <w:tcPr>
            <w:tcW w:w="4200" w:type="dxa"/>
            <w:vAlign w:val="bottom"/>
            <w:tcBorders>
              <w:left w:val="single" w:sz="8" w:color="7F7F7F"/>
            </w:tcBorders>
          </w:tcPr>
          <w:p>
            <w:pPr>
              <w:ind w:left="160"/>
              <w:spacing w:after="0"/>
              <w:rPr>
                <w:sz w:val="20"/>
                <w:szCs w:val="20"/>
                <w:color w:val="auto"/>
              </w:rPr>
            </w:pPr>
            <w:r>
              <w:rPr>
                <w:rFonts w:ascii="Arial" w:cs="Arial" w:eastAsia="Arial" w:hAnsi="Arial"/>
                <w:sz w:val="14"/>
                <w:szCs w:val="14"/>
                <w:color w:val="auto"/>
              </w:rPr>
              <w:t>J.W. Johnson</w:t>
            </w:r>
          </w:p>
        </w:tc>
        <w:tc>
          <w:tcPr>
            <w:tcW w:w="2720" w:type="dxa"/>
            <w:vAlign w:val="bottom"/>
            <w:shd w:val="clear" w:color="auto" w:fill="D8D8D8"/>
          </w:tcPr>
          <w:p>
            <w:pPr>
              <w:jc w:val="center"/>
              <w:ind w:left="328"/>
              <w:spacing w:after="0"/>
              <w:rPr>
                <w:sz w:val="20"/>
                <w:szCs w:val="20"/>
                <w:color w:val="auto"/>
              </w:rPr>
            </w:pPr>
            <w:r>
              <w:rPr>
                <w:rFonts w:ascii="Arial" w:cs="Arial" w:eastAsia="Arial" w:hAnsi="Arial"/>
                <w:sz w:val="14"/>
                <w:szCs w:val="14"/>
                <w:color w:val="auto"/>
              </w:rPr>
              <w:t>March 2021</w:t>
            </w: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D8D8D8"/>
          </w:tcPr>
          <w:p>
            <w:pPr>
              <w:jc w:val="right"/>
              <w:ind w:right="388"/>
              <w:spacing w:after="0"/>
              <w:rPr>
                <w:sz w:val="20"/>
                <w:szCs w:val="20"/>
                <w:color w:val="auto"/>
              </w:rPr>
            </w:pPr>
            <w:r>
              <w:rPr>
                <w:rFonts w:ascii="Arial" w:cs="Arial" w:eastAsia="Arial" w:hAnsi="Arial"/>
                <w:sz w:val="14"/>
                <w:szCs w:val="14"/>
                <w:color w:val="auto"/>
              </w:rPr>
              <w:t>1,210,000</w:t>
            </w:r>
          </w:p>
        </w:tc>
        <w:tc>
          <w:tcPr>
            <w:tcW w:w="112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7F7F7F"/>
            </w:tcBorders>
            <w:shd w:val="clear" w:color="auto" w:fill="D8D8D8"/>
          </w:tcPr>
          <w:p>
            <w:pPr>
              <w:jc w:val="right"/>
              <w:ind w:right="168"/>
              <w:spacing w:after="0"/>
              <w:rPr>
                <w:sz w:val="20"/>
                <w:szCs w:val="20"/>
                <w:color w:val="auto"/>
              </w:rPr>
            </w:pPr>
            <w:r>
              <w:rPr>
                <w:rFonts w:ascii="Arial" w:cs="Arial" w:eastAsia="Arial" w:hAnsi="Arial"/>
                <w:sz w:val="14"/>
                <w:szCs w:val="14"/>
                <w:color w:val="auto"/>
              </w:rPr>
              <w:t>18,400</w:t>
            </w:r>
          </w:p>
        </w:tc>
        <w:tc>
          <w:tcPr>
            <w:tcW w:w="0" w:type="dxa"/>
            <w:vAlign w:val="bottom"/>
          </w:tcPr>
          <w:p>
            <w:pPr>
              <w:spacing w:after="0"/>
              <w:rPr>
                <w:sz w:val="1"/>
                <w:szCs w:val="1"/>
                <w:color w:val="auto"/>
              </w:rPr>
            </w:pPr>
          </w:p>
        </w:tc>
      </w:tr>
      <w:tr>
        <w:trPr>
          <w:trHeight w:val="198"/>
        </w:trPr>
        <w:tc>
          <w:tcPr>
            <w:tcW w:w="4200" w:type="dxa"/>
            <w:vAlign w:val="bottom"/>
            <w:tcBorders>
              <w:left w:val="single" w:sz="8" w:color="7F7F7F"/>
            </w:tcBorders>
          </w:tcPr>
          <w:p>
            <w:pPr>
              <w:spacing w:after="0"/>
              <w:rPr>
                <w:sz w:val="17"/>
                <w:szCs w:val="17"/>
                <w:color w:val="auto"/>
              </w:rPr>
            </w:pPr>
          </w:p>
        </w:tc>
        <w:tc>
          <w:tcPr>
            <w:tcW w:w="2720" w:type="dxa"/>
            <w:vAlign w:val="bottom"/>
          </w:tcPr>
          <w:p>
            <w:pPr>
              <w:jc w:val="center"/>
              <w:ind w:left="348"/>
              <w:spacing w:after="0"/>
              <w:rPr>
                <w:sz w:val="20"/>
                <w:szCs w:val="20"/>
                <w:color w:val="auto"/>
              </w:rPr>
            </w:pPr>
            <w:r>
              <w:rPr>
                <w:rFonts w:ascii="Arial" w:cs="Arial" w:eastAsia="Arial" w:hAnsi="Arial"/>
                <w:sz w:val="14"/>
                <w:szCs w:val="14"/>
                <w:color w:val="auto"/>
              </w:rPr>
              <w:t>April 2020</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88"/>
              <w:spacing w:after="0"/>
              <w:rPr>
                <w:sz w:val="20"/>
                <w:szCs w:val="20"/>
                <w:color w:val="auto"/>
              </w:rPr>
            </w:pPr>
            <w:r>
              <w:rPr>
                <w:rFonts w:ascii="Arial" w:cs="Arial" w:eastAsia="Arial" w:hAnsi="Arial"/>
                <w:sz w:val="14"/>
                <w:szCs w:val="14"/>
                <w:color w:val="auto"/>
              </w:rPr>
              <w:t>1,210,000</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7F7F7F"/>
            </w:tcBorders>
          </w:tcPr>
          <w:p>
            <w:pPr>
              <w:jc w:val="right"/>
              <w:ind w:right="168"/>
              <w:spacing w:after="0"/>
              <w:rPr>
                <w:sz w:val="20"/>
                <w:szCs w:val="20"/>
                <w:color w:val="auto"/>
              </w:rPr>
            </w:pPr>
            <w:r>
              <w:rPr>
                <w:rFonts w:ascii="Arial" w:cs="Arial" w:eastAsia="Arial" w:hAnsi="Arial"/>
                <w:sz w:val="14"/>
                <w:szCs w:val="14"/>
                <w:color w:val="auto"/>
              </w:rPr>
              <w:t>18,442</w:t>
            </w:r>
          </w:p>
        </w:tc>
        <w:tc>
          <w:tcPr>
            <w:tcW w:w="0" w:type="dxa"/>
            <w:vAlign w:val="bottom"/>
          </w:tcPr>
          <w:p>
            <w:pPr>
              <w:spacing w:after="0"/>
              <w:rPr>
                <w:sz w:val="1"/>
                <w:szCs w:val="1"/>
                <w:color w:val="auto"/>
              </w:rPr>
            </w:pPr>
          </w:p>
        </w:tc>
      </w:tr>
      <w:tr>
        <w:trPr>
          <w:trHeight w:val="203"/>
        </w:trPr>
        <w:tc>
          <w:tcPr>
            <w:tcW w:w="4200" w:type="dxa"/>
            <w:vAlign w:val="bottom"/>
            <w:tcBorders>
              <w:left w:val="single" w:sz="8" w:color="7F7F7F"/>
              <w:bottom w:val="single" w:sz="8" w:color="7F7F7F"/>
            </w:tcBorders>
          </w:tcPr>
          <w:p>
            <w:pPr>
              <w:spacing w:after="0"/>
              <w:rPr>
                <w:sz w:val="17"/>
                <w:szCs w:val="17"/>
                <w:color w:val="auto"/>
              </w:rPr>
            </w:pPr>
          </w:p>
        </w:tc>
        <w:tc>
          <w:tcPr>
            <w:tcW w:w="2720" w:type="dxa"/>
            <w:vAlign w:val="bottom"/>
            <w:tcBorders>
              <w:bottom w:val="single" w:sz="8" w:color="7F7F7F"/>
            </w:tcBorders>
            <w:shd w:val="clear" w:color="auto" w:fill="D8D8D8"/>
          </w:tcPr>
          <w:p>
            <w:pPr>
              <w:jc w:val="center"/>
              <w:ind w:left="348"/>
              <w:spacing w:after="0"/>
              <w:rPr>
                <w:sz w:val="20"/>
                <w:szCs w:val="20"/>
                <w:color w:val="auto"/>
              </w:rPr>
            </w:pPr>
            <w:r>
              <w:rPr>
                <w:rFonts w:ascii="Arial" w:cs="Arial" w:eastAsia="Arial" w:hAnsi="Arial"/>
                <w:sz w:val="14"/>
                <w:szCs w:val="14"/>
                <w:color w:val="auto"/>
              </w:rPr>
              <w:t>April 2019</w:t>
            </w:r>
          </w:p>
        </w:tc>
        <w:tc>
          <w:tcPr>
            <w:tcW w:w="60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7F7F7F"/>
            </w:tcBorders>
            <w:shd w:val="clear" w:color="auto" w:fill="D8D8D8"/>
          </w:tcPr>
          <w:p>
            <w:pPr>
              <w:jc w:val="right"/>
              <w:ind w:right="388"/>
              <w:spacing w:after="0"/>
              <w:rPr>
                <w:sz w:val="20"/>
                <w:szCs w:val="20"/>
                <w:color w:val="auto"/>
              </w:rPr>
            </w:pPr>
            <w:r>
              <w:rPr>
                <w:rFonts w:ascii="Arial" w:cs="Arial" w:eastAsia="Arial" w:hAnsi="Arial"/>
                <w:sz w:val="14"/>
                <w:szCs w:val="14"/>
                <w:color w:val="auto"/>
              </w:rPr>
              <w:t>1,200,000</w:t>
            </w:r>
          </w:p>
        </w:tc>
        <w:tc>
          <w:tcPr>
            <w:tcW w:w="1120" w:type="dxa"/>
            <w:vAlign w:val="bottom"/>
            <w:tcBorders>
              <w:bottom w:val="single" w:sz="8" w:color="7F7F7F"/>
            </w:tcBorders>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7F7F7F"/>
              <w:right w:val="single" w:sz="8" w:color="7F7F7F"/>
            </w:tcBorders>
            <w:shd w:val="clear" w:color="auto" w:fill="D8D8D8"/>
          </w:tcPr>
          <w:p>
            <w:pPr>
              <w:jc w:val="right"/>
              <w:ind w:right="168"/>
              <w:spacing w:after="0"/>
              <w:rPr>
                <w:sz w:val="20"/>
                <w:szCs w:val="20"/>
                <w:color w:val="auto"/>
              </w:rPr>
            </w:pPr>
            <w:r>
              <w:rPr>
                <w:rFonts w:ascii="Arial" w:cs="Arial" w:eastAsia="Arial" w:hAnsi="Arial"/>
                <w:sz w:val="14"/>
                <w:szCs w:val="14"/>
                <w:color w:val="auto"/>
              </w:rPr>
              <w:t>18,009</w:t>
            </w:r>
          </w:p>
        </w:tc>
        <w:tc>
          <w:tcPr>
            <w:tcW w:w="0" w:type="dxa"/>
            <w:vAlign w:val="bottom"/>
          </w:tcPr>
          <w:p>
            <w:pPr>
              <w:spacing w:after="0"/>
              <w:rPr>
                <w:sz w:val="1"/>
                <w:szCs w:val="1"/>
                <w:color w:val="auto"/>
              </w:rPr>
            </w:pPr>
          </w:p>
        </w:tc>
      </w:tr>
      <w:tr>
        <w:trPr>
          <w:trHeight w:val="196"/>
        </w:trPr>
        <w:tc>
          <w:tcPr>
            <w:tcW w:w="4200" w:type="dxa"/>
            <w:vAlign w:val="bottom"/>
            <w:tcBorders>
              <w:left w:val="single" w:sz="8" w:color="7F7F7F"/>
            </w:tcBorders>
          </w:tcPr>
          <w:p>
            <w:pPr>
              <w:ind w:left="160"/>
              <w:spacing w:after="0"/>
              <w:rPr>
                <w:sz w:val="20"/>
                <w:szCs w:val="20"/>
                <w:color w:val="auto"/>
              </w:rPr>
            </w:pPr>
            <w:r>
              <w:rPr>
                <w:rFonts w:ascii="Arial" w:cs="Arial" w:eastAsia="Arial" w:hAnsi="Arial"/>
                <w:sz w:val="14"/>
                <w:szCs w:val="14"/>
                <w:color w:val="auto"/>
              </w:rPr>
              <w:t>J.C. Geagea</w:t>
            </w:r>
          </w:p>
        </w:tc>
        <w:tc>
          <w:tcPr>
            <w:tcW w:w="2720" w:type="dxa"/>
            <w:vAlign w:val="bottom"/>
          </w:tcPr>
          <w:p>
            <w:pPr>
              <w:jc w:val="center"/>
              <w:ind w:left="328"/>
              <w:spacing w:after="0"/>
              <w:rPr>
                <w:sz w:val="20"/>
                <w:szCs w:val="20"/>
                <w:color w:val="auto"/>
              </w:rPr>
            </w:pPr>
            <w:r>
              <w:rPr>
                <w:rFonts w:ascii="Arial" w:cs="Arial" w:eastAsia="Arial" w:hAnsi="Arial"/>
                <w:sz w:val="14"/>
                <w:szCs w:val="14"/>
                <w:color w:val="auto"/>
              </w:rPr>
              <w:t>March 2021</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88"/>
              <w:spacing w:after="0"/>
              <w:rPr>
                <w:sz w:val="20"/>
                <w:szCs w:val="20"/>
                <w:color w:val="auto"/>
              </w:rPr>
            </w:pPr>
            <w:r>
              <w:rPr>
                <w:rFonts w:ascii="Arial" w:cs="Arial" w:eastAsia="Arial" w:hAnsi="Arial"/>
                <w:sz w:val="14"/>
                <w:szCs w:val="14"/>
                <w:color w:val="auto"/>
              </w:rPr>
              <w:t>1,020,000</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7F7F7F"/>
            </w:tcBorders>
          </w:tcPr>
          <w:p>
            <w:pPr>
              <w:jc w:val="right"/>
              <w:ind w:right="168"/>
              <w:spacing w:after="0"/>
              <w:rPr>
                <w:sz w:val="20"/>
                <w:szCs w:val="20"/>
                <w:color w:val="auto"/>
              </w:rPr>
            </w:pPr>
            <w:r>
              <w:rPr>
                <w:rFonts w:ascii="Arial" w:cs="Arial" w:eastAsia="Arial" w:hAnsi="Arial"/>
                <w:sz w:val="14"/>
                <w:szCs w:val="14"/>
                <w:color w:val="auto"/>
              </w:rPr>
              <w:t>14,600</w:t>
            </w:r>
          </w:p>
        </w:tc>
        <w:tc>
          <w:tcPr>
            <w:tcW w:w="0" w:type="dxa"/>
            <w:vAlign w:val="bottom"/>
          </w:tcPr>
          <w:p>
            <w:pPr>
              <w:spacing w:after="0"/>
              <w:rPr>
                <w:sz w:val="1"/>
                <w:szCs w:val="1"/>
                <w:color w:val="auto"/>
              </w:rPr>
            </w:pPr>
          </w:p>
        </w:tc>
      </w:tr>
      <w:tr>
        <w:trPr>
          <w:trHeight w:val="207"/>
        </w:trPr>
        <w:tc>
          <w:tcPr>
            <w:tcW w:w="4200" w:type="dxa"/>
            <w:vAlign w:val="bottom"/>
            <w:tcBorders>
              <w:left w:val="single" w:sz="8" w:color="7F7F7F"/>
            </w:tcBorders>
          </w:tcPr>
          <w:p>
            <w:pPr>
              <w:spacing w:after="0"/>
              <w:rPr>
                <w:sz w:val="17"/>
                <w:szCs w:val="17"/>
                <w:color w:val="auto"/>
              </w:rPr>
            </w:pPr>
          </w:p>
        </w:tc>
        <w:tc>
          <w:tcPr>
            <w:tcW w:w="2720" w:type="dxa"/>
            <w:vAlign w:val="bottom"/>
            <w:shd w:val="clear" w:color="auto" w:fill="D8D8D8"/>
          </w:tcPr>
          <w:p>
            <w:pPr>
              <w:jc w:val="center"/>
              <w:ind w:left="348"/>
              <w:spacing w:after="0"/>
              <w:rPr>
                <w:sz w:val="20"/>
                <w:szCs w:val="20"/>
                <w:color w:val="auto"/>
              </w:rPr>
            </w:pPr>
            <w:r>
              <w:rPr>
                <w:rFonts w:ascii="Arial" w:cs="Arial" w:eastAsia="Arial" w:hAnsi="Arial"/>
                <w:sz w:val="14"/>
                <w:szCs w:val="14"/>
                <w:color w:val="auto"/>
              </w:rPr>
              <w:t>April 2020</w:t>
            </w: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D8D8D8"/>
          </w:tcPr>
          <w:p>
            <w:pPr>
              <w:jc w:val="right"/>
              <w:ind w:right="388"/>
              <w:spacing w:after="0"/>
              <w:rPr>
                <w:sz w:val="20"/>
                <w:szCs w:val="20"/>
                <w:color w:val="auto"/>
              </w:rPr>
            </w:pPr>
            <w:r>
              <w:rPr>
                <w:rFonts w:ascii="Arial" w:cs="Arial" w:eastAsia="Arial" w:hAnsi="Arial"/>
                <w:sz w:val="14"/>
                <w:szCs w:val="14"/>
                <w:color w:val="auto"/>
              </w:rPr>
              <w:t>1,020,000</w:t>
            </w:r>
          </w:p>
        </w:tc>
        <w:tc>
          <w:tcPr>
            <w:tcW w:w="112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7F7F7F"/>
            </w:tcBorders>
            <w:shd w:val="clear" w:color="auto" w:fill="D8D8D8"/>
          </w:tcPr>
          <w:p>
            <w:pPr>
              <w:jc w:val="right"/>
              <w:ind w:right="168"/>
              <w:spacing w:after="0"/>
              <w:rPr>
                <w:sz w:val="20"/>
                <w:szCs w:val="20"/>
                <w:color w:val="auto"/>
              </w:rPr>
            </w:pPr>
            <w:r>
              <w:rPr>
                <w:rFonts w:ascii="Arial" w:cs="Arial" w:eastAsia="Arial" w:hAnsi="Arial"/>
                <w:sz w:val="14"/>
                <w:szCs w:val="14"/>
                <w:color w:val="auto"/>
              </w:rPr>
              <w:t>14,583</w:t>
            </w:r>
          </w:p>
        </w:tc>
        <w:tc>
          <w:tcPr>
            <w:tcW w:w="0" w:type="dxa"/>
            <w:vAlign w:val="bottom"/>
          </w:tcPr>
          <w:p>
            <w:pPr>
              <w:spacing w:after="0"/>
              <w:rPr>
                <w:sz w:val="1"/>
                <w:szCs w:val="1"/>
                <w:color w:val="auto"/>
              </w:rPr>
            </w:pPr>
          </w:p>
        </w:tc>
      </w:tr>
      <w:tr>
        <w:trPr>
          <w:trHeight w:val="198"/>
        </w:trPr>
        <w:tc>
          <w:tcPr>
            <w:tcW w:w="4200" w:type="dxa"/>
            <w:vAlign w:val="bottom"/>
            <w:tcBorders>
              <w:left w:val="single" w:sz="8" w:color="7F7F7F"/>
              <w:bottom w:val="single" w:sz="8" w:color="7F7F7F"/>
            </w:tcBorders>
          </w:tcPr>
          <w:p>
            <w:pPr>
              <w:spacing w:after="0"/>
              <w:rPr>
                <w:sz w:val="17"/>
                <w:szCs w:val="17"/>
                <w:color w:val="auto"/>
              </w:rPr>
            </w:pPr>
          </w:p>
        </w:tc>
        <w:tc>
          <w:tcPr>
            <w:tcW w:w="2720" w:type="dxa"/>
            <w:vAlign w:val="bottom"/>
            <w:tcBorders>
              <w:bottom w:val="single" w:sz="8" w:color="7F7F7F"/>
            </w:tcBorders>
          </w:tcPr>
          <w:p>
            <w:pPr>
              <w:jc w:val="center"/>
              <w:ind w:left="348"/>
              <w:spacing w:after="0"/>
              <w:rPr>
                <w:sz w:val="20"/>
                <w:szCs w:val="20"/>
                <w:color w:val="auto"/>
              </w:rPr>
            </w:pPr>
            <w:r>
              <w:rPr>
                <w:rFonts w:ascii="Arial" w:cs="Arial" w:eastAsia="Arial" w:hAnsi="Arial"/>
                <w:sz w:val="14"/>
                <w:szCs w:val="14"/>
                <w:color w:val="auto"/>
              </w:rPr>
              <w:t>April 2019</w:t>
            </w:r>
          </w:p>
        </w:tc>
        <w:tc>
          <w:tcPr>
            <w:tcW w:w="60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7F7F7F"/>
            </w:tcBorders>
          </w:tcPr>
          <w:p>
            <w:pPr>
              <w:jc w:val="right"/>
              <w:ind w:right="388"/>
              <w:spacing w:after="0"/>
              <w:rPr>
                <w:sz w:val="20"/>
                <w:szCs w:val="20"/>
                <w:color w:val="auto"/>
              </w:rPr>
            </w:pPr>
            <w:r>
              <w:rPr>
                <w:rFonts w:ascii="Arial" w:cs="Arial" w:eastAsia="Arial" w:hAnsi="Arial"/>
                <w:sz w:val="14"/>
                <w:szCs w:val="14"/>
                <w:color w:val="auto"/>
              </w:rPr>
              <w:t>1,000,000</w:t>
            </w:r>
          </w:p>
        </w:tc>
        <w:tc>
          <w:tcPr>
            <w:tcW w:w="1120" w:type="dxa"/>
            <w:vAlign w:val="bottom"/>
            <w:tcBorders>
              <w:bottom w:val="single" w:sz="8" w:color="7F7F7F"/>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7F7F7F"/>
              <w:right w:val="single" w:sz="8" w:color="7F7F7F"/>
            </w:tcBorders>
          </w:tcPr>
          <w:p>
            <w:pPr>
              <w:jc w:val="right"/>
              <w:ind w:right="168"/>
              <w:spacing w:after="0"/>
              <w:rPr>
                <w:sz w:val="20"/>
                <w:szCs w:val="20"/>
                <w:color w:val="auto"/>
              </w:rPr>
            </w:pPr>
            <w:r>
              <w:rPr>
                <w:rFonts w:ascii="Arial" w:cs="Arial" w:eastAsia="Arial" w:hAnsi="Arial"/>
                <w:sz w:val="14"/>
                <w:szCs w:val="14"/>
                <w:color w:val="auto"/>
              </w:rPr>
              <w:t>14,295</w:t>
            </w:r>
          </w:p>
        </w:tc>
        <w:tc>
          <w:tcPr>
            <w:tcW w:w="0" w:type="dxa"/>
            <w:vAlign w:val="bottom"/>
          </w:tcPr>
          <w:p>
            <w:pPr>
              <w:spacing w:after="0"/>
              <w:rPr>
                <w:sz w:val="1"/>
                <w:szCs w:val="1"/>
                <w:color w:val="auto"/>
              </w:rPr>
            </w:pPr>
          </w:p>
        </w:tc>
      </w:tr>
      <w:tr>
        <w:trPr>
          <w:trHeight w:val="200"/>
        </w:trPr>
        <w:tc>
          <w:tcPr>
            <w:tcW w:w="4200" w:type="dxa"/>
            <w:vAlign w:val="bottom"/>
            <w:tcBorders>
              <w:left w:val="single" w:sz="8" w:color="7F7F7F"/>
            </w:tcBorders>
          </w:tcPr>
          <w:p>
            <w:pPr>
              <w:ind w:left="160"/>
              <w:spacing w:after="0"/>
              <w:rPr>
                <w:sz w:val="20"/>
                <w:szCs w:val="20"/>
                <w:color w:val="auto"/>
              </w:rPr>
            </w:pPr>
            <w:r>
              <w:rPr>
                <w:rFonts w:ascii="Arial" w:cs="Arial" w:eastAsia="Arial" w:hAnsi="Arial"/>
                <w:sz w:val="14"/>
                <w:szCs w:val="14"/>
                <w:color w:val="auto"/>
              </w:rPr>
              <w:t>M.A. Nelson</w:t>
            </w:r>
          </w:p>
        </w:tc>
        <w:tc>
          <w:tcPr>
            <w:tcW w:w="2720" w:type="dxa"/>
            <w:vAlign w:val="bottom"/>
            <w:shd w:val="clear" w:color="auto" w:fill="D8D8D8"/>
          </w:tcPr>
          <w:p>
            <w:pPr>
              <w:jc w:val="center"/>
              <w:ind w:left="328"/>
              <w:spacing w:after="0"/>
              <w:rPr>
                <w:sz w:val="20"/>
                <w:szCs w:val="20"/>
                <w:color w:val="auto"/>
              </w:rPr>
            </w:pPr>
            <w:r>
              <w:rPr>
                <w:rFonts w:ascii="Arial" w:cs="Arial" w:eastAsia="Arial" w:hAnsi="Arial"/>
                <w:sz w:val="14"/>
                <w:szCs w:val="14"/>
                <w:color w:val="auto"/>
              </w:rPr>
              <w:t>March 2021</w:t>
            </w: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D8D8D8"/>
          </w:tcPr>
          <w:p>
            <w:pPr>
              <w:jc w:val="right"/>
              <w:ind w:right="388"/>
              <w:spacing w:after="0"/>
              <w:rPr>
                <w:sz w:val="20"/>
                <w:szCs w:val="20"/>
                <w:color w:val="auto"/>
              </w:rPr>
            </w:pPr>
            <w:r>
              <w:rPr>
                <w:rFonts w:ascii="Arial" w:cs="Arial" w:eastAsia="Arial" w:hAnsi="Arial"/>
                <w:sz w:val="14"/>
                <w:szCs w:val="14"/>
                <w:color w:val="auto"/>
              </w:rPr>
              <w:t>950,000</w:t>
            </w:r>
          </w:p>
        </w:tc>
        <w:tc>
          <w:tcPr>
            <w:tcW w:w="112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7F7F7F"/>
            </w:tcBorders>
            <w:shd w:val="clear" w:color="auto" w:fill="D8D8D8"/>
          </w:tcPr>
          <w:p>
            <w:pPr>
              <w:jc w:val="right"/>
              <w:ind w:right="168"/>
              <w:spacing w:after="0"/>
              <w:rPr>
                <w:sz w:val="20"/>
                <w:szCs w:val="20"/>
                <w:color w:val="auto"/>
              </w:rPr>
            </w:pPr>
            <w:r>
              <w:rPr>
                <w:rFonts w:ascii="Arial" w:cs="Arial" w:eastAsia="Arial" w:hAnsi="Arial"/>
                <w:sz w:val="14"/>
                <w:szCs w:val="14"/>
                <w:color w:val="auto"/>
              </w:rPr>
              <w:t>13,200</w:t>
            </w:r>
          </w:p>
        </w:tc>
        <w:tc>
          <w:tcPr>
            <w:tcW w:w="0" w:type="dxa"/>
            <w:vAlign w:val="bottom"/>
          </w:tcPr>
          <w:p>
            <w:pPr>
              <w:spacing w:after="0"/>
              <w:rPr>
                <w:sz w:val="1"/>
                <w:szCs w:val="1"/>
                <w:color w:val="auto"/>
              </w:rPr>
            </w:pPr>
          </w:p>
        </w:tc>
      </w:tr>
      <w:tr>
        <w:trPr>
          <w:trHeight w:val="198"/>
        </w:trPr>
        <w:tc>
          <w:tcPr>
            <w:tcW w:w="4200" w:type="dxa"/>
            <w:vAlign w:val="bottom"/>
            <w:tcBorders>
              <w:left w:val="single" w:sz="8" w:color="7F7F7F"/>
            </w:tcBorders>
          </w:tcPr>
          <w:p>
            <w:pPr>
              <w:spacing w:after="0"/>
              <w:rPr>
                <w:sz w:val="17"/>
                <w:szCs w:val="17"/>
                <w:color w:val="auto"/>
              </w:rPr>
            </w:pPr>
          </w:p>
        </w:tc>
        <w:tc>
          <w:tcPr>
            <w:tcW w:w="2720" w:type="dxa"/>
            <w:vAlign w:val="bottom"/>
          </w:tcPr>
          <w:p>
            <w:pPr>
              <w:jc w:val="center"/>
              <w:ind w:left="348"/>
              <w:spacing w:after="0"/>
              <w:rPr>
                <w:sz w:val="20"/>
                <w:szCs w:val="20"/>
                <w:color w:val="auto"/>
              </w:rPr>
            </w:pPr>
            <w:r>
              <w:rPr>
                <w:rFonts w:ascii="Arial" w:cs="Arial" w:eastAsia="Arial" w:hAnsi="Arial"/>
                <w:sz w:val="14"/>
                <w:szCs w:val="14"/>
                <w:color w:val="auto"/>
              </w:rPr>
              <w:t>April 2020</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88"/>
              <w:spacing w:after="0"/>
              <w:rPr>
                <w:sz w:val="20"/>
                <w:szCs w:val="20"/>
                <w:color w:val="auto"/>
              </w:rPr>
            </w:pPr>
            <w:r>
              <w:rPr>
                <w:rFonts w:ascii="Arial" w:cs="Arial" w:eastAsia="Arial" w:hAnsi="Arial"/>
                <w:sz w:val="14"/>
                <w:szCs w:val="14"/>
                <w:color w:val="auto"/>
              </w:rPr>
              <w:t>950,000</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7F7F7F"/>
            </w:tcBorders>
          </w:tcPr>
          <w:p>
            <w:pPr>
              <w:jc w:val="right"/>
              <w:ind w:right="168"/>
              <w:spacing w:after="0"/>
              <w:rPr>
                <w:sz w:val="20"/>
                <w:szCs w:val="20"/>
                <w:color w:val="auto"/>
              </w:rPr>
            </w:pPr>
            <w:r>
              <w:rPr>
                <w:rFonts w:ascii="Arial" w:cs="Arial" w:eastAsia="Arial" w:hAnsi="Arial"/>
                <w:sz w:val="14"/>
                <w:szCs w:val="14"/>
                <w:color w:val="auto"/>
              </w:rPr>
              <w:t>13,008</w:t>
            </w:r>
          </w:p>
        </w:tc>
        <w:tc>
          <w:tcPr>
            <w:tcW w:w="0" w:type="dxa"/>
            <w:vAlign w:val="bottom"/>
          </w:tcPr>
          <w:p>
            <w:pPr>
              <w:spacing w:after="0"/>
              <w:rPr>
                <w:sz w:val="1"/>
                <w:szCs w:val="1"/>
                <w:color w:val="auto"/>
              </w:rPr>
            </w:pPr>
          </w:p>
        </w:tc>
      </w:tr>
      <w:tr>
        <w:trPr>
          <w:trHeight w:val="203"/>
        </w:trPr>
        <w:tc>
          <w:tcPr>
            <w:tcW w:w="4200" w:type="dxa"/>
            <w:vAlign w:val="bottom"/>
            <w:tcBorders>
              <w:left w:val="single" w:sz="8" w:color="7F7F7F"/>
              <w:bottom w:val="single" w:sz="8" w:color="7F7F7F"/>
            </w:tcBorders>
          </w:tcPr>
          <w:p>
            <w:pPr>
              <w:spacing w:after="0"/>
              <w:rPr>
                <w:sz w:val="17"/>
                <w:szCs w:val="17"/>
                <w:color w:val="auto"/>
              </w:rPr>
            </w:pPr>
          </w:p>
        </w:tc>
        <w:tc>
          <w:tcPr>
            <w:tcW w:w="2720" w:type="dxa"/>
            <w:vAlign w:val="bottom"/>
            <w:tcBorders>
              <w:bottom w:val="single" w:sz="8" w:color="7F7F7F"/>
            </w:tcBorders>
            <w:shd w:val="clear" w:color="auto" w:fill="D8D8D8"/>
          </w:tcPr>
          <w:p>
            <w:pPr>
              <w:jc w:val="center"/>
              <w:ind w:left="328"/>
              <w:spacing w:after="0"/>
              <w:rPr>
                <w:sz w:val="20"/>
                <w:szCs w:val="20"/>
                <w:color w:val="auto"/>
              </w:rPr>
            </w:pPr>
            <w:r>
              <w:rPr>
                <w:rFonts w:ascii="Arial" w:cs="Arial" w:eastAsia="Arial" w:hAnsi="Arial"/>
                <w:sz w:val="14"/>
                <w:szCs w:val="14"/>
                <w:color w:val="auto"/>
              </w:rPr>
              <w:t>March 2019</w:t>
            </w:r>
          </w:p>
        </w:tc>
        <w:tc>
          <w:tcPr>
            <w:tcW w:w="60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7F7F7F"/>
            </w:tcBorders>
            <w:shd w:val="clear" w:color="auto" w:fill="D8D8D8"/>
          </w:tcPr>
          <w:p>
            <w:pPr>
              <w:jc w:val="right"/>
              <w:ind w:right="388"/>
              <w:spacing w:after="0"/>
              <w:rPr>
                <w:sz w:val="20"/>
                <w:szCs w:val="20"/>
                <w:color w:val="auto"/>
              </w:rPr>
            </w:pPr>
            <w:r>
              <w:rPr>
                <w:rFonts w:ascii="Arial" w:cs="Arial" w:eastAsia="Arial" w:hAnsi="Arial"/>
                <w:sz w:val="14"/>
                <w:szCs w:val="14"/>
                <w:color w:val="auto"/>
              </w:rPr>
              <w:t>900,000</w:t>
            </w:r>
          </w:p>
        </w:tc>
        <w:tc>
          <w:tcPr>
            <w:tcW w:w="1120" w:type="dxa"/>
            <w:vAlign w:val="bottom"/>
            <w:tcBorders>
              <w:bottom w:val="single" w:sz="8" w:color="7F7F7F"/>
            </w:tcBorders>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7F7F7F"/>
              <w:right w:val="single" w:sz="8" w:color="7F7F7F"/>
            </w:tcBorders>
            <w:shd w:val="clear" w:color="auto" w:fill="D8D8D8"/>
          </w:tcPr>
          <w:p>
            <w:pPr>
              <w:jc w:val="right"/>
              <w:ind w:right="168"/>
              <w:spacing w:after="0"/>
              <w:rPr>
                <w:sz w:val="20"/>
                <w:szCs w:val="20"/>
                <w:color w:val="auto"/>
              </w:rPr>
            </w:pPr>
            <w:r>
              <w:rPr>
                <w:rFonts w:ascii="Arial" w:cs="Arial" w:eastAsia="Arial" w:hAnsi="Arial"/>
                <w:sz w:val="14"/>
                <w:szCs w:val="14"/>
                <w:color w:val="auto"/>
              </w:rPr>
              <w:t>11,346</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left="700" w:right="20"/>
        <w:spacing w:after="0" w:line="281" w:lineRule="auto"/>
        <w:rPr>
          <w:sz w:val="20"/>
          <w:szCs w:val="20"/>
          <w:color w:val="auto"/>
        </w:rPr>
      </w:pPr>
      <w:r>
        <w:rPr>
          <w:rFonts w:ascii="Arial" w:cs="Arial" w:eastAsia="Arial" w:hAnsi="Arial"/>
          <w:sz w:val="13"/>
          <w:szCs w:val="13"/>
          <w:color w:val="auto"/>
        </w:rPr>
        <w:t>We explain the amount of salary and non-equity incentive plan compensation in proportion to total compensation in our “Compensation Discussion and Analysis–Pay philosophy, Pay element, and Pay mix.”</w:t>
      </w:r>
    </w:p>
    <w:p>
      <w:pPr>
        <w:spacing w:after="0" w:line="14" w:lineRule="exact"/>
        <w:rPr>
          <w:sz w:val="20"/>
          <w:szCs w:val="20"/>
          <w:color w:val="auto"/>
        </w:rPr>
      </w:pPr>
    </w:p>
    <w:p>
      <w:pPr>
        <w:ind w:left="540" w:right="140" w:hanging="424"/>
        <w:spacing w:after="0" w:line="252" w:lineRule="auto"/>
        <w:tabs>
          <w:tab w:leader="none" w:pos="540" w:val="left"/>
        </w:tabs>
        <w:numPr>
          <w:ilvl w:val="0"/>
          <w:numId w:val="94"/>
        </w:numPr>
        <w:rPr>
          <w:rFonts w:ascii="Arial" w:cs="Arial" w:eastAsia="Arial" w:hAnsi="Arial"/>
          <w:sz w:val="13"/>
          <w:szCs w:val="13"/>
          <w:color w:val="auto"/>
        </w:rPr>
      </w:pPr>
      <w:r>
        <w:rPr>
          <w:rFonts w:ascii="Arial" w:cs="Arial" w:eastAsia="Arial" w:hAnsi="Arial"/>
          <w:sz w:val="13"/>
          <w:szCs w:val="13"/>
          <w:color w:val="auto"/>
        </w:rPr>
        <w:t>Amounts for each fiscal year reflect the aggregate grant date fair value of performance shares and RSUs granted under the LTIP on January 27, 2021. We calculate the grant date fair value of these awards in accordance with ASC Topic 718, as described in Note 22, “Stock Options and Other Share-Based Compensation,” to the Consolidated Financial Statements contained in our Annual Report on Form 10-K for the year ended December 31, 2021. These RSUs and performance shares accrue dividend equivalents. For purposes of this table only, estimates of forfeitures related to service-based vesting conditions for awards have been disregarded.</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62</w:t>
      </w:r>
    </w:p>
    <w:p>
      <w:pPr>
        <w:sectPr>
          <w:pgSz w:w="11900" w:h="16838" w:orient="portrait"/>
          <w:cols w:equalWidth="0" w:num="1">
            <w:col w:w="11140"/>
          </w:cols>
          <w:pgMar w:left="320" w:top="455" w:right="4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208280</wp:posOffset>
            </wp:positionV>
            <wp:extent cx="1474470" cy="1454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74470" cy="145415"/>
                    </a:xfrm>
                    <a:prstGeom prst="rect">
                      <a:avLst/>
                    </a:prstGeom>
                    <a:noFill/>
                  </pic:spPr>
                </pic:pic>
              </a:graphicData>
            </a:graphic>
          </wp:anchor>
        </w:drawing>
      </w:r>
    </w:p>
    <w:p>
      <w:pPr>
        <w:spacing w:after="0" w:line="339"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FFFFFF"/>
        </w:rPr>
        <w:t>Executive compensation</w:t>
      </w:r>
    </w:p>
    <w:p>
      <w:pPr>
        <w:spacing w:after="0" w:line="173" w:lineRule="exact"/>
        <w:rPr>
          <w:sz w:val="20"/>
          <w:szCs w:val="20"/>
          <w:color w:val="auto"/>
        </w:rPr>
      </w:pPr>
    </w:p>
    <w:p>
      <w:pPr>
        <w:ind w:left="540" w:right="120"/>
        <w:spacing w:after="0" w:line="244" w:lineRule="auto"/>
        <w:rPr>
          <w:sz w:val="20"/>
          <w:szCs w:val="20"/>
          <w:color w:val="auto"/>
        </w:rPr>
      </w:pPr>
      <w:r>
        <w:rPr>
          <w:rFonts w:ascii="Arial" w:cs="Arial" w:eastAsia="Arial" w:hAnsi="Arial"/>
          <w:sz w:val="13"/>
          <w:szCs w:val="13"/>
          <w:color w:val="auto"/>
        </w:rPr>
        <w:t>For performance shares granted on January 27, 2021, the per-share grant date fair value was $95.13. We use a Monte Carlo approach to calculate estimated grant date fair value. To derive estimated grant date fair value per share, this valuation technique simulates TSR for the Company and the LTIP peer group (BP, ExxonMobil, Shell, TotalEnergies, and the S&amp;P 500 Total Return Index) using market data for a period equal to the term of the performance period; correlates the simulated returns within the peer group to estimate a probable payout value; and discounts the probable payout value using a risk-free rate for Treasury bonds having a term equal to the performance period. Performance shares are paid in cash, and the cash payout, if any, is based on market conditions at the end of the performance period (January 2021 through December 2023). Payout is calculated in the manner described in footnote 2 to the “Option Exercises and Stock Vested in Fiscal Year 2021” table in this Proxy Statement. If the maximum level of performance were to be achieved for the performance shares granted in 2021, the grant date value would be $176.40 per share (200% of the grant date stock price), or $15,500,268 for Mr. Wirth; $5,196,744 for Mr. Johnson; and $4,002,516 for Messrs. Breber, Geagea, and Nelson.</w:t>
      </w:r>
    </w:p>
    <w:p>
      <w:pPr>
        <w:spacing w:after="0" w:line="40" w:lineRule="exact"/>
        <w:rPr>
          <w:sz w:val="20"/>
          <w:szCs w:val="20"/>
          <w:color w:val="auto"/>
        </w:rPr>
      </w:pPr>
    </w:p>
    <w:p>
      <w:pPr>
        <w:ind w:left="540" w:right="80"/>
        <w:spacing w:after="0" w:line="252" w:lineRule="auto"/>
        <w:rPr>
          <w:sz w:val="20"/>
          <w:szCs w:val="20"/>
          <w:color w:val="auto"/>
        </w:rPr>
      </w:pPr>
      <w:r>
        <w:rPr>
          <w:rFonts w:ascii="Arial" w:cs="Arial" w:eastAsia="Arial" w:hAnsi="Arial"/>
          <w:sz w:val="13"/>
          <w:szCs w:val="13"/>
          <w:color w:val="auto"/>
        </w:rPr>
        <w:t>The per-unit grant date fair value of the RSUs was $88.20, the closing price of Chevron common stock on the grant date. These RSUs earn dividend equivalents and are paid in cash upon vesting on January 31 following the fifth anniversary of the grant. For Mr. Geagea, the 2021 amount also includes the grant date fair value of additional RSUs granted under the LTIP on January 17, 2021. These additional RSUs earn dividend equivalents and are paid in cash upon vesting, on January 31 following the third anniversary of the grant. Total payout will be based on the Chevron common stock closing price on the vesting date.</w:t>
      </w:r>
    </w:p>
    <w:p>
      <w:pPr>
        <w:spacing w:after="0" w:line="34" w:lineRule="exact"/>
        <w:rPr>
          <w:sz w:val="20"/>
          <w:szCs w:val="20"/>
          <w:color w:val="auto"/>
        </w:rPr>
      </w:pPr>
    </w:p>
    <w:p>
      <w:pPr>
        <w:ind w:left="540" w:right="20"/>
        <w:spacing w:after="0" w:line="281" w:lineRule="auto"/>
        <w:rPr>
          <w:sz w:val="20"/>
          <w:szCs w:val="20"/>
          <w:color w:val="auto"/>
        </w:rPr>
      </w:pPr>
      <w:r>
        <w:rPr>
          <w:rFonts w:ascii="Arial" w:cs="Arial" w:eastAsia="Arial" w:hAnsi="Arial"/>
          <w:sz w:val="13"/>
          <w:szCs w:val="13"/>
          <w:color w:val="auto"/>
        </w:rPr>
        <w:t>The material terms of performance shares and RSUs granted in 2021 are described in the “Grants of Plan-Based Awards in Fiscal Year 2021” and “Outstanding Equity Awards at 2021 Fiscal Year-End” tables in this Proxy Statement.</w:t>
      </w:r>
    </w:p>
    <w:p>
      <w:pPr>
        <w:spacing w:after="0" w:line="14" w:lineRule="exact"/>
        <w:rPr>
          <w:sz w:val="20"/>
          <w:szCs w:val="20"/>
          <w:color w:val="auto"/>
        </w:rPr>
      </w:pPr>
    </w:p>
    <w:p>
      <w:pPr>
        <w:ind w:left="540" w:right="40" w:hanging="424"/>
        <w:spacing w:after="0" w:line="249" w:lineRule="auto"/>
        <w:tabs>
          <w:tab w:leader="none" w:pos="540" w:val="left"/>
        </w:tabs>
        <w:numPr>
          <w:ilvl w:val="0"/>
          <w:numId w:val="95"/>
        </w:numPr>
        <w:rPr>
          <w:rFonts w:ascii="Arial" w:cs="Arial" w:eastAsia="Arial" w:hAnsi="Arial"/>
          <w:sz w:val="13"/>
          <w:szCs w:val="13"/>
          <w:color w:val="auto"/>
        </w:rPr>
      </w:pPr>
      <w:r>
        <w:rPr>
          <w:rFonts w:ascii="Arial" w:cs="Arial" w:eastAsia="Arial" w:hAnsi="Arial"/>
          <w:sz w:val="13"/>
          <w:szCs w:val="13"/>
          <w:color w:val="auto"/>
        </w:rPr>
        <w:t>Amounts for each fiscal year reflect the aggregate grant date fair value of nonstatutory/nonqualified stock options granted under the LTIP on January 27, 2021. The per-option grant date fair value was $12.22. We calculate the grant date fair value of these stock options in accordance with ASC Topic 718, as described in Note 22, “Stock Options and Other Share-Based Compensation,” to the Consolidated Financial Statements contained in our Annual Report on Form 10-K for the year ended December 31, 2021. Stock options do not accrue dividends or dividend equivalents. For purposes of this table only, estimates of forfeitures related to service-based vesting conditions for awards have been disregarded.</w:t>
      </w:r>
    </w:p>
    <w:p>
      <w:pPr>
        <w:spacing w:after="0" w:line="189" w:lineRule="exact"/>
        <w:rPr>
          <w:rFonts w:ascii="Arial" w:cs="Arial" w:eastAsia="Arial" w:hAnsi="Arial"/>
          <w:sz w:val="13"/>
          <w:szCs w:val="13"/>
          <w:color w:val="auto"/>
        </w:rPr>
      </w:pPr>
    </w:p>
    <w:p>
      <w:pPr>
        <w:ind w:left="540" w:right="360"/>
        <w:spacing w:after="0" w:line="281" w:lineRule="auto"/>
        <w:rPr>
          <w:rFonts w:ascii="Arial" w:cs="Arial" w:eastAsia="Arial" w:hAnsi="Arial"/>
          <w:sz w:val="13"/>
          <w:szCs w:val="13"/>
          <w:color w:val="auto"/>
        </w:rPr>
      </w:pPr>
      <w:r>
        <w:rPr>
          <w:rFonts w:ascii="Arial" w:cs="Arial" w:eastAsia="Arial" w:hAnsi="Arial"/>
          <w:sz w:val="13"/>
          <w:szCs w:val="13"/>
          <w:color w:val="auto"/>
        </w:rPr>
        <w:t>The material terms of stock options granted in 2021 are described in the “Grants of Plan-Based Awards in Fiscal Year 2021” and “Outstanding Equity Awards at 2021 Fiscal Year-End” tables in this Proxy Statement.</w:t>
      </w:r>
    </w:p>
    <w:p>
      <w:pPr>
        <w:spacing w:after="0" w:line="14" w:lineRule="exact"/>
        <w:rPr>
          <w:rFonts w:ascii="Arial" w:cs="Arial" w:eastAsia="Arial" w:hAnsi="Arial"/>
          <w:sz w:val="13"/>
          <w:szCs w:val="13"/>
          <w:color w:val="auto"/>
        </w:rPr>
      </w:pPr>
    </w:p>
    <w:p>
      <w:pPr>
        <w:ind w:left="540" w:right="140" w:hanging="424"/>
        <w:spacing w:after="0" w:line="259" w:lineRule="auto"/>
        <w:tabs>
          <w:tab w:leader="none" w:pos="540" w:val="left"/>
        </w:tabs>
        <w:numPr>
          <w:ilvl w:val="0"/>
          <w:numId w:val="95"/>
        </w:numPr>
        <w:rPr>
          <w:rFonts w:ascii="Arial" w:cs="Arial" w:eastAsia="Arial" w:hAnsi="Arial"/>
          <w:sz w:val="13"/>
          <w:szCs w:val="13"/>
          <w:color w:val="auto"/>
        </w:rPr>
      </w:pPr>
      <w:r>
        <w:rPr>
          <w:rFonts w:ascii="Arial" w:cs="Arial" w:eastAsia="Arial" w:hAnsi="Arial"/>
          <w:sz w:val="13"/>
          <w:szCs w:val="13"/>
          <w:color w:val="auto"/>
        </w:rPr>
        <w:t>2021 amounts reflect CIP awards for the 2021 performance year that were paid in March 2022. Mr. Nelson elected to defer 25% of his CIP award to the DCP, or $450,000. See “Compensation Discussion and Analysis – Compensation Discussion and Analysis in Detail – Annual Incentive Plan (Chevron Incentive Plan)” for a detailed description of CIP awards.</w:t>
      </w:r>
    </w:p>
    <w:p>
      <w:pPr>
        <w:spacing w:after="0" w:line="29" w:lineRule="exact"/>
        <w:rPr>
          <w:rFonts w:ascii="Arial" w:cs="Arial" w:eastAsia="Arial" w:hAnsi="Arial"/>
          <w:sz w:val="13"/>
          <w:szCs w:val="13"/>
          <w:color w:val="auto"/>
        </w:rPr>
      </w:pPr>
    </w:p>
    <w:p>
      <w:pPr>
        <w:ind w:left="540" w:right="80" w:hanging="424"/>
        <w:spacing w:after="0" w:line="254" w:lineRule="auto"/>
        <w:tabs>
          <w:tab w:leader="none" w:pos="540" w:val="left"/>
        </w:tabs>
        <w:numPr>
          <w:ilvl w:val="0"/>
          <w:numId w:val="95"/>
        </w:numPr>
        <w:rPr>
          <w:rFonts w:ascii="Arial" w:cs="Arial" w:eastAsia="Arial" w:hAnsi="Arial"/>
          <w:sz w:val="13"/>
          <w:szCs w:val="13"/>
          <w:color w:val="auto"/>
        </w:rPr>
      </w:pPr>
      <w:r>
        <w:rPr>
          <w:rFonts w:ascii="Arial" w:cs="Arial" w:eastAsia="Arial" w:hAnsi="Arial"/>
          <w:sz w:val="13"/>
          <w:szCs w:val="13"/>
          <w:color w:val="auto"/>
        </w:rPr>
        <w:t>2021 amounts represent the aggregate change in the actuarial present value of the NEOs’ pension value for the Chevron Retirement Plan (CRP) and the Chevron Retirement Restoration Plan (RRP) from January 1, 2021, through December 31, 2021, expressed as a lump sum. The DCP and ESIP-RP do not pay above-market or preferential earnings and are not represented in this table. For purposes of this disclosure, we have used the same amounts required to be disclosed in the “Pension Benefits Table” in this Proxy Statement.</w:t>
      </w:r>
    </w:p>
    <w:p>
      <w:pPr>
        <w:spacing w:after="0" w:line="186"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3"/>
          <w:szCs w:val="13"/>
          <w:color w:val="auto"/>
        </w:rPr>
        <w:t>2021 changes in the actuarial present value of an NEO’s pension value are attributable to five factors:</w:t>
      </w:r>
    </w:p>
    <w:p>
      <w:pPr>
        <w:spacing w:after="0" w:line="64"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3"/>
          <w:szCs w:val="13"/>
          <w:b w:val="1"/>
          <w:bCs w:val="1"/>
          <w:color w:val="auto"/>
        </w:rPr>
        <w:t>Increases in highest average earnings (“HAE”)</w:t>
      </w:r>
    </w:p>
    <w:p>
      <w:pPr>
        <w:spacing w:after="0" w:line="68"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3"/>
          <w:szCs w:val="13"/>
          <w:color w:val="auto"/>
        </w:rPr>
        <w:t>HAE is the highest consecutive 36-month average base salary and CIP awards.</w:t>
      </w:r>
    </w:p>
    <w:p>
      <w:pPr>
        <w:spacing w:after="0" w:line="64"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3"/>
          <w:szCs w:val="13"/>
          <w:b w:val="1"/>
          <w:bCs w:val="1"/>
          <w:color w:val="auto"/>
        </w:rPr>
        <w:t>Interest rate impact</w:t>
      </w:r>
    </w:p>
    <w:p>
      <w:pPr>
        <w:spacing w:after="0" w:line="68" w:lineRule="exact"/>
        <w:rPr>
          <w:rFonts w:ascii="Arial" w:cs="Arial" w:eastAsia="Arial" w:hAnsi="Arial"/>
          <w:sz w:val="13"/>
          <w:szCs w:val="13"/>
          <w:color w:val="auto"/>
        </w:rPr>
      </w:pPr>
    </w:p>
    <w:p>
      <w:pPr>
        <w:ind w:left="540" w:right="120"/>
        <w:spacing w:after="0" w:line="252" w:lineRule="auto"/>
        <w:rPr>
          <w:rFonts w:ascii="Arial" w:cs="Arial" w:eastAsia="Arial" w:hAnsi="Arial"/>
          <w:sz w:val="13"/>
          <w:szCs w:val="13"/>
          <w:color w:val="auto"/>
        </w:rPr>
      </w:pPr>
      <w:r>
        <w:rPr>
          <w:rFonts w:ascii="Arial" w:cs="Arial" w:eastAsia="Arial" w:hAnsi="Arial"/>
          <w:sz w:val="13"/>
          <w:szCs w:val="13"/>
          <w:color w:val="auto"/>
        </w:rPr>
        <w:t>Generally, a higher interest rate produces a lower pension value, and a lower interest rate produces a higher pension value. The lump sum interest rates for determining the actuarial present values of the pension benefit are based on the Pension Protection Act of 2006 lump sum interest rates, and such rates were higher in 2021 than those used in 2020 by an average of 0.2 percentage points. In addition, the 2021 discount rate used to discount pension values from age 60 to an NEO’s current age, 2.8%, is higher than the 2020 discount rate of 2.4%.</w:t>
      </w:r>
    </w:p>
    <w:p>
      <w:pPr>
        <w:spacing w:after="0" w:line="31"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3"/>
          <w:szCs w:val="13"/>
          <w:b w:val="1"/>
          <w:bCs w:val="1"/>
          <w:color w:val="auto"/>
        </w:rPr>
        <w:t>An additional year of age</w:t>
      </w:r>
    </w:p>
    <w:p>
      <w:pPr>
        <w:spacing w:after="0" w:line="68" w:lineRule="exact"/>
        <w:rPr>
          <w:rFonts w:ascii="Arial" w:cs="Arial" w:eastAsia="Arial" w:hAnsi="Arial"/>
          <w:sz w:val="13"/>
          <w:szCs w:val="13"/>
          <w:color w:val="auto"/>
        </w:rPr>
      </w:pPr>
    </w:p>
    <w:p>
      <w:pPr>
        <w:ind w:left="540" w:right="40"/>
        <w:spacing w:after="0" w:line="259" w:lineRule="auto"/>
        <w:rPr>
          <w:rFonts w:ascii="Arial" w:cs="Arial" w:eastAsia="Arial" w:hAnsi="Arial"/>
          <w:sz w:val="13"/>
          <w:szCs w:val="13"/>
          <w:color w:val="auto"/>
        </w:rPr>
      </w:pPr>
      <w:r>
        <w:rPr>
          <w:rFonts w:ascii="Arial" w:cs="Arial" w:eastAsia="Arial" w:hAnsi="Arial"/>
          <w:sz w:val="13"/>
          <w:szCs w:val="13"/>
          <w:color w:val="auto"/>
        </w:rPr>
        <w:t>The CRP and RRP provide an unreduced benefit at age 60 for eligible participants. Generally, being a year older results in an increase in pension value due to a shorter discount period from the current age to the assumed retirement age of 60. Once an NEO reaches age 60, the discount rate no longer applies. Furthermore, the pension value can be negatively impacted when the assumed duration of future payments is shorter based on age and actuarial assumptions.</w:t>
      </w:r>
    </w:p>
    <w:p>
      <w:pPr>
        <w:spacing w:after="0" w:line="27"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3"/>
          <w:szCs w:val="13"/>
          <w:b w:val="1"/>
          <w:bCs w:val="1"/>
          <w:color w:val="auto"/>
        </w:rPr>
        <w:t>An additional year of benefit service earned in 2021</w:t>
      </w:r>
    </w:p>
    <w:p>
      <w:pPr>
        <w:spacing w:after="0" w:line="68"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3"/>
          <w:szCs w:val="13"/>
          <w:color w:val="auto"/>
        </w:rPr>
        <w:t>All of the NEOs worked for a full year in 2021; as a result, their pension benefits increased because they earned an additional year of benefit service.</w:t>
      </w:r>
    </w:p>
    <w:p>
      <w:pPr>
        <w:spacing w:after="0" w:line="64"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3"/>
          <w:szCs w:val="13"/>
          <w:b w:val="1"/>
          <w:bCs w:val="1"/>
          <w:color w:val="auto"/>
        </w:rPr>
        <w:t>Demographic assumptions</w:t>
      </w:r>
    </w:p>
    <w:p>
      <w:pPr>
        <w:spacing w:after="0" w:line="68"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3"/>
          <w:szCs w:val="13"/>
          <w:color w:val="auto"/>
        </w:rPr>
        <w:t>Current mortality tables are unchanged compared with 2020.</w:t>
      </w:r>
    </w:p>
    <w:p>
      <w:pPr>
        <w:spacing w:after="0" w:line="66"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3"/>
          <w:szCs w:val="13"/>
          <w:color w:val="auto"/>
        </w:rPr>
        <w:t>The following table provides a breakdown of the percent of change in the NEO’s pension:</w:t>
      </w:r>
    </w:p>
    <w:p>
      <w:pPr>
        <w:spacing w:after="0" w:line="133" w:lineRule="exact"/>
        <w:rPr>
          <w:sz w:val="20"/>
          <w:szCs w:val="20"/>
          <w:color w:val="auto"/>
        </w:rPr>
      </w:pPr>
    </w:p>
    <w:tbl>
      <w:tblPr>
        <w:tblLayout w:type="fixed"/>
        <w:tblInd w:w="570" w:type="dxa"/>
        <w:tblCellMar>
          <w:top w:w="0" w:type="dxa"/>
          <w:left w:w="0" w:type="dxa"/>
          <w:bottom w:w="0" w:type="dxa"/>
          <w:right w:w="0" w:type="dxa"/>
        </w:tblCellMar>
      </w:tblPr>
      <w:tr>
        <w:trPr>
          <w:trHeight w:val="175"/>
        </w:trPr>
        <w:tc>
          <w:tcPr>
            <w:tcW w:w="2920" w:type="dxa"/>
            <w:vAlign w:val="bottom"/>
            <w:tcBorders>
              <w:left w:val="single" w:sz="8" w:color="7F7F7F"/>
            </w:tcBorders>
            <w:shd w:val="clear" w:color="auto" w:fill="0066B2"/>
          </w:tcPr>
          <w:p>
            <w:pPr>
              <w:spacing w:after="0"/>
              <w:rPr>
                <w:sz w:val="15"/>
                <w:szCs w:val="15"/>
                <w:color w:val="auto"/>
              </w:rPr>
            </w:pPr>
          </w:p>
        </w:tc>
        <w:tc>
          <w:tcPr>
            <w:tcW w:w="1800" w:type="dxa"/>
            <w:vAlign w:val="bottom"/>
            <w:vMerge w:val="restart"/>
            <w:shd w:val="clear" w:color="auto" w:fill="0066B2"/>
          </w:tcPr>
          <w:p>
            <w:pPr>
              <w:jc w:val="center"/>
              <w:ind w:right="37"/>
              <w:spacing w:after="0"/>
              <w:rPr>
                <w:sz w:val="20"/>
                <w:szCs w:val="20"/>
                <w:color w:val="auto"/>
              </w:rPr>
            </w:pPr>
            <w:r>
              <w:rPr>
                <w:rFonts w:ascii="Arial" w:cs="Arial" w:eastAsia="Arial" w:hAnsi="Arial"/>
                <w:sz w:val="13"/>
                <w:szCs w:val="13"/>
                <w:b w:val="1"/>
                <w:bCs w:val="1"/>
                <w:color w:val="FFFFFF"/>
                <w:w w:val="95"/>
              </w:rPr>
              <w:t>Total percent</w:t>
            </w:r>
          </w:p>
        </w:tc>
        <w:tc>
          <w:tcPr>
            <w:tcW w:w="1320" w:type="dxa"/>
            <w:vAlign w:val="bottom"/>
            <w:shd w:val="clear" w:color="auto" w:fill="0066B2"/>
          </w:tcPr>
          <w:p>
            <w:pPr>
              <w:spacing w:after="0"/>
              <w:rPr>
                <w:sz w:val="15"/>
                <w:szCs w:val="15"/>
                <w:color w:val="auto"/>
              </w:rPr>
            </w:pPr>
          </w:p>
        </w:tc>
        <w:tc>
          <w:tcPr>
            <w:tcW w:w="1060" w:type="dxa"/>
            <w:vAlign w:val="bottom"/>
            <w:shd w:val="clear" w:color="auto" w:fill="0066B2"/>
          </w:tcPr>
          <w:p>
            <w:pPr>
              <w:spacing w:after="0"/>
              <w:rPr>
                <w:sz w:val="15"/>
                <w:szCs w:val="15"/>
                <w:color w:val="auto"/>
              </w:rPr>
            </w:pPr>
          </w:p>
        </w:tc>
        <w:tc>
          <w:tcPr>
            <w:tcW w:w="1220" w:type="dxa"/>
            <w:vAlign w:val="bottom"/>
            <w:shd w:val="clear" w:color="auto" w:fill="0066B2"/>
          </w:tcPr>
          <w:p>
            <w:pPr>
              <w:jc w:val="right"/>
              <w:ind w:right="177"/>
              <w:spacing w:after="0"/>
              <w:rPr>
                <w:sz w:val="20"/>
                <w:szCs w:val="20"/>
                <w:color w:val="auto"/>
              </w:rPr>
            </w:pPr>
            <w:r>
              <w:rPr>
                <w:rFonts w:ascii="Arial" w:cs="Arial" w:eastAsia="Arial" w:hAnsi="Arial"/>
                <w:sz w:val="13"/>
                <w:szCs w:val="13"/>
                <w:b w:val="1"/>
                <w:bCs w:val="1"/>
                <w:color w:val="FFFFFF"/>
              </w:rPr>
              <w:t>Factors</w:t>
            </w:r>
          </w:p>
        </w:tc>
        <w:tc>
          <w:tcPr>
            <w:tcW w:w="1240" w:type="dxa"/>
            <w:vAlign w:val="bottom"/>
            <w:shd w:val="clear" w:color="auto" w:fill="0066B2"/>
          </w:tcPr>
          <w:p>
            <w:pPr>
              <w:spacing w:after="0"/>
              <w:rPr>
                <w:sz w:val="15"/>
                <w:szCs w:val="15"/>
                <w:color w:val="auto"/>
              </w:rPr>
            </w:pPr>
          </w:p>
        </w:tc>
        <w:tc>
          <w:tcPr>
            <w:tcW w:w="1040" w:type="dxa"/>
            <w:vAlign w:val="bottom"/>
            <w:tcBorders>
              <w:right w:val="single" w:sz="8" w:color="7F7F7F"/>
            </w:tcBorders>
            <w:shd w:val="clear" w:color="auto" w:fill="0066B2"/>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20" w:type="dxa"/>
            <w:vAlign w:val="bottom"/>
            <w:tcBorders>
              <w:left w:val="single" w:sz="8" w:color="7F7F7F"/>
            </w:tcBorders>
            <w:shd w:val="clear" w:color="auto" w:fill="0066B2"/>
          </w:tcPr>
          <w:p>
            <w:pPr>
              <w:spacing w:after="0"/>
              <w:rPr>
                <w:sz w:val="10"/>
                <w:szCs w:val="10"/>
                <w:color w:val="auto"/>
              </w:rPr>
            </w:pPr>
          </w:p>
        </w:tc>
        <w:tc>
          <w:tcPr>
            <w:tcW w:w="1800" w:type="dxa"/>
            <w:vAlign w:val="bottom"/>
            <w:vMerge w:val="continue"/>
            <w:shd w:val="clear" w:color="auto" w:fill="0066B2"/>
          </w:tcPr>
          <w:p>
            <w:pPr>
              <w:spacing w:after="0"/>
              <w:rPr>
                <w:sz w:val="10"/>
                <w:szCs w:val="10"/>
                <w:color w:val="auto"/>
              </w:rPr>
            </w:pPr>
          </w:p>
        </w:tc>
        <w:tc>
          <w:tcPr>
            <w:tcW w:w="1320" w:type="dxa"/>
            <w:vAlign w:val="bottom"/>
            <w:shd w:val="clear" w:color="auto" w:fill="0066B2"/>
          </w:tcPr>
          <w:p>
            <w:pPr>
              <w:spacing w:after="0"/>
              <w:rPr>
                <w:sz w:val="10"/>
                <w:szCs w:val="10"/>
                <w:color w:val="auto"/>
              </w:rPr>
            </w:pPr>
          </w:p>
        </w:tc>
        <w:tc>
          <w:tcPr>
            <w:tcW w:w="1060" w:type="dxa"/>
            <w:vAlign w:val="bottom"/>
            <w:shd w:val="clear" w:color="auto" w:fill="0066B2"/>
          </w:tcPr>
          <w:p>
            <w:pPr>
              <w:spacing w:after="0"/>
              <w:rPr>
                <w:sz w:val="10"/>
                <w:szCs w:val="10"/>
                <w:color w:val="auto"/>
              </w:rPr>
            </w:pPr>
          </w:p>
        </w:tc>
        <w:tc>
          <w:tcPr>
            <w:tcW w:w="1220" w:type="dxa"/>
            <w:vAlign w:val="bottom"/>
            <w:shd w:val="clear" w:color="auto" w:fill="0066B2"/>
          </w:tcPr>
          <w:p>
            <w:pPr>
              <w:spacing w:after="0"/>
              <w:rPr>
                <w:sz w:val="10"/>
                <w:szCs w:val="10"/>
                <w:color w:val="auto"/>
              </w:rPr>
            </w:pPr>
          </w:p>
        </w:tc>
        <w:tc>
          <w:tcPr>
            <w:tcW w:w="1240" w:type="dxa"/>
            <w:vAlign w:val="bottom"/>
            <w:shd w:val="clear" w:color="auto" w:fill="0066B2"/>
          </w:tcPr>
          <w:p>
            <w:pPr>
              <w:spacing w:after="0"/>
              <w:rPr>
                <w:sz w:val="10"/>
                <w:szCs w:val="10"/>
                <w:color w:val="auto"/>
              </w:rPr>
            </w:pPr>
          </w:p>
        </w:tc>
        <w:tc>
          <w:tcPr>
            <w:tcW w:w="1040" w:type="dxa"/>
            <w:vAlign w:val="bottom"/>
            <w:tcBorders>
              <w:right w:val="single" w:sz="8" w:color="7F7F7F"/>
            </w:tcBorders>
            <w:vMerge w:val="restart"/>
            <w:shd w:val="clear" w:color="auto" w:fill="0066B2"/>
          </w:tcPr>
          <w:p>
            <w:pPr>
              <w:jc w:val="center"/>
              <w:ind w:left="37"/>
              <w:spacing w:after="0"/>
              <w:rPr>
                <w:sz w:val="20"/>
                <w:szCs w:val="20"/>
                <w:color w:val="auto"/>
              </w:rPr>
            </w:pPr>
            <w:r>
              <w:rPr>
                <w:rFonts w:ascii="Arial" w:cs="Arial" w:eastAsia="Arial" w:hAnsi="Arial"/>
                <w:sz w:val="13"/>
                <w:szCs w:val="13"/>
                <w:b w:val="1"/>
                <w:bCs w:val="1"/>
                <w:color w:val="FFFFFF"/>
                <w:w w:val="98"/>
              </w:rPr>
              <w:t>Demographic</w:t>
            </w:r>
          </w:p>
        </w:tc>
        <w:tc>
          <w:tcPr>
            <w:tcW w:w="0" w:type="dxa"/>
            <w:vAlign w:val="bottom"/>
          </w:tcPr>
          <w:p>
            <w:pPr>
              <w:spacing w:after="0"/>
              <w:rPr>
                <w:sz w:val="1"/>
                <w:szCs w:val="1"/>
                <w:color w:val="auto"/>
              </w:rPr>
            </w:pPr>
          </w:p>
        </w:tc>
      </w:tr>
      <w:tr>
        <w:trPr>
          <w:trHeight w:val="135"/>
        </w:trPr>
        <w:tc>
          <w:tcPr>
            <w:tcW w:w="2920" w:type="dxa"/>
            <w:vAlign w:val="bottom"/>
            <w:tcBorders>
              <w:left w:val="single" w:sz="8" w:color="7F7F7F"/>
            </w:tcBorders>
            <w:shd w:val="clear" w:color="auto" w:fill="0066B2"/>
          </w:tcPr>
          <w:p>
            <w:pPr>
              <w:spacing w:after="0"/>
              <w:rPr>
                <w:sz w:val="11"/>
                <w:szCs w:val="11"/>
                <w:color w:val="auto"/>
              </w:rPr>
            </w:pPr>
          </w:p>
        </w:tc>
        <w:tc>
          <w:tcPr>
            <w:tcW w:w="1800" w:type="dxa"/>
            <w:vAlign w:val="bottom"/>
            <w:shd w:val="clear" w:color="auto" w:fill="0066B2"/>
          </w:tcPr>
          <w:p>
            <w:pPr>
              <w:jc w:val="center"/>
              <w:ind w:right="57"/>
              <w:spacing w:after="0" w:line="135" w:lineRule="exact"/>
              <w:rPr>
                <w:sz w:val="20"/>
                <w:szCs w:val="20"/>
                <w:color w:val="auto"/>
              </w:rPr>
            </w:pPr>
            <w:r>
              <w:rPr>
                <w:rFonts w:ascii="Arial" w:cs="Arial" w:eastAsia="Arial" w:hAnsi="Arial"/>
                <w:sz w:val="13"/>
                <w:szCs w:val="13"/>
                <w:b w:val="1"/>
                <w:bCs w:val="1"/>
                <w:color w:val="FFFFFF"/>
                <w:w w:val="98"/>
              </w:rPr>
              <w:t>change in</w:t>
            </w:r>
          </w:p>
        </w:tc>
        <w:tc>
          <w:tcPr>
            <w:tcW w:w="1320" w:type="dxa"/>
            <w:vAlign w:val="bottom"/>
            <w:shd w:val="clear" w:color="auto" w:fill="0066B2"/>
          </w:tcPr>
          <w:p>
            <w:pPr>
              <w:spacing w:after="0"/>
              <w:rPr>
                <w:sz w:val="11"/>
                <w:szCs w:val="11"/>
                <w:color w:val="auto"/>
              </w:rPr>
            </w:pPr>
          </w:p>
        </w:tc>
        <w:tc>
          <w:tcPr>
            <w:tcW w:w="1060" w:type="dxa"/>
            <w:vAlign w:val="bottom"/>
            <w:vMerge w:val="restart"/>
            <w:shd w:val="clear" w:color="auto" w:fill="0066B2"/>
          </w:tcPr>
          <w:p>
            <w:pPr>
              <w:jc w:val="center"/>
              <w:spacing w:after="0"/>
              <w:rPr>
                <w:sz w:val="20"/>
                <w:szCs w:val="20"/>
                <w:color w:val="auto"/>
              </w:rPr>
            </w:pPr>
            <w:r>
              <w:rPr>
                <w:rFonts w:ascii="Arial" w:cs="Arial" w:eastAsia="Arial" w:hAnsi="Arial"/>
                <w:sz w:val="13"/>
                <w:szCs w:val="13"/>
                <w:b w:val="1"/>
                <w:bCs w:val="1"/>
                <w:color w:val="FFFFFF"/>
                <w:w w:val="96"/>
              </w:rPr>
              <w:t>Interest rate</w:t>
            </w:r>
          </w:p>
        </w:tc>
        <w:tc>
          <w:tcPr>
            <w:tcW w:w="1220" w:type="dxa"/>
            <w:vAlign w:val="bottom"/>
            <w:vMerge w:val="restart"/>
            <w:shd w:val="clear" w:color="auto" w:fill="0066B2"/>
          </w:tcPr>
          <w:p>
            <w:pPr>
              <w:jc w:val="right"/>
              <w:ind w:right="97"/>
              <w:spacing w:after="0"/>
              <w:rPr>
                <w:sz w:val="20"/>
                <w:szCs w:val="20"/>
                <w:color w:val="auto"/>
              </w:rPr>
            </w:pPr>
            <w:r>
              <w:rPr>
                <w:rFonts w:ascii="Arial" w:cs="Arial" w:eastAsia="Arial" w:hAnsi="Arial"/>
                <w:sz w:val="13"/>
                <w:szCs w:val="13"/>
                <w:b w:val="1"/>
                <w:bCs w:val="1"/>
                <w:color w:val="FFFFFF"/>
              </w:rPr>
              <w:t>One additional</w:t>
            </w:r>
          </w:p>
        </w:tc>
        <w:tc>
          <w:tcPr>
            <w:tcW w:w="1240" w:type="dxa"/>
            <w:vAlign w:val="bottom"/>
            <w:vMerge w:val="restart"/>
            <w:shd w:val="clear" w:color="auto" w:fill="0066B2"/>
          </w:tcPr>
          <w:p>
            <w:pPr>
              <w:jc w:val="center"/>
              <w:spacing w:after="0"/>
              <w:rPr>
                <w:sz w:val="20"/>
                <w:szCs w:val="20"/>
                <w:color w:val="auto"/>
              </w:rPr>
            </w:pPr>
            <w:r>
              <w:rPr>
                <w:rFonts w:ascii="Arial" w:cs="Arial" w:eastAsia="Arial" w:hAnsi="Arial"/>
                <w:sz w:val="13"/>
                <w:szCs w:val="13"/>
                <w:b w:val="1"/>
                <w:bCs w:val="1"/>
                <w:color w:val="FFFFFF"/>
                <w:w w:val="97"/>
              </w:rPr>
              <w:t>One additional</w:t>
            </w:r>
          </w:p>
        </w:tc>
        <w:tc>
          <w:tcPr>
            <w:tcW w:w="1040" w:type="dxa"/>
            <w:vAlign w:val="bottom"/>
            <w:tcBorders>
              <w:right w:val="single" w:sz="8" w:color="7F7F7F"/>
            </w:tcBorders>
            <w:vMerge w:val="continue"/>
            <w:shd w:val="clear" w:color="auto" w:fill="0066B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Borders>
              <w:left w:val="single" w:sz="8" w:color="7F7F7F"/>
            </w:tcBorders>
            <w:vMerge w:val="restart"/>
            <w:shd w:val="clear" w:color="auto" w:fill="0066B2"/>
          </w:tcPr>
          <w:p>
            <w:pPr>
              <w:ind w:left="160"/>
              <w:spacing w:after="0"/>
              <w:rPr>
                <w:sz w:val="20"/>
                <w:szCs w:val="20"/>
                <w:color w:val="auto"/>
              </w:rPr>
            </w:pPr>
            <w:r>
              <w:rPr>
                <w:rFonts w:ascii="Arial" w:cs="Arial" w:eastAsia="Arial" w:hAnsi="Arial"/>
                <w:sz w:val="13"/>
                <w:szCs w:val="13"/>
                <w:b w:val="1"/>
                <w:bCs w:val="1"/>
                <w:color w:val="FFFFFF"/>
              </w:rPr>
              <w:t>Name</w:t>
            </w:r>
          </w:p>
        </w:tc>
        <w:tc>
          <w:tcPr>
            <w:tcW w:w="1800" w:type="dxa"/>
            <w:vAlign w:val="bottom"/>
            <w:shd w:val="clear" w:color="auto" w:fill="0066B2"/>
          </w:tcPr>
          <w:p>
            <w:pPr>
              <w:jc w:val="center"/>
              <w:ind w:right="57"/>
              <w:spacing w:after="0" w:line="135" w:lineRule="exact"/>
              <w:rPr>
                <w:sz w:val="20"/>
                <w:szCs w:val="20"/>
                <w:color w:val="auto"/>
              </w:rPr>
            </w:pPr>
            <w:r>
              <w:rPr>
                <w:rFonts w:ascii="Arial" w:cs="Arial" w:eastAsia="Arial" w:hAnsi="Arial"/>
                <w:sz w:val="13"/>
                <w:szCs w:val="13"/>
                <w:b w:val="1"/>
                <w:bCs w:val="1"/>
                <w:color w:val="FFFFFF"/>
                <w:w w:val="97"/>
              </w:rPr>
              <w:t>pension value,</w:t>
            </w:r>
          </w:p>
        </w:tc>
        <w:tc>
          <w:tcPr>
            <w:tcW w:w="1320" w:type="dxa"/>
            <w:vAlign w:val="bottom"/>
            <w:vMerge w:val="restart"/>
            <w:shd w:val="clear" w:color="auto" w:fill="0066B2"/>
          </w:tcPr>
          <w:p>
            <w:pPr>
              <w:jc w:val="center"/>
              <w:ind w:left="237"/>
              <w:spacing w:after="0"/>
              <w:rPr>
                <w:sz w:val="20"/>
                <w:szCs w:val="20"/>
                <w:color w:val="auto"/>
              </w:rPr>
            </w:pPr>
            <w:r>
              <w:rPr>
                <w:rFonts w:ascii="Arial" w:cs="Arial" w:eastAsia="Arial" w:hAnsi="Arial"/>
                <w:sz w:val="13"/>
                <w:szCs w:val="13"/>
                <w:b w:val="1"/>
                <w:bCs w:val="1"/>
                <w:color w:val="FFFFFF"/>
                <w:w w:val="96"/>
              </w:rPr>
              <w:t>Higher HAE</w:t>
            </w:r>
          </w:p>
        </w:tc>
        <w:tc>
          <w:tcPr>
            <w:tcW w:w="1060" w:type="dxa"/>
            <w:vAlign w:val="bottom"/>
            <w:vMerge w:val="continue"/>
            <w:shd w:val="clear" w:color="auto" w:fill="0066B2"/>
          </w:tcPr>
          <w:p>
            <w:pPr>
              <w:spacing w:after="0"/>
              <w:rPr>
                <w:sz w:val="11"/>
                <w:szCs w:val="11"/>
                <w:color w:val="auto"/>
              </w:rPr>
            </w:pPr>
          </w:p>
        </w:tc>
        <w:tc>
          <w:tcPr>
            <w:tcW w:w="1220" w:type="dxa"/>
            <w:vAlign w:val="bottom"/>
            <w:vMerge w:val="continue"/>
            <w:shd w:val="clear" w:color="auto" w:fill="0066B2"/>
          </w:tcPr>
          <w:p>
            <w:pPr>
              <w:spacing w:after="0"/>
              <w:rPr>
                <w:sz w:val="11"/>
                <w:szCs w:val="11"/>
                <w:color w:val="auto"/>
              </w:rPr>
            </w:pPr>
          </w:p>
        </w:tc>
        <w:tc>
          <w:tcPr>
            <w:tcW w:w="1240" w:type="dxa"/>
            <w:vAlign w:val="bottom"/>
            <w:vMerge w:val="continue"/>
            <w:shd w:val="clear" w:color="auto" w:fill="0066B2"/>
          </w:tcPr>
          <w:p>
            <w:pPr>
              <w:spacing w:after="0"/>
              <w:rPr>
                <w:sz w:val="11"/>
                <w:szCs w:val="11"/>
                <w:color w:val="auto"/>
              </w:rPr>
            </w:pPr>
          </w:p>
        </w:tc>
        <w:tc>
          <w:tcPr>
            <w:tcW w:w="1040" w:type="dxa"/>
            <w:vAlign w:val="bottom"/>
            <w:tcBorders>
              <w:right w:val="single" w:sz="8" w:color="7F7F7F"/>
            </w:tcBorders>
            <w:shd w:val="clear" w:color="auto" w:fill="0066B2"/>
          </w:tcPr>
          <w:p>
            <w:pPr>
              <w:jc w:val="center"/>
              <w:ind w:left="37"/>
              <w:spacing w:after="0" w:line="135" w:lineRule="exact"/>
              <w:rPr>
                <w:sz w:val="20"/>
                <w:szCs w:val="20"/>
                <w:color w:val="auto"/>
              </w:rPr>
            </w:pPr>
            <w:r>
              <w:rPr>
                <w:rFonts w:ascii="Arial" w:cs="Arial" w:eastAsia="Arial" w:hAnsi="Arial"/>
                <w:sz w:val="13"/>
                <w:szCs w:val="13"/>
                <w:b w:val="1"/>
                <w:bCs w:val="1"/>
                <w:color w:val="FFFFFF"/>
                <w:w w:val="95"/>
              </w:rPr>
              <w:t>assumption</w:t>
            </w:r>
          </w:p>
        </w:tc>
        <w:tc>
          <w:tcPr>
            <w:tcW w:w="0" w:type="dxa"/>
            <w:vAlign w:val="bottom"/>
          </w:tcPr>
          <w:p>
            <w:pPr>
              <w:spacing w:after="0"/>
              <w:rPr>
                <w:sz w:val="1"/>
                <w:szCs w:val="1"/>
                <w:color w:val="auto"/>
              </w:rPr>
            </w:pPr>
          </w:p>
        </w:tc>
      </w:tr>
      <w:tr>
        <w:trPr>
          <w:trHeight w:val="180"/>
        </w:trPr>
        <w:tc>
          <w:tcPr>
            <w:tcW w:w="2920" w:type="dxa"/>
            <w:vAlign w:val="bottom"/>
            <w:tcBorders>
              <w:left w:val="single" w:sz="8" w:color="7F7F7F"/>
            </w:tcBorders>
            <w:vMerge w:val="continue"/>
            <w:shd w:val="clear" w:color="auto" w:fill="0066B2"/>
          </w:tcPr>
          <w:p>
            <w:pPr>
              <w:spacing w:after="0"/>
              <w:rPr>
                <w:sz w:val="15"/>
                <w:szCs w:val="15"/>
                <w:color w:val="auto"/>
              </w:rPr>
            </w:pPr>
          </w:p>
        </w:tc>
        <w:tc>
          <w:tcPr>
            <w:tcW w:w="1800" w:type="dxa"/>
            <w:vAlign w:val="bottom"/>
            <w:shd w:val="clear" w:color="auto" w:fill="0066B2"/>
          </w:tcPr>
          <w:p>
            <w:pPr>
              <w:jc w:val="center"/>
              <w:ind w:right="57"/>
              <w:spacing w:after="0"/>
              <w:rPr>
                <w:sz w:val="20"/>
                <w:szCs w:val="20"/>
                <w:color w:val="auto"/>
              </w:rPr>
            </w:pPr>
            <w:r>
              <w:rPr>
                <w:rFonts w:ascii="Arial" w:cs="Arial" w:eastAsia="Arial" w:hAnsi="Arial"/>
                <w:sz w:val="13"/>
                <w:szCs w:val="13"/>
                <w:b w:val="1"/>
                <w:bCs w:val="1"/>
                <w:color w:val="FFFFFF"/>
                <w:w w:val="97"/>
              </w:rPr>
              <w:t>Jan.-Dec. 2021</w:t>
            </w:r>
            <w:r>
              <w:rPr>
                <w:rFonts w:ascii="Arial" w:cs="Arial" w:eastAsia="Arial" w:hAnsi="Arial"/>
                <w:sz w:val="10"/>
                <w:szCs w:val="10"/>
                <w:b w:val="1"/>
                <w:bCs w:val="1"/>
                <w:color w:val="FFFFFF"/>
                <w:w w:val="97"/>
              </w:rPr>
              <w:t>(a)</w:t>
            </w:r>
          </w:p>
        </w:tc>
        <w:tc>
          <w:tcPr>
            <w:tcW w:w="1320" w:type="dxa"/>
            <w:vAlign w:val="bottom"/>
            <w:vMerge w:val="continue"/>
            <w:shd w:val="clear" w:color="auto" w:fill="0066B2"/>
          </w:tcPr>
          <w:p>
            <w:pPr>
              <w:spacing w:after="0"/>
              <w:rPr>
                <w:sz w:val="15"/>
                <w:szCs w:val="15"/>
                <w:color w:val="auto"/>
              </w:rPr>
            </w:pPr>
          </w:p>
        </w:tc>
        <w:tc>
          <w:tcPr>
            <w:tcW w:w="1060" w:type="dxa"/>
            <w:vAlign w:val="bottom"/>
            <w:shd w:val="clear" w:color="auto" w:fill="0066B2"/>
          </w:tcPr>
          <w:p>
            <w:pPr>
              <w:jc w:val="center"/>
              <w:spacing w:after="0"/>
              <w:rPr>
                <w:sz w:val="20"/>
                <w:szCs w:val="20"/>
                <w:color w:val="auto"/>
              </w:rPr>
            </w:pPr>
            <w:r>
              <w:rPr>
                <w:rFonts w:ascii="Arial" w:cs="Arial" w:eastAsia="Arial" w:hAnsi="Arial"/>
                <w:sz w:val="13"/>
                <w:szCs w:val="13"/>
                <w:b w:val="1"/>
                <w:bCs w:val="1"/>
                <w:color w:val="FFFFFF"/>
                <w:w w:val="95"/>
              </w:rPr>
              <w:t>impact</w:t>
            </w:r>
          </w:p>
        </w:tc>
        <w:tc>
          <w:tcPr>
            <w:tcW w:w="1220" w:type="dxa"/>
            <w:vAlign w:val="bottom"/>
            <w:shd w:val="clear" w:color="auto" w:fill="0066B2"/>
          </w:tcPr>
          <w:p>
            <w:pPr>
              <w:jc w:val="right"/>
              <w:ind w:right="217"/>
              <w:spacing w:after="0"/>
              <w:rPr>
                <w:sz w:val="20"/>
                <w:szCs w:val="20"/>
                <w:color w:val="auto"/>
              </w:rPr>
            </w:pPr>
            <w:r>
              <w:rPr>
                <w:rFonts w:ascii="Arial" w:cs="Arial" w:eastAsia="Arial" w:hAnsi="Arial"/>
                <w:sz w:val="13"/>
                <w:szCs w:val="13"/>
                <w:b w:val="1"/>
                <w:bCs w:val="1"/>
                <w:color w:val="FFFFFF"/>
              </w:rPr>
              <w:t>year of age</w:t>
            </w:r>
          </w:p>
        </w:tc>
        <w:tc>
          <w:tcPr>
            <w:tcW w:w="1240" w:type="dxa"/>
            <w:vAlign w:val="bottom"/>
            <w:shd w:val="clear" w:color="auto" w:fill="0066B2"/>
          </w:tcPr>
          <w:p>
            <w:pPr>
              <w:jc w:val="center"/>
              <w:spacing w:after="0"/>
              <w:rPr>
                <w:sz w:val="20"/>
                <w:szCs w:val="20"/>
                <w:color w:val="auto"/>
              </w:rPr>
            </w:pPr>
            <w:r>
              <w:rPr>
                <w:rFonts w:ascii="Arial" w:cs="Arial" w:eastAsia="Arial" w:hAnsi="Arial"/>
                <w:sz w:val="13"/>
                <w:szCs w:val="13"/>
                <w:b w:val="1"/>
                <w:bCs w:val="1"/>
                <w:color w:val="FFFFFF"/>
                <w:w w:val="96"/>
              </w:rPr>
              <w:t>year of service</w:t>
            </w:r>
          </w:p>
        </w:tc>
        <w:tc>
          <w:tcPr>
            <w:tcW w:w="1040" w:type="dxa"/>
            <w:vAlign w:val="bottom"/>
            <w:tcBorders>
              <w:right w:val="single" w:sz="8" w:color="7F7F7F"/>
            </w:tcBorders>
            <w:shd w:val="clear" w:color="auto" w:fill="0066B2"/>
          </w:tcPr>
          <w:p>
            <w:pPr>
              <w:jc w:val="center"/>
              <w:ind w:left="37"/>
              <w:spacing w:after="0"/>
              <w:rPr>
                <w:sz w:val="20"/>
                <w:szCs w:val="20"/>
                <w:color w:val="auto"/>
              </w:rPr>
            </w:pPr>
            <w:r>
              <w:rPr>
                <w:rFonts w:ascii="Arial" w:cs="Arial" w:eastAsia="Arial" w:hAnsi="Arial"/>
                <w:sz w:val="13"/>
                <w:szCs w:val="13"/>
                <w:b w:val="1"/>
                <w:bCs w:val="1"/>
                <w:color w:val="FFFFFF"/>
                <w:w w:val="94"/>
              </w:rPr>
              <w:t>changes</w:t>
            </w:r>
          </w:p>
        </w:tc>
        <w:tc>
          <w:tcPr>
            <w:tcW w:w="0" w:type="dxa"/>
            <w:vAlign w:val="bottom"/>
          </w:tcPr>
          <w:p>
            <w:pPr>
              <w:spacing w:after="0"/>
              <w:rPr>
                <w:sz w:val="1"/>
                <w:szCs w:val="1"/>
                <w:color w:val="auto"/>
              </w:rPr>
            </w:pPr>
          </w:p>
        </w:tc>
      </w:tr>
      <w:tr>
        <w:trPr>
          <w:trHeight w:val="162"/>
        </w:trPr>
        <w:tc>
          <w:tcPr>
            <w:tcW w:w="292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3"/>
                <w:szCs w:val="13"/>
                <w:color w:val="auto"/>
              </w:rPr>
              <w:t>M.K. Wirth</w:t>
            </w:r>
          </w:p>
        </w:tc>
        <w:tc>
          <w:tcPr>
            <w:tcW w:w="1800" w:type="dxa"/>
            <w:vAlign w:val="bottom"/>
            <w:shd w:val="clear" w:color="auto" w:fill="D8D8D8"/>
          </w:tcPr>
          <w:p>
            <w:pPr>
              <w:jc w:val="right"/>
              <w:ind w:right="717"/>
              <w:spacing w:after="0"/>
              <w:rPr>
                <w:sz w:val="20"/>
                <w:szCs w:val="20"/>
                <w:color w:val="auto"/>
              </w:rPr>
            </w:pPr>
            <w:r>
              <w:rPr>
                <w:rFonts w:ascii="Arial" w:cs="Arial" w:eastAsia="Arial" w:hAnsi="Arial"/>
                <w:sz w:val="13"/>
                <w:szCs w:val="13"/>
                <w:color w:val="auto"/>
              </w:rPr>
              <w:t>(1.5%)</w:t>
            </w:r>
          </w:p>
        </w:tc>
        <w:tc>
          <w:tcPr>
            <w:tcW w:w="1320" w:type="dxa"/>
            <w:vAlign w:val="bottom"/>
            <w:shd w:val="clear" w:color="auto" w:fill="D8D8D8"/>
          </w:tcPr>
          <w:p>
            <w:pPr>
              <w:jc w:val="center"/>
              <w:ind w:left="217"/>
              <w:spacing w:after="0"/>
              <w:rPr>
                <w:sz w:val="20"/>
                <w:szCs w:val="20"/>
                <w:color w:val="auto"/>
              </w:rPr>
            </w:pPr>
            <w:r>
              <w:rPr>
                <w:rFonts w:ascii="Arial" w:cs="Arial" w:eastAsia="Arial" w:hAnsi="Arial"/>
                <w:sz w:val="13"/>
                <w:szCs w:val="13"/>
                <w:color w:val="auto"/>
                <w:w w:val="94"/>
              </w:rPr>
              <w:t>0.4%</w:t>
            </w:r>
          </w:p>
        </w:tc>
        <w:tc>
          <w:tcPr>
            <w:tcW w:w="1060" w:type="dxa"/>
            <w:vAlign w:val="bottom"/>
            <w:shd w:val="clear" w:color="auto" w:fill="D8D8D8"/>
          </w:tcPr>
          <w:p>
            <w:pPr>
              <w:jc w:val="center"/>
              <w:spacing w:after="0"/>
              <w:rPr>
                <w:sz w:val="20"/>
                <w:szCs w:val="20"/>
                <w:color w:val="auto"/>
              </w:rPr>
            </w:pPr>
            <w:r>
              <w:rPr>
                <w:rFonts w:ascii="Arial" w:cs="Arial" w:eastAsia="Arial" w:hAnsi="Arial"/>
                <w:sz w:val="13"/>
                <w:szCs w:val="13"/>
                <w:color w:val="auto"/>
                <w:w w:val="93"/>
              </w:rPr>
              <w:t>(2.4%)</w:t>
            </w:r>
          </w:p>
        </w:tc>
        <w:tc>
          <w:tcPr>
            <w:tcW w:w="1220" w:type="dxa"/>
            <w:vAlign w:val="bottom"/>
            <w:shd w:val="clear" w:color="auto" w:fill="D8D8D8"/>
          </w:tcPr>
          <w:p>
            <w:pPr>
              <w:jc w:val="right"/>
              <w:ind w:right="357"/>
              <w:spacing w:after="0"/>
              <w:rPr>
                <w:sz w:val="20"/>
                <w:szCs w:val="20"/>
                <w:color w:val="auto"/>
              </w:rPr>
            </w:pPr>
            <w:r>
              <w:rPr>
                <w:rFonts w:ascii="Arial" w:cs="Arial" w:eastAsia="Arial" w:hAnsi="Arial"/>
                <w:sz w:val="13"/>
                <w:szCs w:val="13"/>
                <w:color w:val="auto"/>
              </w:rPr>
              <w:t>(2.3%)</w:t>
            </w:r>
          </w:p>
        </w:tc>
        <w:tc>
          <w:tcPr>
            <w:tcW w:w="1240" w:type="dxa"/>
            <w:vAlign w:val="bottom"/>
            <w:shd w:val="clear" w:color="auto" w:fill="D8D8D8"/>
          </w:tcPr>
          <w:p>
            <w:pPr>
              <w:jc w:val="center"/>
              <w:spacing w:after="0"/>
              <w:rPr>
                <w:sz w:val="20"/>
                <w:szCs w:val="20"/>
                <w:color w:val="auto"/>
              </w:rPr>
            </w:pPr>
            <w:r>
              <w:rPr>
                <w:rFonts w:ascii="Arial" w:cs="Arial" w:eastAsia="Arial" w:hAnsi="Arial"/>
                <w:sz w:val="13"/>
                <w:szCs w:val="13"/>
                <w:color w:val="auto"/>
                <w:w w:val="94"/>
              </w:rPr>
              <w:t>2.8%</w:t>
            </w:r>
          </w:p>
        </w:tc>
        <w:tc>
          <w:tcPr>
            <w:tcW w:w="1040" w:type="dxa"/>
            <w:vAlign w:val="bottom"/>
            <w:tcBorders>
              <w:right w:val="single" w:sz="8" w:color="7F7F7F"/>
            </w:tcBorders>
            <w:shd w:val="clear" w:color="auto" w:fill="D8D8D8"/>
          </w:tcPr>
          <w:p>
            <w:pPr>
              <w:jc w:val="center"/>
              <w:ind w:left="77"/>
              <w:spacing w:after="0"/>
              <w:rPr>
                <w:sz w:val="20"/>
                <w:szCs w:val="20"/>
                <w:color w:val="auto"/>
              </w:rPr>
            </w:pPr>
            <w:r>
              <w:rPr>
                <w:rFonts w:ascii="Arial" w:cs="Arial" w:eastAsia="Arial" w:hAnsi="Arial"/>
                <w:sz w:val="13"/>
                <w:szCs w:val="13"/>
                <w:color w:val="auto"/>
                <w:w w:val="95"/>
              </w:rPr>
              <w:t>0%</w:t>
            </w:r>
          </w:p>
        </w:tc>
        <w:tc>
          <w:tcPr>
            <w:tcW w:w="0" w:type="dxa"/>
            <w:vAlign w:val="bottom"/>
          </w:tcPr>
          <w:p>
            <w:pPr>
              <w:spacing w:after="0"/>
              <w:rPr>
                <w:sz w:val="1"/>
                <w:szCs w:val="1"/>
                <w:color w:val="auto"/>
              </w:rPr>
            </w:pPr>
          </w:p>
        </w:tc>
      </w:tr>
      <w:tr>
        <w:trPr>
          <w:trHeight w:val="162"/>
        </w:trPr>
        <w:tc>
          <w:tcPr>
            <w:tcW w:w="2920" w:type="dxa"/>
            <w:vAlign w:val="bottom"/>
            <w:tcBorders>
              <w:left w:val="single" w:sz="8" w:color="7F7F7F"/>
            </w:tcBorders>
          </w:tcPr>
          <w:p>
            <w:pPr>
              <w:ind w:left="160"/>
              <w:spacing w:after="0"/>
              <w:rPr>
                <w:sz w:val="20"/>
                <w:szCs w:val="20"/>
                <w:color w:val="auto"/>
              </w:rPr>
            </w:pPr>
            <w:r>
              <w:rPr>
                <w:rFonts w:ascii="Arial" w:cs="Arial" w:eastAsia="Arial" w:hAnsi="Arial"/>
                <w:sz w:val="13"/>
                <w:szCs w:val="13"/>
                <w:color w:val="auto"/>
              </w:rPr>
              <w:t>P.R. Breber</w:t>
            </w:r>
          </w:p>
        </w:tc>
        <w:tc>
          <w:tcPr>
            <w:tcW w:w="1800" w:type="dxa"/>
            <w:vAlign w:val="bottom"/>
          </w:tcPr>
          <w:p>
            <w:pPr>
              <w:jc w:val="right"/>
              <w:ind w:right="757"/>
              <w:spacing w:after="0"/>
              <w:rPr>
                <w:sz w:val="20"/>
                <w:szCs w:val="20"/>
                <w:color w:val="auto"/>
              </w:rPr>
            </w:pPr>
            <w:r>
              <w:rPr>
                <w:rFonts w:ascii="Arial" w:cs="Arial" w:eastAsia="Arial" w:hAnsi="Arial"/>
                <w:sz w:val="13"/>
                <w:szCs w:val="13"/>
                <w:color w:val="auto"/>
              </w:rPr>
              <w:t>5.7%</w:t>
            </w:r>
          </w:p>
        </w:tc>
        <w:tc>
          <w:tcPr>
            <w:tcW w:w="1320" w:type="dxa"/>
            <w:vAlign w:val="bottom"/>
          </w:tcPr>
          <w:p>
            <w:pPr>
              <w:jc w:val="center"/>
              <w:ind w:left="217"/>
              <w:spacing w:after="0"/>
              <w:rPr>
                <w:sz w:val="20"/>
                <w:szCs w:val="20"/>
                <w:color w:val="auto"/>
              </w:rPr>
            </w:pPr>
            <w:r>
              <w:rPr>
                <w:rFonts w:ascii="Arial" w:cs="Arial" w:eastAsia="Arial" w:hAnsi="Arial"/>
                <w:sz w:val="13"/>
                <w:szCs w:val="13"/>
                <w:color w:val="auto"/>
                <w:w w:val="94"/>
              </w:rPr>
              <w:t>0.3%</w:t>
            </w:r>
          </w:p>
        </w:tc>
        <w:tc>
          <w:tcPr>
            <w:tcW w:w="1060" w:type="dxa"/>
            <w:vAlign w:val="bottom"/>
          </w:tcPr>
          <w:p>
            <w:pPr>
              <w:jc w:val="center"/>
              <w:spacing w:after="0"/>
              <w:rPr>
                <w:sz w:val="20"/>
                <w:szCs w:val="20"/>
                <w:color w:val="auto"/>
              </w:rPr>
            </w:pPr>
            <w:r>
              <w:rPr>
                <w:rFonts w:ascii="Arial" w:cs="Arial" w:eastAsia="Arial" w:hAnsi="Arial"/>
                <w:sz w:val="13"/>
                <w:szCs w:val="13"/>
                <w:color w:val="auto"/>
                <w:w w:val="93"/>
              </w:rPr>
              <w:t>(2.5%)</w:t>
            </w:r>
          </w:p>
        </w:tc>
        <w:tc>
          <w:tcPr>
            <w:tcW w:w="1220" w:type="dxa"/>
            <w:vAlign w:val="bottom"/>
          </w:tcPr>
          <w:p>
            <w:pPr>
              <w:jc w:val="right"/>
              <w:ind w:right="397"/>
              <w:spacing w:after="0"/>
              <w:rPr>
                <w:sz w:val="20"/>
                <w:szCs w:val="20"/>
                <w:color w:val="auto"/>
              </w:rPr>
            </w:pPr>
            <w:r>
              <w:rPr>
                <w:rFonts w:ascii="Arial" w:cs="Arial" w:eastAsia="Arial" w:hAnsi="Arial"/>
                <w:sz w:val="13"/>
                <w:szCs w:val="13"/>
                <w:color w:val="auto"/>
              </w:rPr>
              <w:t>4.5%</w:t>
            </w:r>
          </w:p>
        </w:tc>
        <w:tc>
          <w:tcPr>
            <w:tcW w:w="1240" w:type="dxa"/>
            <w:vAlign w:val="bottom"/>
          </w:tcPr>
          <w:p>
            <w:pPr>
              <w:jc w:val="center"/>
              <w:spacing w:after="0"/>
              <w:rPr>
                <w:sz w:val="20"/>
                <w:szCs w:val="20"/>
                <w:color w:val="auto"/>
              </w:rPr>
            </w:pPr>
            <w:r>
              <w:rPr>
                <w:rFonts w:ascii="Arial" w:cs="Arial" w:eastAsia="Arial" w:hAnsi="Arial"/>
                <w:sz w:val="13"/>
                <w:szCs w:val="13"/>
                <w:color w:val="auto"/>
                <w:w w:val="94"/>
              </w:rPr>
              <w:t>3.4%</w:t>
            </w:r>
          </w:p>
        </w:tc>
        <w:tc>
          <w:tcPr>
            <w:tcW w:w="1040" w:type="dxa"/>
            <w:vAlign w:val="bottom"/>
            <w:tcBorders>
              <w:right w:val="single" w:sz="8" w:color="7F7F7F"/>
            </w:tcBorders>
          </w:tcPr>
          <w:p>
            <w:pPr>
              <w:jc w:val="center"/>
              <w:ind w:left="77"/>
              <w:spacing w:after="0"/>
              <w:rPr>
                <w:sz w:val="20"/>
                <w:szCs w:val="20"/>
                <w:color w:val="auto"/>
              </w:rPr>
            </w:pPr>
            <w:r>
              <w:rPr>
                <w:rFonts w:ascii="Arial" w:cs="Arial" w:eastAsia="Arial" w:hAnsi="Arial"/>
                <w:sz w:val="13"/>
                <w:szCs w:val="13"/>
                <w:color w:val="auto"/>
                <w:w w:val="95"/>
              </w:rPr>
              <w:t>0%</w:t>
            </w:r>
          </w:p>
        </w:tc>
        <w:tc>
          <w:tcPr>
            <w:tcW w:w="0" w:type="dxa"/>
            <w:vAlign w:val="bottom"/>
          </w:tcPr>
          <w:p>
            <w:pPr>
              <w:spacing w:after="0"/>
              <w:rPr>
                <w:sz w:val="1"/>
                <w:szCs w:val="1"/>
                <w:color w:val="auto"/>
              </w:rPr>
            </w:pPr>
          </w:p>
        </w:tc>
      </w:tr>
      <w:tr>
        <w:trPr>
          <w:trHeight w:val="162"/>
        </w:trPr>
        <w:tc>
          <w:tcPr>
            <w:tcW w:w="292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3"/>
                <w:szCs w:val="13"/>
                <w:color w:val="auto"/>
              </w:rPr>
              <w:t>J.W. Johnson</w:t>
            </w:r>
          </w:p>
        </w:tc>
        <w:tc>
          <w:tcPr>
            <w:tcW w:w="1800" w:type="dxa"/>
            <w:vAlign w:val="bottom"/>
            <w:shd w:val="clear" w:color="auto" w:fill="D8D8D8"/>
          </w:tcPr>
          <w:p>
            <w:pPr>
              <w:jc w:val="right"/>
              <w:ind w:right="717"/>
              <w:spacing w:after="0"/>
              <w:rPr>
                <w:sz w:val="20"/>
                <w:szCs w:val="20"/>
                <w:color w:val="auto"/>
              </w:rPr>
            </w:pPr>
            <w:r>
              <w:rPr>
                <w:rFonts w:ascii="Arial" w:cs="Arial" w:eastAsia="Arial" w:hAnsi="Arial"/>
                <w:sz w:val="13"/>
                <w:szCs w:val="13"/>
                <w:color w:val="auto"/>
              </w:rPr>
              <w:t>(2.1%)</w:t>
            </w:r>
          </w:p>
        </w:tc>
        <w:tc>
          <w:tcPr>
            <w:tcW w:w="1320" w:type="dxa"/>
            <w:vAlign w:val="bottom"/>
            <w:shd w:val="clear" w:color="auto" w:fill="D8D8D8"/>
          </w:tcPr>
          <w:p>
            <w:pPr>
              <w:jc w:val="center"/>
              <w:ind w:left="217"/>
              <w:spacing w:after="0"/>
              <w:rPr>
                <w:sz w:val="20"/>
                <w:szCs w:val="20"/>
                <w:color w:val="auto"/>
              </w:rPr>
            </w:pPr>
            <w:r>
              <w:rPr>
                <w:rFonts w:ascii="Arial" w:cs="Arial" w:eastAsia="Arial" w:hAnsi="Arial"/>
                <w:sz w:val="13"/>
                <w:szCs w:val="13"/>
                <w:color w:val="auto"/>
                <w:w w:val="94"/>
              </w:rPr>
              <w:t>0.3%</w:t>
            </w:r>
          </w:p>
        </w:tc>
        <w:tc>
          <w:tcPr>
            <w:tcW w:w="1060" w:type="dxa"/>
            <w:vAlign w:val="bottom"/>
            <w:shd w:val="clear" w:color="auto" w:fill="D8D8D8"/>
          </w:tcPr>
          <w:p>
            <w:pPr>
              <w:jc w:val="center"/>
              <w:spacing w:after="0"/>
              <w:rPr>
                <w:sz w:val="20"/>
                <w:szCs w:val="20"/>
                <w:color w:val="auto"/>
              </w:rPr>
            </w:pPr>
            <w:r>
              <w:rPr>
                <w:rFonts w:ascii="Arial" w:cs="Arial" w:eastAsia="Arial" w:hAnsi="Arial"/>
                <w:sz w:val="13"/>
                <w:szCs w:val="13"/>
                <w:color w:val="auto"/>
                <w:w w:val="93"/>
              </w:rPr>
              <w:t>(2.6%)</w:t>
            </w:r>
          </w:p>
        </w:tc>
        <w:tc>
          <w:tcPr>
            <w:tcW w:w="1220" w:type="dxa"/>
            <w:vAlign w:val="bottom"/>
            <w:shd w:val="clear" w:color="auto" w:fill="D8D8D8"/>
          </w:tcPr>
          <w:p>
            <w:pPr>
              <w:jc w:val="right"/>
              <w:ind w:right="357"/>
              <w:spacing w:after="0"/>
              <w:rPr>
                <w:sz w:val="20"/>
                <w:szCs w:val="20"/>
                <w:color w:val="auto"/>
              </w:rPr>
            </w:pPr>
            <w:r>
              <w:rPr>
                <w:rFonts w:ascii="Arial" w:cs="Arial" w:eastAsia="Arial" w:hAnsi="Arial"/>
                <w:sz w:val="13"/>
                <w:szCs w:val="13"/>
                <w:color w:val="auto"/>
              </w:rPr>
              <w:t>(2.5%)</w:t>
            </w:r>
          </w:p>
        </w:tc>
        <w:tc>
          <w:tcPr>
            <w:tcW w:w="1240" w:type="dxa"/>
            <w:vAlign w:val="bottom"/>
            <w:shd w:val="clear" w:color="auto" w:fill="D8D8D8"/>
          </w:tcPr>
          <w:p>
            <w:pPr>
              <w:jc w:val="center"/>
              <w:spacing w:after="0"/>
              <w:rPr>
                <w:sz w:val="20"/>
                <w:szCs w:val="20"/>
                <w:color w:val="auto"/>
              </w:rPr>
            </w:pPr>
            <w:r>
              <w:rPr>
                <w:rFonts w:ascii="Arial" w:cs="Arial" w:eastAsia="Arial" w:hAnsi="Arial"/>
                <w:sz w:val="13"/>
                <w:szCs w:val="13"/>
                <w:color w:val="auto"/>
                <w:w w:val="94"/>
              </w:rPr>
              <w:t>2.7%</w:t>
            </w:r>
          </w:p>
        </w:tc>
        <w:tc>
          <w:tcPr>
            <w:tcW w:w="1040" w:type="dxa"/>
            <w:vAlign w:val="bottom"/>
            <w:tcBorders>
              <w:right w:val="single" w:sz="8" w:color="7F7F7F"/>
            </w:tcBorders>
            <w:shd w:val="clear" w:color="auto" w:fill="D8D8D8"/>
          </w:tcPr>
          <w:p>
            <w:pPr>
              <w:jc w:val="center"/>
              <w:ind w:left="77"/>
              <w:spacing w:after="0"/>
              <w:rPr>
                <w:sz w:val="20"/>
                <w:szCs w:val="20"/>
                <w:color w:val="auto"/>
              </w:rPr>
            </w:pPr>
            <w:r>
              <w:rPr>
                <w:rFonts w:ascii="Arial" w:cs="Arial" w:eastAsia="Arial" w:hAnsi="Arial"/>
                <w:sz w:val="13"/>
                <w:szCs w:val="13"/>
                <w:color w:val="auto"/>
                <w:w w:val="95"/>
              </w:rPr>
              <w:t>0%</w:t>
            </w:r>
          </w:p>
        </w:tc>
        <w:tc>
          <w:tcPr>
            <w:tcW w:w="0" w:type="dxa"/>
            <w:vAlign w:val="bottom"/>
          </w:tcPr>
          <w:p>
            <w:pPr>
              <w:spacing w:after="0"/>
              <w:rPr>
                <w:sz w:val="1"/>
                <w:szCs w:val="1"/>
                <w:color w:val="auto"/>
              </w:rPr>
            </w:pPr>
          </w:p>
        </w:tc>
      </w:tr>
      <w:tr>
        <w:trPr>
          <w:trHeight w:val="162"/>
        </w:trPr>
        <w:tc>
          <w:tcPr>
            <w:tcW w:w="2920" w:type="dxa"/>
            <w:vAlign w:val="bottom"/>
            <w:tcBorders>
              <w:left w:val="single" w:sz="8" w:color="7F7F7F"/>
            </w:tcBorders>
          </w:tcPr>
          <w:p>
            <w:pPr>
              <w:ind w:left="160"/>
              <w:spacing w:after="0"/>
              <w:rPr>
                <w:sz w:val="20"/>
                <w:szCs w:val="20"/>
                <w:color w:val="auto"/>
              </w:rPr>
            </w:pPr>
            <w:r>
              <w:rPr>
                <w:rFonts w:ascii="Arial" w:cs="Arial" w:eastAsia="Arial" w:hAnsi="Arial"/>
                <w:sz w:val="13"/>
                <w:szCs w:val="13"/>
                <w:color w:val="auto"/>
              </w:rPr>
              <w:t>J.C. Geagea</w:t>
            </w:r>
          </w:p>
        </w:tc>
        <w:tc>
          <w:tcPr>
            <w:tcW w:w="1800" w:type="dxa"/>
            <w:vAlign w:val="bottom"/>
          </w:tcPr>
          <w:p>
            <w:pPr>
              <w:jc w:val="right"/>
              <w:ind w:right="717"/>
              <w:spacing w:after="0"/>
              <w:rPr>
                <w:sz w:val="20"/>
                <w:szCs w:val="20"/>
                <w:color w:val="auto"/>
              </w:rPr>
            </w:pPr>
            <w:r>
              <w:rPr>
                <w:rFonts w:ascii="Arial" w:cs="Arial" w:eastAsia="Arial" w:hAnsi="Arial"/>
                <w:sz w:val="13"/>
                <w:szCs w:val="13"/>
                <w:color w:val="auto"/>
              </w:rPr>
              <w:t>(2.1%)</w:t>
            </w:r>
          </w:p>
        </w:tc>
        <w:tc>
          <w:tcPr>
            <w:tcW w:w="1320" w:type="dxa"/>
            <w:vAlign w:val="bottom"/>
          </w:tcPr>
          <w:p>
            <w:pPr>
              <w:jc w:val="center"/>
              <w:ind w:left="217"/>
              <w:spacing w:after="0"/>
              <w:rPr>
                <w:sz w:val="20"/>
                <w:szCs w:val="20"/>
                <w:color w:val="auto"/>
              </w:rPr>
            </w:pPr>
            <w:r>
              <w:rPr>
                <w:rFonts w:ascii="Arial" w:cs="Arial" w:eastAsia="Arial" w:hAnsi="Arial"/>
                <w:sz w:val="13"/>
                <w:szCs w:val="13"/>
                <w:color w:val="auto"/>
                <w:w w:val="94"/>
              </w:rPr>
              <w:t>0.1%</w:t>
            </w:r>
          </w:p>
        </w:tc>
        <w:tc>
          <w:tcPr>
            <w:tcW w:w="1060" w:type="dxa"/>
            <w:vAlign w:val="bottom"/>
          </w:tcPr>
          <w:p>
            <w:pPr>
              <w:jc w:val="center"/>
              <w:spacing w:after="0"/>
              <w:rPr>
                <w:sz w:val="20"/>
                <w:szCs w:val="20"/>
                <w:color w:val="auto"/>
              </w:rPr>
            </w:pPr>
            <w:r>
              <w:rPr>
                <w:rFonts w:ascii="Arial" w:cs="Arial" w:eastAsia="Arial" w:hAnsi="Arial"/>
                <w:sz w:val="13"/>
                <w:szCs w:val="13"/>
                <w:color w:val="auto"/>
                <w:w w:val="93"/>
              </w:rPr>
              <w:t>(2.5%)</w:t>
            </w:r>
          </w:p>
        </w:tc>
        <w:tc>
          <w:tcPr>
            <w:tcW w:w="1220" w:type="dxa"/>
            <w:vAlign w:val="bottom"/>
          </w:tcPr>
          <w:p>
            <w:pPr>
              <w:jc w:val="right"/>
              <w:ind w:right="357"/>
              <w:spacing w:after="0"/>
              <w:rPr>
                <w:sz w:val="20"/>
                <w:szCs w:val="20"/>
                <w:color w:val="auto"/>
              </w:rPr>
            </w:pPr>
            <w:r>
              <w:rPr>
                <w:rFonts w:ascii="Arial" w:cs="Arial" w:eastAsia="Arial" w:hAnsi="Arial"/>
                <w:sz w:val="13"/>
                <w:szCs w:val="13"/>
                <w:color w:val="auto"/>
              </w:rPr>
              <w:t>(2.4%)</w:t>
            </w:r>
          </w:p>
        </w:tc>
        <w:tc>
          <w:tcPr>
            <w:tcW w:w="1240" w:type="dxa"/>
            <w:vAlign w:val="bottom"/>
          </w:tcPr>
          <w:p>
            <w:pPr>
              <w:jc w:val="center"/>
              <w:spacing w:after="0"/>
              <w:rPr>
                <w:sz w:val="20"/>
                <w:szCs w:val="20"/>
                <w:color w:val="auto"/>
              </w:rPr>
            </w:pPr>
            <w:r>
              <w:rPr>
                <w:rFonts w:ascii="Arial" w:cs="Arial" w:eastAsia="Arial" w:hAnsi="Arial"/>
                <w:sz w:val="13"/>
                <w:szCs w:val="13"/>
                <w:color w:val="auto"/>
                <w:w w:val="94"/>
              </w:rPr>
              <w:t>2.7%</w:t>
            </w:r>
          </w:p>
        </w:tc>
        <w:tc>
          <w:tcPr>
            <w:tcW w:w="1040" w:type="dxa"/>
            <w:vAlign w:val="bottom"/>
            <w:tcBorders>
              <w:right w:val="single" w:sz="8" w:color="7F7F7F"/>
            </w:tcBorders>
          </w:tcPr>
          <w:p>
            <w:pPr>
              <w:jc w:val="center"/>
              <w:ind w:left="77"/>
              <w:spacing w:after="0"/>
              <w:rPr>
                <w:sz w:val="20"/>
                <w:szCs w:val="20"/>
                <w:color w:val="auto"/>
              </w:rPr>
            </w:pPr>
            <w:r>
              <w:rPr>
                <w:rFonts w:ascii="Arial" w:cs="Arial" w:eastAsia="Arial" w:hAnsi="Arial"/>
                <w:sz w:val="13"/>
                <w:szCs w:val="13"/>
                <w:color w:val="auto"/>
                <w:w w:val="95"/>
              </w:rPr>
              <w:t>0%</w:t>
            </w:r>
          </w:p>
        </w:tc>
        <w:tc>
          <w:tcPr>
            <w:tcW w:w="0" w:type="dxa"/>
            <w:vAlign w:val="bottom"/>
          </w:tcPr>
          <w:p>
            <w:pPr>
              <w:spacing w:after="0"/>
              <w:rPr>
                <w:sz w:val="1"/>
                <w:szCs w:val="1"/>
                <w:color w:val="auto"/>
              </w:rPr>
            </w:pPr>
          </w:p>
        </w:tc>
      </w:tr>
      <w:tr>
        <w:trPr>
          <w:trHeight w:val="162"/>
        </w:trPr>
        <w:tc>
          <w:tcPr>
            <w:tcW w:w="2920" w:type="dxa"/>
            <w:vAlign w:val="bottom"/>
            <w:tcBorders>
              <w:left w:val="single" w:sz="8" w:color="7F7F7F"/>
              <w:bottom w:val="single" w:sz="8" w:color="7F7F7F"/>
            </w:tcBorders>
            <w:shd w:val="clear" w:color="auto" w:fill="D8D8D8"/>
          </w:tcPr>
          <w:p>
            <w:pPr>
              <w:ind w:left="160"/>
              <w:spacing w:after="0"/>
              <w:rPr>
                <w:sz w:val="20"/>
                <w:szCs w:val="20"/>
                <w:color w:val="auto"/>
              </w:rPr>
            </w:pPr>
            <w:r>
              <w:rPr>
                <w:rFonts w:ascii="Arial" w:cs="Arial" w:eastAsia="Arial" w:hAnsi="Arial"/>
                <w:sz w:val="13"/>
                <w:szCs w:val="13"/>
                <w:color w:val="auto"/>
              </w:rPr>
              <w:t>M.A. Nelson</w:t>
            </w:r>
          </w:p>
        </w:tc>
        <w:tc>
          <w:tcPr>
            <w:tcW w:w="1800" w:type="dxa"/>
            <w:vAlign w:val="bottom"/>
            <w:tcBorders>
              <w:bottom w:val="single" w:sz="8" w:color="7F7F7F"/>
            </w:tcBorders>
            <w:shd w:val="clear" w:color="auto" w:fill="D8D8D8"/>
          </w:tcPr>
          <w:p>
            <w:pPr>
              <w:jc w:val="right"/>
              <w:ind w:right="757"/>
              <w:spacing w:after="0"/>
              <w:rPr>
                <w:sz w:val="20"/>
                <w:szCs w:val="20"/>
                <w:color w:val="auto"/>
              </w:rPr>
            </w:pPr>
            <w:r>
              <w:rPr>
                <w:rFonts w:ascii="Arial" w:cs="Arial" w:eastAsia="Arial" w:hAnsi="Arial"/>
                <w:sz w:val="13"/>
                <w:szCs w:val="13"/>
                <w:color w:val="auto"/>
              </w:rPr>
              <w:t>6.5%</w:t>
            </w:r>
          </w:p>
        </w:tc>
        <w:tc>
          <w:tcPr>
            <w:tcW w:w="1320" w:type="dxa"/>
            <w:vAlign w:val="bottom"/>
            <w:tcBorders>
              <w:bottom w:val="single" w:sz="8" w:color="7F7F7F"/>
            </w:tcBorders>
            <w:shd w:val="clear" w:color="auto" w:fill="D8D8D8"/>
          </w:tcPr>
          <w:p>
            <w:pPr>
              <w:jc w:val="center"/>
              <w:ind w:left="217"/>
              <w:spacing w:after="0"/>
              <w:rPr>
                <w:sz w:val="20"/>
                <w:szCs w:val="20"/>
                <w:color w:val="auto"/>
              </w:rPr>
            </w:pPr>
            <w:r>
              <w:rPr>
                <w:rFonts w:ascii="Arial" w:cs="Arial" w:eastAsia="Arial" w:hAnsi="Arial"/>
                <w:sz w:val="13"/>
                <w:szCs w:val="13"/>
                <w:color w:val="auto"/>
                <w:w w:val="94"/>
              </w:rPr>
              <w:t>1.8%</w:t>
            </w:r>
          </w:p>
        </w:tc>
        <w:tc>
          <w:tcPr>
            <w:tcW w:w="1060" w:type="dxa"/>
            <w:vAlign w:val="bottom"/>
            <w:tcBorders>
              <w:bottom w:val="single" w:sz="8" w:color="7F7F7F"/>
            </w:tcBorders>
            <w:shd w:val="clear" w:color="auto" w:fill="D8D8D8"/>
          </w:tcPr>
          <w:p>
            <w:pPr>
              <w:jc w:val="center"/>
              <w:spacing w:after="0"/>
              <w:rPr>
                <w:sz w:val="20"/>
                <w:szCs w:val="20"/>
                <w:color w:val="auto"/>
              </w:rPr>
            </w:pPr>
            <w:r>
              <w:rPr>
                <w:rFonts w:ascii="Arial" w:cs="Arial" w:eastAsia="Arial" w:hAnsi="Arial"/>
                <w:sz w:val="13"/>
                <w:szCs w:val="13"/>
                <w:color w:val="auto"/>
                <w:w w:val="93"/>
              </w:rPr>
              <w:t>(3.0%)</w:t>
            </w:r>
          </w:p>
        </w:tc>
        <w:tc>
          <w:tcPr>
            <w:tcW w:w="1220" w:type="dxa"/>
            <w:vAlign w:val="bottom"/>
            <w:tcBorders>
              <w:bottom w:val="single" w:sz="8" w:color="7F7F7F"/>
            </w:tcBorders>
            <w:shd w:val="clear" w:color="auto" w:fill="D8D8D8"/>
          </w:tcPr>
          <w:p>
            <w:pPr>
              <w:jc w:val="right"/>
              <w:ind w:right="397"/>
              <w:spacing w:after="0"/>
              <w:rPr>
                <w:sz w:val="20"/>
                <w:szCs w:val="20"/>
                <w:color w:val="auto"/>
              </w:rPr>
            </w:pPr>
            <w:r>
              <w:rPr>
                <w:rFonts w:ascii="Arial" w:cs="Arial" w:eastAsia="Arial" w:hAnsi="Arial"/>
                <w:sz w:val="13"/>
                <w:szCs w:val="13"/>
                <w:color w:val="auto"/>
              </w:rPr>
              <w:t>4.6%</w:t>
            </w:r>
          </w:p>
        </w:tc>
        <w:tc>
          <w:tcPr>
            <w:tcW w:w="1240" w:type="dxa"/>
            <w:vAlign w:val="bottom"/>
            <w:tcBorders>
              <w:bottom w:val="single" w:sz="8" w:color="7F7F7F"/>
            </w:tcBorders>
            <w:shd w:val="clear" w:color="auto" w:fill="D8D8D8"/>
          </w:tcPr>
          <w:p>
            <w:pPr>
              <w:jc w:val="center"/>
              <w:spacing w:after="0"/>
              <w:rPr>
                <w:sz w:val="20"/>
                <w:szCs w:val="20"/>
                <w:color w:val="auto"/>
              </w:rPr>
            </w:pPr>
            <w:r>
              <w:rPr>
                <w:rFonts w:ascii="Arial" w:cs="Arial" w:eastAsia="Arial" w:hAnsi="Arial"/>
                <w:sz w:val="13"/>
                <w:szCs w:val="13"/>
                <w:color w:val="auto"/>
                <w:w w:val="94"/>
              </w:rPr>
              <w:t>3.1%</w:t>
            </w:r>
          </w:p>
        </w:tc>
        <w:tc>
          <w:tcPr>
            <w:tcW w:w="1040" w:type="dxa"/>
            <w:vAlign w:val="bottom"/>
            <w:tcBorders>
              <w:bottom w:val="single" w:sz="8" w:color="7F7F7F"/>
              <w:right w:val="single" w:sz="8" w:color="7F7F7F"/>
            </w:tcBorders>
            <w:shd w:val="clear" w:color="auto" w:fill="D8D8D8"/>
          </w:tcPr>
          <w:p>
            <w:pPr>
              <w:jc w:val="center"/>
              <w:ind w:left="77"/>
              <w:spacing w:after="0"/>
              <w:rPr>
                <w:sz w:val="20"/>
                <w:szCs w:val="20"/>
                <w:color w:val="auto"/>
              </w:rPr>
            </w:pPr>
            <w:r>
              <w:rPr>
                <w:rFonts w:ascii="Arial" w:cs="Arial" w:eastAsia="Arial" w:hAnsi="Arial"/>
                <w:sz w:val="13"/>
                <w:szCs w:val="13"/>
                <w:color w:val="auto"/>
                <w:w w:val="95"/>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-882015</wp:posOffset>
            </wp:positionV>
            <wp:extent cx="365188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35" w:lineRule="exact"/>
        <w:rPr>
          <w:sz w:val="20"/>
          <w:szCs w:val="20"/>
          <w:color w:val="auto"/>
        </w:rPr>
      </w:pPr>
    </w:p>
    <w:p>
      <w:pPr>
        <w:ind w:left="980" w:right="60" w:hanging="432"/>
        <w:spacing w:after="0" w:line="252" w:lineRule="auto"/>
        <w:tabs>
          <w:tab w:leader="none" w:pos="9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Calculated as follows: (actuarial present value of accumulated benefit at December 31, 2021 (reported in the “Pension Benefits Table” in this Proxy Statement) – actuarial present value of accumulated benefit at December 31, 2020 (reported in the “Pension Benefits Table” in last year’s Proxy Statement)) / actuarial present value of accumulated benefit at December 31, 2020 (reported in the “Pension Benefits Table” in last year’s Proxy Statement). Mr. Wirth had a ($649,311) change in pension value, Mr. Johnson had a ($617,975) change in pension value and Mr. Geagea had a ($498,225) change in pension value.</w:t>
      </w:r>
    </w:p>
    <w:p>
      <w:pPr>
        <w:spacing w:after="0" w:line="87" w:lineRule="exact"/>
        <w:rPr>
          <w:rFonts w:ascii="Arial" w:cs="Arial" w:eastAsia="Arial" w:hAnsi="Arial"/>
          <w:sz w:val="13"/>
          <w:szCs w:val="13"/>
          <w:color w:val="auto"/>
        </w:rPr>
      </w:pPr>
    </w:p>
    <w:p>
      <w:pPr>
        <w:ind w:left="980" w:right="520" w:hanging="432"/>
        <w:spacing w:after="0" w:line="281" w:lineRule="auto"/>
        <w:tabs>
          <w:tab w:leader="none" w:pos="9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Additional information concerning the present value of benefits accumulated by our NEOs under these defined benefit retirement plans is included in the “Pension Benefits Table” in this Proxy Statement.</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63</w:t>
      </w:r>
    </w:p>
    <w:p>
      <w:pPr>
        <w:sectPr>
          <w:pgSz w:w="11900" w:h="16838" w:orient="portrait"/>
          <w:cols w:equalWidth="0" w:num="1">
            <w:col w:w="11140"/>
          </w:cols>
          <w:pgMar w:left="320" w:top="455" w:right="4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405890" cy="1454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405890" cy="145415"/>
                    </a:xfrm>
                    <a:prstGeom prst="rect">
                      <a:avLst/>
                    </a:prstGeom>
                    <a:noFill/>
                  </pic:spPr>
                </pic:pic>
              </a:graphicData>
            </a:graphic>
          </wp:anchor>
        </w:drawing>
      </w:r>
    </w:p>
    <w:p>
      <w:pPr>
        <w:spacing w:after="0" w:line="33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Executive compensation</w:t>
      </w:r>
    </w:p>
    <w:p>
      <w:pPr>
        <w:spacing w:after="0" w:line="177" w:lineRule="exact"/>
        <w:rPr>
          <w:sz w:val="20"/>
          <w:szCs w:val="20"/>
          <w:color w:val="auto"/>
        </w:rPr>
      </w:pPr>
    </w:p>
    <w:p>
      <w:pPr>
        <w:ind w:left="540" w:right="100" w:hanging="424"/>
        <w:spacing w:after="0" w:line="285" w:lineRule="auto"/>
        <w:tabs>
          <w:tab w:leader="none" w:pos="5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All Other Compensation for 2021 includes the following items, but excludes other arrangements that are generally available to our salaried employees on the U.S. payroll and do not discriminate in scope, terms, or operation in favor of our NEOs, such as our medical, dental, disability, group life insurance and vacation programs.</w:t>
      </w:r>
    </w:p>
    <w:p>
      <w:pPr>
        <w:spacing w:after="0" w:line="99" w:lineRule="exact"/>
        <w:rPr>
          <w:sz w:val="20"/>
          <w:szCs w:val="20"/>
          <w:color w:val="auto"/>
        </w:rPr>
      </w:pPr>
    </w:p>
    <w:tbl>
      <w:tblPr>
        <w:tblLayout w:type="fixed"/>
        <w:tblInd w:w="570" w:type="dxa"/>
        <w:tblCellMar>
          <w:top w:w="0" w:type="dxa"/>
          <w:left w:w="0" w:type="dxa"/>
          <w:bottom w:w="0" w:type="dxa"/>
          <w:right w:w="0" w:type="dxa"/>
        </w:tblCellMar>
      </w:tblPr>
      <w:tr>
        <w:trPr>
          <w:trHeight w:val="166"/>
        </w:trPr>
        <w:tc>
          <w:tcPr>
            <w:tcW w:w="4160" w:type="dxa"/>
            <w:vAlign w:val="bottom"/>
            <w:tcBorders>
              <w:left w:val="single" w:sz="8" w:color="7F7F7F"/>
            </w:tcBorders>
            <w:shd w:val="clear" w:color="auto" w:fill="0066B2"/>
          </w:tcPr>
          <w:p>
            <w:pPr>
              <w:spacing w:after="0"/>
              <w:rPr>
                <w:sz w:val="14"/>
                <w:szCs w:val="14"/>
                <w:color w:val="auto"/>
              </w:rPr>
            </w:pPr>
          </w:p>
        </w:tc>
        <w:tc>
          <w:tcPr>
            <w:tcW w:w="1880" w:type="dxa"/>
            <w:vAlign w:val="bottom"/>
            <w:shd w:val="clear" w:color="auto" w:fill="0066B2"/>
          </w:tcPr>
          <w:p>
            <w:pPr>
              <w:spacing w:after="0"/>
              <w:rPr>
                <w:sz w:val="14"/>
                <w:szCs w:val="14"/>
                <w:color w:val="auto"/>
              </w:rPr>
            </w:pPr>
          </w:p>
        </w:tc>
        <w:tc>
          <w:tcPr>
            <w:tcW w:w="720" w:type="dxa"/>
            <w:vAlign w:val="bottom"/>
            <w:shd w:val="clear" w:color="auto" w:fill="0066B2"/>
          </w:tcPr>
          <w:p>
            <w:pPr>
              <w:jc w:val="right"/>
              <w:ind w:right="248"/>
              <w:spacing w:after="0"/>
              <w:rPr>
                <w:sz w:val="20"/>
                <w:szCs w:val="20"/>
                <w:color w:val="auto"/>
              </w:rPr>
            </w:pPr>
            <w:r>
              <w:rPr>
                <w:rFonts w:ascii="Arial" w:cs="Arial" w:eastAsia="Arial" w:hAnsi="Arial"/>
                <w:sz w:val="14"/>
                <w:szCs w:val="14"/>
                <w:b w:val="1"/>
                <w:bCs w:val="1"/>
                <w:color w:val="FFFFFF"/>
              </w:rPr>
              <w:t>M.K.</w:t>
            </w:r>
          </w:p>
        </w:tc>
        <w:tc>
          <w:tcPr>
            <w:tcW w:w="200" w:type="dxa"/>
            <w:vAlign w:val="bottom"/>
            <w:shd w:val="clear" w:color="auto" w:fill="0066B2"/>
          </w:tcPr>
          <w:p>
            <w:pPr>
              <w:spacing w:after="0"/>
              <w:rPr>
                <w:sz w:val="14"/>
                <w:szCs w:val="14"/>
                <w:color w:val="auto"/>
              </w:rPr>
            </w:pPr>
          </w:p>
        </w:tc>
        <w:tc>
          <w:tcPr>
            <w:tcW w:w="720" w:type="dxa"/>
            <w:vAlign w:val="bottom"/>
            <w:shd w:val="clear" w:color="auto" w:fill="0066B2"/>
          </w:tcPr>
          <w:p>
            <w:pPr>
              <w:jc w:val="right"/>
              <w:ind w:right="268"/>
              <w:spacing w:after="0"/>
              <w:rPr>
                <w:sz w:val="20"/>
                <w:szCs w:val="20"/>
                <w:color w:val="auto"/>
              </w:rPr>
            </w:pPr>
            <w:r>
              <w:rPr>
                <w:rFonts w:ascii="Arial" w:cs="Arial" w:eastAsia="Arial" w:hAnsi="Arial"/>
                <w:sz w:val="14"/>
                <w:szCs w:val="14"/>
                <w:b w:val="1"/>
                <w:bCs w:val="1"/>
                <w:color w:val="FFFFFF"/>
              </w:rPr>
              <w:t>P.R.</w:t>
            </w:r>
          </w:p>
        </w:tc>
        <w:tc>
          <w:tcPr>
            <w:tcW w:w="180" w:type="dxa"/>
            <w:vAlign w:val="bottom"/>
            <w:shd w:val="clear" w:color="auto" w:fill="0066B2"/>
          </w:tcPr>
          <w:p>
            <w:pPr>
              <w:spacing w:after="0"/>
              <w:rPr>
                <w:sz w:val="14"/>
                <w:szCs w:val="14"/>
                <w:color w:val="auto"/>
              </w:rPr>
            </w:pPr>
          </w:p>
        </w:tc>
        <w:tc>
          <w:tcPr>
            <w:tcW w:w="780" w:type="dxa"/>
            <w:vAlign w:val="bottom"/>
            <w:shd w:val="clear" w:color="auto" w:fill="0066B2"/>
          </w:tcPr>
          <w:p>
            <w:pPr>
              <w:jc w:val="right"/>
              <w:ind w:right="268"/>
              <w:spacing w:after="0"/>
              <w:rPr>
                <w:sz w:val="20"/>
                <w:szCs w:val="20"/>
                <w:color w:val="auto"/>
              </w:rPr>
            </w:pPr>
            <w:r>
              <w:rPr>
                <w:rFonts w:ascii="Arial" w:cs="Arial" w:eastAsia="Arial" w:hAnsi="Arial"/>
                <w:sz w:val="14"/>
                <w:szCs w:val="14"/>
                <w:b w:val="1"/>
                <w:bCs w:val="1"/>
                <w:color w:val="FFFFFF"/>
              </w:rPr>
              <w:t>J.W.</w:t>
            </w:r>
          </w:p>
        </w:tc>
        <w:tc>
          <w:tcPr>
            <w:tcW w:w="200" w:type="dxa"/>
            <w:vAlign w:val="bottom"/>
            <w:shd w:val="clear" w:color="auto" w:fill="0066B2"/>
          </w:tcPr>
          <w:p>
            <w:pPr>
              <w:spacing w:after="0"/>
              <w:rPr>
                <w:sz w:val="14"/>
                <w:szCs w:val="14"/>
                <w:color w:val="auto"/>
              </w:rPr>
            </w:pPr>
          </w:p>
        </w:tc>
        <w:tc>
          <w:tcPr>
            <w:tcW w:w="760" w:type="dxa"/>
            <w:vAlign w:val="bottom"/>
            <w:shd w:val="clear" w:color="auto" w:fill="0066B2"/>
          </w:tcPr>
          <w:p>
            <w:pPr>
              <w:jc w:val="right"/>
              <w:ind w:right="268"/>
              <w:spacing w:after="0"/>
              <w:rPr>
                <w:sz w:val="20"/>
                <w:szCs w:val="20"/>
                <w:color w:val="auto"/>
              </w:rPr>
            </w:pPr>
            <w:r>
              <w:rPr>
                <w:rFonts w:ascii="Arial" w:cs="Arial" w:eastAsia="Arial" w:hAnsi="Arial"/>
                <w:sz w:val="14"/>
                <w:szCs w:val="14"/>
                <w:b w:val="1"/>
                <w:bCs w:val="1"/>
                <w:color w:val="FFFFFF"/>
              </w:rPr>
              <w:t>J.C.</w:t>
            </w:r>
          </w:p>
        </w:tc>
        <w:tc>
          <w:tcPr>
            <w:tcW w:w="220" w:type="dxa"/>
            <w:vAlign w:val="bottom"/>
            <w:shd w:val="clear" w:color="auto" w:fill="0066B2"/>
          </w:tcPr>
          <w:p>
            <w:pPr>
              <w:spacing w:after="0"/>
              <w:rPr>
                <w:sz w:val="14"/>
                <w:szCs w:val="14"/>
                <w:color w:val="auto"/>
              </w:rPr>
            </w:pPr>
          </w:p>
        </w:tc>
        <w:tc>
          <w:tcPr>
            <w:tcW w:w="780" w:type="dxa"/>
            <w:vAlign w:val="bottom"/>
            <w:tcBorders>
              <w:right w:val="single" w:sz="8" w:color="7F7F7F"/>
            </w:tcBorders>
            <w:shd w:val="clear" w:color="auto" w:fill="0066B2"/>
          </w:tcPr>
          <w:p>
            <w:pPr>
              <w:jc w:val="center"/>
              <w:ind w:right="168"/>
              <w:spacing w:after="0"/>
              <w:rPr>
                <w:sz w:val="20"/>
                <w:szCs w:val="20"/>
                <w:color w:val="auto"/>
              </w:rPr>
            </w:pPr>
            <w:r>
              <w:rPr>
                <w:rFonts w:ascii="Arial" w:cs="Arial" w:eastAsia="Arial" w:hAnsi="Arial"/>
                <w:sz w:val="14"/>
                <w:szCs w:val="14"/>
                <w:b w:val="1"/>
                <w:bCs w:val="1"/>
                <w:color w:val="FFFFFF"/>
              </w:rPr>
              <w:t>M.A.</w:t>
            </w:r>
          </w:p>
        </w:tc>
      </w:tr>
      <w:tr>
        <w:trPr>
          <w:trHeight w:val="185"/>
        </w:trPr>
        <w:tc>
          <w:tcPr>
            <w:tcW w:w="4160" w:type="dxa"/>
            <w:vAlign w:val="bottom"/>
            <w:tcBorders>
              <w:left w:val="single" w:sz="8" w:color="7F7F7F"/>
            </w:tcBorders>
            <w:shd w:val="clear" w:color="auto" w:fill="0066B2"/>
          </w:tcPr>
          <w:p>
            <w:pPr>
              <w:spacing w:after="0"/>
              <w:rPr>
                <w:sz w:val="16"/>
                <w:szCs w:val="16"/>
                <w:color w:val="auto"/>
              </w:rPr>
            </w:pPr>
          </w:p>
        </w:tc>
        <w:tc>
          <w:tcPr>
            <w:tcW w:w="1880" w:type="dxa"/>
            <w:vAlign w:val="bottom"/>
            <w:shd w:val="clear" w:color="auto" w:fill="0066B2"/>
          </w:tcPr>
          <w:p>
            <w:pPr>
              <w:spacing w:after="0"/>
              <w:rPr>
                <w:sz w:val="16"/>
                <w:szCs w:val="16"/>
                <w:color w:val="auto"/>
              </w:rPr>
            </w:pPr>
          </w:p>
        </w:tc>
        <w:tc>
          <w:tcPr>
            <w:tcW w:w="720" w:type="dxa"/>
            <w:vAlign w:val="bottom"/>
            <w:shd w:val="clear" w:color="auto" w:fill="0066B2"/>
          </w:tcPr>
          <w:p>
            <w:pPr>
              <w:jc w:val="right"/>
              <w:ind w:right="228"/>
              <w:spacing w:after="0"/>
              <w:rPr>
                <w:sz w:val="20"/>
                <w:szCs w:val="20"/>
                <w:color w:val="auto"/>
              </w:rPr>
            </w:pPr>
            <w:r>
              <w:rPr>
                <w:rFonts w:ascii="Arial" w:cs="Arial" w:eastAsia="Arial" w:hAnsi="Arial"/>
                <w:sz w:val="14"/>
                <w:szCs w:val="14"/>
                <w:b w:val="1"/>
                <w:bCs w:val="1"/>
                <w:color w:val="FFFFFF"/>
              </w:rPr>
              <w:t>Wirth</w:t>
            </w:r>
          </w:p>
        </w:tc>
        <w:tc>
          <w:tcPr>
            <w:tcW w:w="200" w:type="dxa"/>
            <w:vAlign w:val="bottom"/>
            <w:shd w:val="clear" w:color="auto" w:fill="0066B2"/>
          </w:tcPr>
          <w:p>
            <w:pPr>
              <w:spacing w:after="0"/>
              <w:rPr>
                <w:sz w:val="16"/>
                <w:szCs w:val="16"/>
                <w:color w:val="auto"/>
              </w:rPr>
            </w:pPr>
          </w:p>
        </w:tc>
        <w:tc>
          <w:tcPr>
            <w:tcW w:w="720" w:type="dxa"/>
            <w:vAlign w:val="bottom"/>
            <w:shd w:val="clear" w:color="auto" w:fill="0066B2"/>
          </w:tcPr>
          <w:p>
            <w:pPr>
              <w:jc w:val="right"/>
              <w:ind w:right="168"/>
              <w:spacing w:after="0"/>
              <w:rPr>
                <w:sz w:val="20"/>
                <w:szCs w:val="20"/>
                <w:color w:val="auto"/>
              </w:rPr>
            </w:pPr>
            <w:r>
              <w:rPr>
                <w:rFonts w:ascii="Arial" w:cs="Arial" w:eastAsia="Arial" w:hAnsi="Arial"/>
                <w:sz w:val="14"/>
                <w:szCs w:val="14"/>
                <w:b w:val="1"/>
                <w:bCs w:val="1"/>
                <w:color w:val="FFFFFF"/>
              </w:rPr>
              <w:t>Breber</w:t>
            </w:r>
          </w:p>
        </w:tc>
        <w:tc>
          <w:tcPr>
            <w:tcW w:w="180" w:type="dxa"/>
            <w:vAlign w:val="bottom"/>
            <w:shd w:val="clear" w:color="auto" w:fill="0066B2"/>
          </w:tcPr>
          <w:p>
            <w:pPr>
              <w:spacing w:after="0"/>
              <w:rPr>
                <w:sz w:val="16"/>
                <w:szCs w:val="16"/>
                <w:color w:val="auto"/>
              </w:rPr>
            </w:pPr>
          </w:p>
        </w:tc>
        <w:tc>
          <w:tcPr>
            <w:tcW w:w="780" w:type="dxa"/>
            <w:vAlign w:val="bottom"/>
            <w:shd w:val="clear" w:color="auto" w:fill="0066B2"/>
          </w:tcPr>
          <w:p>
            <w:pPr>
              <w:jc w:val="right"/>
              <w:ind w:right="108"/>
              <w:spacing w:after="0"/>
              <w:rPr>
                <w:sz w:val="20"/>
                <w:szCs w:val="20"/>
                <w:color w:val="auto"/>
              </w:rPr>
            </w:pPr>
            <w:r>
              <w:rPr>
                <w:rFonts w:ascii="Arial" w:cs="Arial" w:eastAsia="Arial" w:hAnsi="Arial"/>
                <w:sz w:val="14"/>
                <w:szCs w:val="14"/>
                <w:b w:val="1"/>
                <w:bCs w:val="1"/>
                <w:color w:val="FFFFFF"/>
                <w:w w:val="99"/>
              </w:rPr>
              <w:t>Johnson</w:t>
            </w:r>
          </w:p>
        </w:tc>
        <w:tc>
          <w:tcPr>
            <w:tcW w:w="200" w:type="dxa"/>
            <w:vAlign w:val="bottom"/>
            <w:shd w:val="clear" w:color="auto" w:fill="0066B2"/>
          </w:tcPr>
          <w:p>
            <w:pPr>
              <w:spacing w:after="0"/>
              <w:rPr>
                <w:sz w:val="16"/>
                <w:szCs w:val="16"/>
                <w:color w:val="auto"/>
              </w:rPr>
            </w:pPr>
          </w:p>
        </w:tc>
        <w:tc>
          <w:tcPr>
            <w:tcW w:w="760" w:type="dxa"/>
            <w:vAlign w:val="bottom"/>
            <w:shd w:val="clear" w:color="auto" w:fill="0066B2"/>
          </w:tcPr>
          <w:p>
            <w:pPr>
              <w:jc w:val="right"/>
              <w:ind w:right="148"/>
              <w:spacing w:after="0"/>
              <w:rPr>
                <w:sz w:val="20"/>
                <w:szCs w:val="20"/>
                <w:color w:val="auto"/>
              </w:rPr>
            </w:pPr>
            <w:r>
              <w:rPr>
                <w:rFonts w:ascii="Arial" w:cs="Arial" w:eastAsia="Arial" w:hAnsi="Arial"/>
                <w:sz w:val="14"/>
                <w:szCs w:val="14"/>
                <w:b w:val="1"/>
                <w:bCs w:val="1"/>
                <w:color w:val="FFFFFF"/>
              </w:rPr>
              <w:t>Geagea</w:t>
            </w:r>
          </w:p>
        </w:tc>
        <w:tc>
          <w:tcPr>
            <w:tcW w:w="220" w:type="dxa"/>
            <w:vAlign w:val="bottom"/>
            <w:shd w:val="clear" w:color="auto" w:fill="0066B2"/>
          </w:tcPr>
          <w:p>
            <w:pPr>
              <w:spacing w:after="0"/>
              <w:rPr>
                <w:sz w:val="16"/>
                <w:szCs w:val="16"/>
                <w:color w:val="auto"/>
              </w:rPr>
            </w:pPr>
          </w:p>
        </w:tc>
        <w:tc>
          <w:tcPr>
            <w:tcW w:w="780" w:type="dxa"/>
            <w:vAlign w:val="bottom"/>
            <w:tcBorders>
              <w:right w:val="single" w:sz="8" w:color="7F7F7F"/>
            </w:tcBorders>
            <w:shd w:val="clear" w:color="auto" w:fill="0066B2"/>
          </w:tcPr>
          <w:p>
            <w:pPr>
              <w:jc w:val="center"/>
              <w:ind w:right="188"/>
              <w:spacing w:after="0"/>
              <w:rPr>
                <w:sz w:val="20"/>
                <w:szCs w:val="20"/>
                <w:color w:val="auto"/>
              </w:rPr>
            </w:pPr>
            <w:r>
              <w:rPr>
                <w:rFonts w:ascii="Arial" w:cs="Arial" w:eastAsia="Arial" w:hAnsi="Arial"/>
                <w:sz w:val="14"/>
                <w:szCs w:val="14"/>
                <w:b w:val="1"/>
                <w:bCs w:val="1"/>
                <w:color w:val="FFFFFF"/>
              </w:rPr>
              <w:t>Nelson</w:t>
            </w:r>
          </w:p>
        </w:tc>
      </w:tr>
      <w:tr>
        <w:trPr>
          <w:trHeight w:val="243"/>
        </w:trPr>
        <w:tc>
          <w:tcPr>
            <w:tcW w:w="4160" w:type="dxa"/>
            <w:vAlign w:val="bottom"/>
            <w:tcBorders>
              <w:left w:val="single" w:sz="8" w:color="7F7F7F"/>
            </w:tcBorders>
            <w:shd w:val="clear" w:color="auto" w:fill="D8D8D8"/>
          </w:tcPr>
          <w:p>
            <w:pPr>
              <w:ind w:left="160"/>
              <w:spacing w:after="0" w:line="243" w:lineRule="exact"/>
              <w:rPr>
                <w:sz w:val="20"/>
                <w:szCs w:val="20"/>
                <w:color w:val="auto"/>
              </w:rPr>
            </w:pPr>
            <w:r>
              <w:rPr>
                <w:rFonts w:ascii="Arial" w:cs="Arial" w:eastAsia="Arial" w:hAnsi="Arial"/>
                <w:sz w:val="14"/>
                <w:szCs w:val="14"/>
                <w:color w:val="auto"/>
              </w:rPr>
              <w:t>ESIP Company Contributions</w:t>
            </w:r>
            <w:r>
              <w:rPr>
                <w:rFonts w:ascii="Arial" w:cs="Arial" w:eastAsia="Arial" w:hAnsi="Arial"/>
                <w:sz w:val="24"/>
                <w:szCs w:val="24"/>
                <w:color w:val="auto"/>
                <w:vertAlign w:val="superscript"/>
              </w:rPr>
              <w:t>(a)</w:t>
            </w:r>
          </w:p>
        </w:tc>
        <w:tc>
          <w:tcPr>
            <w:tcW w:w="18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23,200</w:t>
            </w:r>
          </w:p>
        </w:tc>
        <w:tc>
          <w:tcPr>
            <w:tcW w:w="2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23,200</w:t>
            </w:r>
          </w:p>
        </w:tc>
        <w:tc>
          <w:tcPr>
            <w:tcW w:w="1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23,200</w:t>
            </w:r>
          </w:p>
        </w:tc>
        <w:tc>
          <w:tcPr>
            <w:tcW w:w="2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23,200</w:t>
            </w:r>
          </w:p>
        </w:tc>
        <w:tc>
          <w:tcPr>
            <w:tcW w:w="2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7F7F7F"/>
            </w:tcBorders>
            <w:shd w:val="clear" w:color="auto" w:fill="D8D8D8"/>
          </w:tcPr>
          <w:p>
            <w:pPr>
              <w:jc w:val="right"/>
              <w:ind w:right="48"/>
              <w:spacing w:after="0"/>
              <w:rPr>
                <w:sz w:val="20"/>
                <w:szCs w:val="20"/>
                <w:color w:val="auto"/>
              </w:rPr>
            </w:pPr>
            <w:r>
              <w:rPr>
                <w:rFonts w:ascii="Arial" w:cs="Arial" w:eastAsia="Arial" w:hAnsi="Arial"/>
                <w:sz w:val="14"/>
                <w:szCs w:val="14"/>
                <w:color w:val="auto"/>
              </w:rPr>
              <w:t>23,200</w:t>
            </w:r>
          </w:p>
        </w:tc>
      </w:tr>
      <w:tr>
        <w:trPr>
          <w:trHeight w:val="243"/>
        </w:trPr>
        <w:tc>
          <w:tcPr>
            <w:tcW w:w="4160" w:type="dxa"/>
            <w:vAlign w:val="bottom"/>
            <w:tcBorders>
              <w:left w:val="single" w:sz="8" w:color="7F7F7F"/>
            </w:tcBorders>
          </w:tcPr>
          <w:p>
            <w:pPr>
              <w:ind w:left="160"/>
              <w:spacing w:after="0" w:line="243" w:lineRule="exact"/>
              <w:rPr>
                <w:sz w:val="20"/>
                <w:szCs w:val="20"/>
                <w:color w:val="auto"/>
              </w:rPr>
            </w:pPr>
            <w:r>
              <w:rPr>
                <w:rFonts w:ascii="Arial" w:cs="Arial" w:eastAsia="Arial" w:hAnsi="Arial"/>
                <w:sz w:val="14"/>
                <w:szCs w:val="14"/>
                <w:color w:val="auto"/>
              </w:rPr>
              <w:t>ESIP-RP Company Contributions</w:t>
            </w:r>
            <w:r>
              <w:rPr>
                <w:rFonts w:ascii="Arial" w:cs="Arial" w:eastAsia="Arial" w:hAnsi="Arial"/>
                <w:sz w:val="24"/>
                <w:szCs w:val="24"/>
                <w:color w:val="auto"/>
                <w:vertAlign w:val="superscript"/>
              </w:rPr>
              <w:t>(a)</w:t>
            </w:r>
          </w:p>
        </w:tc>
        <w:tc>
          <w:tcPr>
            <w:tcW w:w="18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108,800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58,400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73,600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58,400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7F7F7F"/>
            </w:tcBorders>
          </w:tcPr>
          <w:p>
            <w:pPr>
              <w:jc w:val="right"/>
              <w:ind w:right="48"/>
              <w:spacing w:after="0"/>
              <w:rPr>
                <w:sz w:val="20"/>
                <w:szCs w:val="20"/>
                <w:color w:val="auto"/>
              </w:rPr>
            </w:pPr>
            <w:r>
              <w:rPr>
                <w:rFonts w:ascii="Arial" w:cs="Arial" w:eastAsia="Arial" w:hAnsi="Arial"/>
                <w:sz w:val="14"/>
                <w:szCs w:val="14"/>
                <w:color w:val="auto"/>
              </w:rPr>
              <w:t>52,800</w:t>
            </w:r>
          </w:p>
        </w:tc>
      </w:tr>
      <w:tr>
        <w:trPr>
          <w:trHeight w:val="243"/>
        </w:trPr>
        <w:tc>
          <w:tcPr>
            <w:tcW w:w="4160" w:type="dxa"/>
            <w:vAlign w:val="bottom"/>
            <w:tcBorders>
              <w:left w:val="single" w:sz="8" w:color="7F7F7F"/>
            </w:tcBorders>
            <w:shd w:val="clear" w:color="auto" w:fill="D8D8D8"/>
          </w:tcPr>
          <w:p>
            <w:pPr>
              <w:ind w:left="160"/>
              <w:spacing w:after="0" w:line="243" w:lineRule="exact"/>
              <w:rPr>
                <w:sz w:val="20"/>
                <w:szCs w:val="20"/>
                <w:color w:val="auto"/>
              </w:rPr>
            </w:pPr>
            <w:r>
              <w:rPr>
                <w:rFonts w:ascii="Arial" w:cs="Arial" w:eastAsia="Arial" w:hAnsi="Arial"/>
                <w:sz w:val="14"/>
                <w:szCs w:val="14"/>
                <w:b w:val="1"/>
                <w:bCs w:val="1"/>
                <w:color w:val="auto"/>
              </w:rPr>
              <w:t>Perquisites</w:t>
            </w:r>
            <w:r>
              <w:rPr>
                <w:rFonts w:ascii="Arial" w:cs="Arial" w:eastAsia="Arial" w:hAnsi="Arial"/>
                <w:sz w:val="24"/>
                <w:szCs w:val="24"/>
                <w:b w:val="1"/>
                <w:bCs w:val="1"/>
                <w:color w:val="auto"/>
                <w:vertAlign w:val="superscript"/>
              </w:rPr>
              <w:t>(b)</w:t>
            </w:r>
          </w:p>
        </w:tc>
        <w:tc>
          <w:tcPr>
            <w:tcW w:w="1880" w:type="dxa"/>
            <w:vAlign w:val="bottom"/>
            <w:shd w:val="clear" w:color="auto" w:fill="D8D8D8"/>
          </w:tcPr>
          <w:p>
            <w:pPr>
              <w:spacing w:after="0"/>
              <w:rPr>
                <w:sz w:val="21"/>
                <w:szCs w:val="21"/>
                <w:color w:val="auto"/>
              </w:rPr>
            </w:pPr>
          </w:p>
        </w:tc>
        <w:tc>
          <w:tcPr>
            <w:tcW w:w="720" w:type="dxa"/>
            <w:vAlign w:val="bottom"/>
            <w:shd w:val="clear" w:color="auto" w:fill="D8D8D8"/>
          </w:tcPr>
          <w:p>
            <w:pPr>
              <w:spacing w:after="0"/>
              <w:rPr>
                <w:sz w:val="21"/>
                <w:szCs w:val="21"/>
                <w:color w:val="auto"/>
              </w:rPr>
            </w:pPr>
          </w:p>
        </w:tc>
        <w:tc>
          <w:tcPr>
            <w:tcW w:w="200" w:type="dxa"/>
            <w:vAlign w:val="bottom"/>
            <w:shd w:val="clear" w:color="auto" w:fill="D8D8D8"/>
          </w:tcPr>
          <w:p>
            <w:pPr>
              <w:spacing w:after="0"/>
              <w:rPr>
                <w:sz w:val="21"/>
                <w:szCs w:val="21"/>
                <w:color w:val="auto"/>
              </w:rPr>
            </w:pPr>
          </w:p>
        </w:tc>
        <w:tc>
          <w:tcPr>
            <w:tcW w:w="720" w:type="dxa"/>
            <w:vAlign w:val="bottom"/>
            <w:shd w:val="clear" w:color="auto" w:fill="D8D8D8"/>
          </w:tcPr>
          <w:p>
            <w:pPr>
              <w:spacing w:after="0"/>
              <w:rPr>
                <w:sz w:val="21"/>
                <w:szCs w:val="21"/>
                <w:color w:val="auto"/>
              </w:rPr>
            </w:pPr>
          </w:p>
        </w:tc>
        <w:tc>
          <w:tcPr>
            <w:tcW w:w="180" w:type="dxa"/>
            <w:vAlign w:val="bottom"/>
            <w:shd w:val="clear" w:color="auto" w:fill="D8D8D8"/>
          </w:tcPr>
          <w:p>
            <w:pPr>
              <w:spacing w:after="0"/>
              <w:rPr>
                <w:sz w:val="21"/>
                <w:szCs w:val="21"/>
                <w:color w:val="auto"/>
              </w:rPr>
            </w:pPr>
          </w:p>
        </w:tc>
        <w:tc>
          <w:tcPr>
            <w:tcW w:w="780" w:type="dxa"/>
            <w:vAlign w:val="bottom"/>
            <w:shd w:val="clear" w:color="auto" w:fill="D8D8D8"/>
          </w:tcPr>
          <w:p>
            <w:pPr>
              <w:spacing w:after="0"/>
              <w:rPr>
                <w:sz w:val="21"/>
                <w:szCs w:val="21"/>
                <w:color w:val="auto"/>
              </w:rPr>
            </w:pPr>
          </w:p>
        </w:tc>
        <w:tc>
          <w:tcPr>
            <w:tcW w:w="200" w:type="dxa"/>
            <w:vAlign w:val="bottom"/>
            <w:shd w:val="clear" w:color="auto" w:fill="D8D8D8"/>
          </w:tcPr>
          <w:p>
            <w:pPr>
              <w:spacing w:after="0"/>
              <w:rPr>
                <w:sz w:val="21"/>
                <w:szCs w:val="21"/>
                <w:color w:val="auto"/>
              </w:rPr>
            </w:pPr>
          </w:p>
        </w:tc>
        <w:tc>
          <w:tcPr>
            <w:tcW w:w="760" w:type="dxa"/>
            <w:vAlign w:val="bottom"/>
            <w:shd w:val="clear" w:color="auto" w:fill="D8D8D8"/>
          </w:tcPr>
          <w:p>
            <w:pPr>
              <w:spacing w:after="0"/>
              <w:rPr>
                <w:sz w:val="21"/>
                <w:szCs w:val="21"/>
                <w:color w:val="auto"/>
              </w:rPr>
            </w:pPr>
          </w:p>
        </w:tc>
        <w:tc>
          <w:tcPr>
            <w:tcW w:w="220" w:type="dxa"/>
            <w:vAlign w:val="bottom"/>
            <w:shd w:val="clear" w:color="auto" w:fill="D8D8D8"/>
          </w:tcPr>
          <w:p>
            <w:pPr>
              <w:spacing w:after="0"/>
              <w:rPr>
                <w:sz w:val="21"/>
                <w:szCs w:val="21"/>
                <w:color w:val="auto"/>
              </w:rPr>
            </w:pPr>
          </w:p>
        </w:tc>
        <w:tc>
          <w:tcPr>
            <w:tcW w:w="780" w:type="dxa"/>
            <w:vAlign w:val="bottom"/>
            <w:tcBorders>
              <w:right w:val="single" w:sz="8" w:color="7F7F7F"/>
            </w:tcBorders>
            <w:shd w:val="clear" w:color="auto" w:fill="D8D8D8"/>
          </w:tcPr>
          <w:p>
            <w:pPr>
              <w:spacing w:after="0"/>
              <w:rPr>
                <w:sz w:val="21"/>
                <w:szCs w:val="21"/>
                <w:color w:val="auto"/>
              </w:rPr>
            </w:pPr>
          </w:p>
        </w:tc>
      </w:tr>
      <w:tr>
        <w:trPr>
          <w:trHeight w:val="243"/>
        </w:trPr>
        <w:tc>
          <w:tcPr>
            <w:tcW w:w="4160" w:type="dxa"/>
            <w:vAlign w:val="bottom"/>
            <w:tcBorders>
              <w:left w:val="single" w:sz="8" w:color="7F7F7F"/>
            </w:tcBorders>
          </w:tcPr>
          <w:p>
            <w:pPr>
              <w:ind w:left="300"/>
              <w:spacing w:after="0" w:line="243" w:lineRule="exact"/>
              <w:rPr>
                <w:sz w:val="20"/>
                <w:szCs w:val="20"/>
                <w:color w:val="auto"/>
              </w:rPr>
            </w:pPr>
            <w:r>
              <w:rPr>
                <w:rFonts w:ascii="Arial" w:cs="Arial" w:eastAsia="Arial" w:hAnsi="Arial"/>
                <w:sz w:val="14"/>
                <w:szCs w:val="14"/>
                <w:color w:val="auto"/>
              </w:rPr>
              <w:t>Financial Counseling</w:t>
            </w:r>
            <w:r>
              <w:rPr>
                <w:rFonts w:ascii="Arial" w:cs="Arial" w:eastAsia="Arial" w:hAnsi="Arial"/>
                <w:sz w:val="24"/>
                <w:szCs w:val="24"/>
                <w:color w:val="auto"/>
                <w:vertAlign w:val="superscript"/>
              </w:rPr>
              <w:t>(c)</w:t>
            </w:r>
          </w:p>
        </w:tc>
        <w:tc>
          <w:tcPr>
            <w:tcW w:w="18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19,305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23,312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23,078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16,884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7F7F7F"/>
            </w:tcBorders>
          </w:tcPr>
          <w:p>
            <w:pPr>
              <w:ind w:left="220"/>
              <w:spacing w:after="0"/>
              <w:rPr>
                <w:sz w:val="20"/>
                <w:szCs w:val="20"/>
                <w:color w:val="auto"/>
              </w:rPr>
            </w:pPr>
            <w:r>
              <w:rPr>
                <w:rFonts w:ascii="Arial" w:cs="Arial" w:eastAsia="Arial" w:hAnsi="Arial"/>
                <w:sz w:val="14"/>
                <w:szCs w:val="14"/>
                <w:color w:val="auto"/>
              </w:rPr>
              <w:t>26,011</w:t>
            </w:r>
          </w:p>
        </w:tc>
      </w:tr>
      <w:tr>
        <w:trPr>
          <w:trHeight w:val="243"/>
        </w:trPr>
        <w:tc>
          <w:tcPr>
            <w:tcW w:w="4160" w:type="dxa"/>
            <w:vAlign w:val="bottom"/>
            <w:tcBorders>
              <w:left w:val="single" w:sz="8" w:color="7F7F7F"/>
            </w:tcBorders>
            <w:shd w:val="clear" w:color="auto" w:fill="D8D8D8"/>
          </w:tcPr>
          <w:p>
            <w:pPr>
              <w:ind w:left="300"/>
              <w:spacing w:after="0" w:line="243" w:lineRule="exact"/>
              <w:rPr>
                <w:sz w:val="20"/>
                <w:szCs w:val="20"/>
                <w:color w:val="auto"/>
              </w:rPr>
            </w:pPr>
            <w:r>
              <w:rPr>
                <w:rFonts w:ascii="Arial" w:cs="Arial" w:eastAsia="Arial" w:hAnsi="Arial"/>
                <w:sz w:val="14"/>
                <w:szCs w:val="14"/>
                <w:color w:val="auto"/>
              </w:rPr>
              <w:t>Motor Vehicles</w:t>
            </w:r>
            <w:r>
              <w:rPr>
                <w:rFonts w:ascii="Arial" w:cs="Arial" w:eastAsia="Arial" w:hAnsi="Arial"/>
                <w:sz w:val="24"/>
                <w:szCs w:val="24"/>
                <w:color w:val="auto"/>
                <w:vertAlign w:val="superscript"/>
              </w:rPr>
              <w:t>(d)</w:t>
            </w:r>
          </w:p>
        </w:tc>
        <w:tc>
          <w:tcPr>
            <w:tcW w:w="18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16,013</w:t>
            </w:r>
          </w:p>
        </w:tc>
        <w:tc>
          <w:tcPr>
            <w:tcW w:w="200" w:type="dxa"/>
            <w:vAlign w:val="bottom"/>
            <w:shd w:val="clear" w:color="auto" w:fill="D8D8D8"/>
          </w:tcPr>
          <w:p>
            <w:pPr>
              <w:spacing w:after="0"/>
              <w:rPr>
                <w:sz w:val="21"/>
                <w:szCs w:val="21"/>
                <w:color w:val="auto"/>
              </w:rPr>
            </w:pPr>
          </w:p>
        </w:tc>
        <w:tc>
          <w:tcPr>
            <w:tcW w:w="720" w:type="dxa"/>
            <w:vAlign w:val="bottom"/>
            <w:shd w:val="clear" w:color="auto" w:fill="D8D8D8"/>
          </w:tcPr>
          <w:p>
            <w:pPr>
              <w:jc w:val="right"/>
              <w:ind w:right="288"/>
              <w:spacing w:after="0"/>
              <w:rPr>
                <w:sz w:val="20"/>
                <w:szCs w:val="20"/>
                <w:color w:val="auto"/>
              </w:rPr>
            </w:pPr>
            <w:r>
              <w:rPr>
                <w:rFonts w:ascii="Arial" w:cs="Arial" w:eastAsia="Arial" w:hAnsi="Arial"/>
                <w:sz w:val="14"/>
                <w:szCs w:val="14"/>
                <w:color w:val="auto"/>
              </w:rPr>
              <w:t>—</w:t>
            </w:r>
          </w:p>
        </w:tc>
        <w:tc>
          <w:tcPr>
            <w:tcW w:w="1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312</w:t>
            </w:r>
          </w:p>
        </w:tc>
        <w:tc>
          <w:tcPr>
            <w:tcW w:w="200" w:type="dxa"/>
            <w:vAlign w:val="bottom"/>
            <w:shd w:val="clear" w:color="auto" w:fill="D8D8D8"/>
          </w:tcPr>
          <w:p>
            <w:pPr>
              <w:spacing w:after="0"/>
              <w:rPr>
                <w:sz w:val="21"/>
                <w:szCs w:val="21"/>
                <w:color w:val="auto"/>
              </w:rPr>
            </w:pPr>
          </w:p>
        </w:tc>
        <w:tc>
          <w:tcPr>
            <w:tcW w:w="760" w:type="dxa"/>
            <w:vAlign w:val="bottom"/>
            <w:shd w:val="clear" w:color="auto" w:fill="D8D8D8"/>
          </w:tcPr>
          <w:p>
            <w:pPr>
              <w:jc w:val="right"/>
              <w:ind w:right="288"/>
              <w:spacing w:after="0"/>
              <w:rPr>
                <w:sz w:val="20"/>
                <w:szCs w:val="20"/>
                <w:color w:val="auto"/>
              </w:rPr>
            </w:pPr>
            <w:r>
              <w:rPr>
                <w:rFonts w:ascii="Arial" w:cs="Arial" w:eastAsia="Arial" w:hAnsi="Arial"/>
                <w:sz w:val="14"/>
                <w:szCs w:val="14"/>
                <w:color w:val="auto"/>
              </w:rPr>
              <w:t>—</w:t>
            </w:r>
          </w:p>
        </w:tc>
        <w:tc>
          <w:tcPr>
            <w:tcW w:w="220" w:type="dxa"/>
            <w:vAlign w:val="bottom"/>
            <w:shd w:val="clear" w:color="auto" w:fill="D8D8D8"/>
          </w:tcPr>
          <w:p>
            <w:pPr>
              <w:spacing w:after="0"/>
              <w:rPr>
                <w:sz w:val="21"/>
                <w:szCs w:val="21"/>
                <w:color w:val="auto"/>
              </w:rPr>
            </w:pPr>
          </w:p>
        </w:tc>
        <w:tc>
          <w:tcPr>
            <w:tcW w:w="780" w:type="dxa"/>
            <w:vAlign w:val="bottom"/>
            <w:tcBorders>
              <w:right w:val="single" w:sz="8" w:color="7F7F7F"/>
            </w:tcBorders>
            <w:shd w:val="clear" w:color="auto" w:fill="D8D8D8"/>
          </w:tcPr>
          <w:p>
            <w:pPr>
              <w:ind w:left="240"/>
              <w:spacing w:after="0"/>
              <w:rPr>
                <w:sz w:val="20"/>
                <w:szCs w:val="20"/>
                <w:color w:val="auto"/>
              </w:rPr>
            </w:pPr>
            <w:r>
              <w:rPr>
                <w:rFonts w:ascii="Arial" w:cs="Arial" w:eastAsia="Arial" w:hAnsi="Arial"/>
                <w:sz w:val="14"/>
                <w:szCs w:val="14"/>
                <w:color w:val="auto"/>
              </w:rPr>
              <w:t>—</w:t>
            </w:r>
          </w:p>
        </w:tc>
      </w:tr>
      <w:tr>
        <w:trPr>
          <w:trHeight w:val="243"/>
        </w:trPr>
        <w:tc>
          <w:tcPr>
            <w:tcW w:w="4160" w:type="dxa"/>
            <w:vAlign w:val="bottom"/>
            <w:tcBorders>
              <w:left w:val="single" w:sz="8" w:color="7F7F7F"/>
            </w:tcBorders>
          </w:tcPr>
          <w:p>
            <w:pPr>
              <w:ind w:left="300"/>
              <w:spacing w:after="0" w:line="243" w:lineRule="exact"/>
              <w:rPr>
                <w:sz w:val="20"/>
                <w:szCs w:val="20"/>
                <w:color w:val="auto"/>
              </w:rPr>
            </w:pPr>
            <w:r>
              <w:rPr>
                <w:rFonts w:ascii="Arial" w:cs="Arial" w:eastAsia="Arial" w:hAnsi="Arial"/>
                <w:sz w:val="14"/>
                <w:szCs w:val="14"/>
                <w:color w:val="auto"/>
              </w:rPr>
              <w:t>Corporate Aircraft</w:t>
            </w:r>
            <w:r>
              <w:rPr>
                <w:rFonts w:ascii="Arial" w:cs="Arial" w:eastAsia="Arial" w:hAnsi="Arial"/>
                <w:sz w:val="24"/>
                <w:szCs w:val="24"/>
                <w:color w:val="auto"/>
                <w:vertAlign w:val="superscript"/>
              </w:rPr>
              <w:t>(e)</w:t>
            </w:r>
          </w:p>
        </w:tc>
        <w:tc>
          <w:tcPr>
            <w:tcW w:w="18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143,994</w:t>
            </w:r>
          </w:p>
        </w:tc>
        <w:tc>
          <w:tcPr>
            <w:tcW w:w="200" w:type="dxa"/>
            <w:vAlign w:val="bottom"/>
          </w:tcPr>
          <w:p>
            <w:pPr>
              <w:spacing w:after="0"/>
              <w:rPr>
                <w:sz w:val="21"/>
                <w:szCs w:val="21"/>
                <w:color w:val="auto"/>
              </w:rPr>
            </w:pPr>
          </w:p>
        </w:tc>
        <w:tc>
          <w:tcPr>
            <w:tcW w:w="7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7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780" w:type="dxa"/>
            <w:vAlign w:val="bottom"/>
            <w:tcBorders>
              <w:right w:val="single" w:sz="8" w:color="7F7F7F"/>
            </w:tcBorders>
          </w:tcPr>
          <w:p>
            <w:pPr>
              <w:ind w:left="240"/>
              <w:spacing w:after="0"/>
              <w:rPr>
                <w:sz w:val="20"/>
                <w:szCs w:val="20"/>
                <w:color w:val="auto"/>
              </w:rPr>
            </w:pPr>
            <w:r>
              <w:rPr>
                <w:rFonts w:ascii="Arial" w:cs="Arial" w:eastAsia="Arial" w:hAnsi="Arial"/>
                <w:sz w:val="14"/>
                <w:szCs w:val="14"/>
                <w:color w:val="auto"/>
              </w:rPr>
              <w:t>—</w:t>
            </w:r>
          </w:p>
        </w:tc>
      </w:tr>
      <w:tr>
        <w:trPr>
          <w:trHeight w:val="243"/>
        </w:trPr>
        <w:tc>
          <w:tcPr>
            <w:tcW w:w="4160" w:type="dxa"/>
            <w:vAlign w:val="bottom"/>
            <w:tcBorders>
              <w:left w:val="single" w:sz="8" w:color="7F7F7F"/>
            </w:tcBorders>
            <w:shd w:val="clear" w:color="auto" w:fill="D8D8D8"/>
          </w:tcPr>
          <w:p>
            <w:pPr>
              <w:ind w:left="300"/>
              <w:spacing w:after="0" w:line="243" w:lineRule="exact"/>
              <w:rPr>
                <w:sz w:val="20"/>
                <w:szCs w:val="20"/>
                <w:color w:val="auto"/>
              </w:rPr>
            </w:pPr>
            <w:r>
              <w:rPr>
                <w:rFonts w:ascii="Arial" w:cs="Arial" w:eastAsia="Arial" w:hAnsi="Arial"/>
                <w:sz w:val="14"/>
                <w:szCs w:val="14"/>
                <w:color w:val="auto"/>
              </w:rPr>
              <w:t>Security</w:t>
            </w:r>
            <w:r>
              <w:rPr>
                <w:rFonts w:ascii="Arial" w:cs="Arial" w:eastAsia="Arial" w:hAnsi="Arial"/>
                <w:sz w:val="24"/>
                <w:szCs w:val="24"/>
                <w:color w:val="auto"/>
                <w:vertAlign w:val="superscript"/>
              </w:rPr>
              <w:t>(f)</w:t>
            </w:r>
          </w:p>
        </w:tc>
        <w:tc>
          <w:tcPr>
            <w:tcW w:w="18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39,384</w:t>
            </w:r>
          </w:p>
        </w:tc>
        <w:tc>
          <w:tcPr>
            <w:tcW w:w="2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13,390</w:t>
            </w:r>
          </w:p>
        </w:tc>
        <w:tc>
          <w:tcPr>
            <w:tcW w:w="1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49,864</w:t>
            </w:r>
          </w:p>
        </w:tc>
        <w:tc>
          <w:tcPr>
            <w:tcW w:w="2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13,390</w:t>
            </w:r>
          </w:p>
        </w:tc>
        <w:tc>
          <w:tcPr>
            <w:tcW w:w="2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7F7F7F"/>
            </w:tcBorders>
            <w:shd w:val="clear" w:color="auto" w:fill="D8D8D8"/>
          </w:tcPr>
          <w:p>
            <w:pPr>
              <w:jc w:val="right"/>
              <w:ind w:right="48"/>
              <w:spacing w:after="0"/>
              <w:rPr>
                <w:sz w:val="20"/>
                <w:szCs w:val="20"/>
                <w:color w:val="auto"/>
              </w:rPr>
            </w:pPr>
            <w:r>
              <w:rPr>
                <w:rFonts w:ascii="Arial" w:cs="Arial" w:eastAsia="Arial" w:hAnsi="Arial"/>
                <w:sz w:val="14"/>
                <w:szCs w:val="14"/>
                <w:color w:val="auto"/>
              </w:rPr>
              <w:t>13,390</w:t>
            </w:r>
          </w:p>
        </w:tc>
      </w:tr>
      <w:tr>
        <w:trPr>
          <w:trHeight w:val="243"/>
        </w:trPr>
        <w:tc>
          <w:tcPr>
            <w:tcW w:w="4160" w:type="dxa"/>
            <w:vAlign w:val="bottom"/>
            <w:tcBorders>
              <w:left w:val="single" w:sz="8" w:color="7F7F7F"/>
            </w:tcBorders>
          </w:tcPr>
          <w:p>
            <w:pPr>
              <w:ind w:left="300"/>
              <w:spacing w:after="0" w:line="243" w:lineRule="exact"/>
              <w:rPr>
                <w:sz w:val="20"/>
                <w:szCs w:val="20"/>
                <w:color w:val="auto"/>
              </w:rPr>
            </w:pPr>
            <w:r>
              <w:rPr>
                <w:rFonts w:ascii="Arial" w:cs="Arial" w:eastAsia="Arial" w:hAnsi="Arial"/>
                <w:sz w:val="14"/>
                <w:szCs w:val="14"/>
                <w:color w:val="auto"/>
              </w:rPr>
              <w:t>Executive Physical</w:t>
            </w:r>
            <w:r>
              <w:rPr>
                <w:rFonts w:ascii="Arial" w:cs="Arial" w:eastAsia="Arial" w:hAnsi="Arial"/>
                <w:sz w:val="24"/>
                <w:szCs w:val="24"/>
                <w:color w:val="auto"/>
                <w:vertAlign w:val="superscript"/>
              </w:rPr>
              <w:t>(g)</w:t>
            </w:r>
          </w:p>
        </w:tc>
        <w:tc>
          <w:tcPr>
            <w:tcW w:w="1880" w:type="dxa"/>
            <w:vAlign w:val="bottom"/>
          </w:tcPr>
          <w:p>
            <w:pPr>
              <w:spacing w:after="0"/>
              <w:rPr>
                <w:sz w:val="21"/>
                <w:szCs w:val="21"/>
                <w:color w:val="auto"/>
              </w:rPr>
            </w:pPr>
          </w:p>
        </w:tc>
        <w:tc>
          <w:tcPr>
            <w:tcW w:w="7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7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650</w:t>
            </w:r>
          </w:p>
        </w:tc>
        <w:tc>
          <w:tcPr>
            <w:tcW w:w="220" w:type="dxa"/>
            <w:vAlign w:val="bottom"/>
          </w:tcPr>
          <w:p>
            <w:pPr>
              <w:spacing w:after="0"/>
              <w:rPr>
                <w:sz w:val="21"/>
                <w:szCs w:val="21"/>
                <w:color w:val="auto"/>
              </w:rPr>
            </w:pPr>
          </w:p>
        </w:tc>
        <w:tc>
          <w:tcPr>
            <w:tcW w:w="780" w:type="dxa"/>
            <w:vAlign w:val="bottom"/>
            <w:tcBorders>
              <w:right w:val="single" w:sz="8" w:color="7F7F7F"/>
            </w:tcBorders>
          </w:tcPr>
          <w:p>
            <w:pPr>
              <w:ind w:left="240"/>
              <w:spacing w:after="0"/>
              <w:rPr>
                <w:sz w:val="20"/>
                <w:szCs w:val="20"/>
                <w:color w:val="auto"/>
              </w:rPr>
            </w:pPr>
            <w:r>
              <w:rPr>
                <w:rFonts w:ascii="Arial" w:cs="Arial" w:eastAsia="Arial" w:hAnsi="Arial"/>
                <w:sz w:val="14"/>
                <w:szCs w:val="14"/>
                <w:color w:val="auto"/>
              </w:rPr>
              <w:t>—</w:t>
            </w:r>
          </w:p>
        </w:tc>
      </w:tr>
      <w:tr>
        <w:trPr>
          <w:trHeight w:val="243"/>
        </w:trPr>
        <w:tc>
          <w:tcPr>
            <w:tcW w:w="4160" w:type="dxa"/>
            <w:vAlign w:val="bottom"/>
            <w:tcBorders>
              <w:left w:val="single" w:sz="8" w:color="7F7F7F"/>
            </w:tcBorders>
            <w:shd w:val="clear" w:color="auto" w:fill="D8D8D8"/>
          </w:tcPr>
          <w:p>
            <w:pPr>
              <w:ind w:left="300"/>
              <w:spacing w:after="0" w:line="243" w:lineRule="exact"/>
              <w:rPr>
                <w:sz w:val="20"/>
                <w:szCs w:val="20"/>
                <w:color w:val="auto"/>
              </w:rPr>
            </w:pPr>
            <w:r>
              <w:rPr>
                <w:rFonts w:ascii="Arial" w:cs="Arial" w:eastAsia="Arial" w:hAnsi="Arial"/>
                <w:sz w:val="14"/>
                <w:szCs w:val="14"/>
                <w:color w:val="auto"/>
              </w:rPr>
              <w:t>Relocation</w:t>
            </w:r>
            <w:r>
              <w:rPr>
                <w:rFonts w:ascii="Arial" w:cs="Arial" w:eastAsia="Arial" w:hAnsi="Arial"/>
                <w:sz w:val="24"/>
                <w:szCs w:val="24"/>
                <w:color w:val="auto"/>
                <w:vertAlign w:val="superscript"/>
              </w:rPr>
              <w:t>(h)</w:t>
            </w:r>
          </w:p>
        </w:tc>
        <w:tc>
          <w:tcPr>
            <w:tcW w:w="1880" w:type="dxa"/>
            <w:vAlign w:val="bottom"/>
            <w:shd w:val="clear" w:color="auto" w:fill="D8D8D8"/>
          </w:tcPr>
          <w:p>
            <w:pPr>
              <w:spacing w:after="0"/>
              <w:rPr>
                <w:sz w:val="21"/>
                <w:szCs w:val="21"/>
                <w:color w:val="auto"/>
              </w:rPr>
            </w:pPr>
          </w:p>
        </w:tc>
        <w:tc>
          <w:tcPr>
            <w:tcW w:w="720" w:type="dxa"/>
            <w:vAlign w:val="bottom"/>
            <w:shd w:val="clear" w:color="auto" w:fill="D8D8D8"/>
          </w:tcPr>
          <w:p>
            <w:pPr>
              <w:jc w:val="right"/>
              <w:ind w:right="288"/>
              <w:spacing w:after="0"/>
              <w:rPr>
                <w:sz w:val="20"/>
                <w:szCs w:val="20"/>
                <w:color w:val="auto"/>
              </w:rPr>
            </w:pPr>
            <w:r>
              <w:rPr>
                <w:rFonts w:ascii="Arial" w:cs="Arial" w:eastAsia="Arial" w:hAnsi="Arial"/>
                <w:sz w:val="14"/>
                <w:szCs w:val="14"/>
                <w:color w:val="auto"/>
              </w:rPr>
              <w:t>—</w:t>
            </w:r>
          </w:p>
        </w:tc>
        <w:tc>
          <w:tcPr>
            <w:tcW w:w="200" w:type="dxa"/>
            <w:vAlign w:val="bottom"/>
            <w:shd w:val="clear" w:color="auto" w:fill="D8D8D8"/>
          </w:tcPr>
          <w:p>
            <w:pPr>
              <w:spacing w:after="0"/>
              <w:rPr>
                <w:sz w:val="21"/>
                <w:szCs w:val="21"/>
                <w:color w:val="auto"/>
              </w:rPr>
            </w:pPr>
          </w:p>
        </w:tc>
        <w:tc>
          <w:tcPr>
            <w:tcW w:w="720" w:type="dxa"/>
            <w:vAlign w:val="bottom"/>
            <w:shd w:val="clear" w:color="auto" w:fill="D8D8D8"/>
          </w:tcPr>
          <w:p>
            <w:pPr>
              <w:jc w:val="right"/>
              <w:ind w:right="288"/>
              <w:spacing w:after="0"/>
              <w:rPr>
                <w:sz w:val="20"/>
                <w:szCs w:val="20"/>
                <w:color w:val="auto"/>
              </w:rPr>
            </w:pPr>
            <w:r>
              <w:rPr>
                <w:rFonts w:ascii="Arial" w:cs="Arial" w:eastAsia="Arial" w:hAnsi="Arial"/>
                <w:sz w:val="14"/>
                <w:szCs w:val="14"/>
                <w:color w:val="auto"/>
              </w:rPr>
              <w:t>—</w:t>
            </w:r>
          </w:p>
        </w:tc>
        <w:tc>
          <w:tcPr>
            <w:tcW w:w="1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416,071</w:t>
            </w:r>
          </w:p>
        </w:tc>
        <w:tc>
          <w:tcPr>
            <w:tcW w:w="2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380,876</w:t>
            </w:r>
          </w:p>
        </w:tc>
        <w:tc>
          <w:tcPr>
            <w:tcW w:w="220" w:type="dxa"/>
            <w:vAlign w:val="bottom"/>
            <w:shd w:val="clear" w:color="auto" w:fill="D8D8D8"/>
          </w:tcPr>
          <w:p>
            <w:pPr>
              <w:spacing w:after="0"/>
              <w:rPr>
                <w:sz w:val="21"/>
                <w:szCs w:val="21"/>
                <w:color w:val="auto"/>
              </w:rPr>
            </w:pPr>
          </w:p>
        </w:tc>
        <w:tc>
          <w:tcPr>
            <w:tcW w:w="780" w:type="dxa"/>
            <w:vAlign w:val="bottom"/>
            <w:tcBorders>
              <w:right w:val="single" w:sz="8" w:color="7F7F7F"/>
            </w:tcBorders>
            <w:shd w:val="clear" w:color="auto" w:fill="D8D8D8"/>
          </w:tcPr>
          <w:p>
            <w:pPr>
              <w:ind w:left="240"/>
              <w:spacing w:after="0"/>
              <w:rPr>
                <w:sz w:val="20"/>
                <w:szCs w:val="20"/>
                <w:color w:val="auto"/>
              </w:rPr>
            </w:pPr>
            <w:r>
              <w:rPr>
                <w:rFonts w:ascii="Arial" w:cs="Arial" w:eastAsia="Arial" w:hAnsi="Arial"/>
                <w:sz w:val="14"/>
                <w:szCs w:val="14"/>
                <w:color w:val="auto"/>
              </w:rPr>
              <w:t>—</w:t>
            </w:r>
          </w:p>
        </w:tc>
      </w:tr>
      <w:tr>
        <w:trPr>
          <w:trHeight w:val="243"/>
        </w:trPr>
        <w:tc>
          <w:tcPr>
            <w:tcW w:w="4160" w:type="dxa"/>
            <w:vAlign w:val="bottom"/>
            <w:tcBorders>
              <w:left w:val="single" w:sz="8" w:color="7F7F7F"/>
            </w:tcBorders>
          </w:tcPr>
          <w:p>
            <w:pPr>
              <w:ind w:left="300"/>
              <w:spacing w:after="0" w:line="243" w:lineRule="exact"/>
              <w:rPr>
                <w:sz w:val="20"/>
                <w:szCs w:val="20"/>
                <w:color w:val="auto"/>
              </w:rPr>
            </w:pPr>
            <w:r>
              <w:rPr>
                <w:rFonts w:ascii="Arial" w:cs="Arial" w:eastAsia="Arial" w:hAnsi="Arial"/>
                <w:sz w:val="14"/>
                <w:szCs w:val="14"/>
                <w:color w:val="auto"/>
              </w:rPr>
              <w:t>Other</w:t>
            </w:r>
            <w:r>
              <w:rPr>
                <w:rFonts w:ascii="Arial" w:cs="Arial" w:eastAsia="Arial" w:hAnsi="Arial"/>
                <w:sz w:val="24"/>
                <w:szCs w:val="24"/>
                <w:color w:val="auto"/>
                <w:vertAlign w:val="superscript"/>
              </w:rPr>
              <w:t>(i)</w:t>
            </w:r>
          </w:p>
        </w:tc>
        <w:tc>
          <w:tcPr>
            <w:tcW w:w="18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928</w:t>
            </w:r>
          </w:p>
        </w:tc>
        <w:tc>
          <w:tcPr>
            <w:tcW w:w="200" w:type="dxa"/>
            <w:vAlign w:val="bottom"/>
          </w:tcPr>
          <w:p>
            <w:pPr>
              <w:spacing w:after="0"/>
              <w:rPr>
                <w:sz w:val="21"/>
                <w:szCs w:val="21"/>
                <w:color w:val="auto"/>
              </w:rPr>
            </w:pPr>
          </w:p>
        </w:tc>
        <w:tc>
          <w:tcPr>
            <w:tcW w:w="7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2,275</w:t>
            </w:r>
          </w:p>
        </w:tc>
        <w:tc>
          <w:tcPr>
            <w:tcW w:w="220" w:type="dxa"/>
            <w:vAlign w:val="bottom"/>
          </w:tcPr>
          <w:p>
            <w:pPr>
              <w:spacing w:after="0"/>
              <w:rPr>
                <w:sz w:val="21"/>
                <w:szCs w:val="21"/>
                <w:color w:val="auto"/>
              </w:rPr>
            </w:pPr>
          </w:p>
        </w:tc>
        <w:tc>
          <w:tcPr>
            <w:tcW w:w="780" w:type="dxa"/>
            <w:vAlign w:val="bottom"/>
            <w:tcBorders>
              <w:right w:val="single" w:sz="8" w:color="7F7F7F"/>
            </w:tcBorders>
          </w:tcPr>
          <w:p>
            <w:pPr>
              <w:ind w:left="240"/>
              <w:spacing w:after="0"/>
              <w:rPr>
                <w:sz w:val="20"/>
                <w:szCs w:val="20"/>
                <w:color w:val="auto"/>
              </w:rPr>
            </w:pPr>
            <w:r>
              <w:rPr>
                <w:rFonts w:ascii="Arial" w:cs="Arial" w:eastAsia="Arial" w:hAnsi="Arial"/>
                <w:sz w:val="14"/>
                <w:szCs w:val="14"/>
                <w:color w:val="auto"/>
              </w:rPr>
              <w:t>—</w:t>
            </w:r>
          </w:p>
        </w:tc>
      </w:tr>
      <w:tr>
        <w:trPr>
          <w:trHeight w:val="237"/>
        </w:trPr>
        <w:tc>
          <w:tcPr>
            <w:tcW w:w="4160" w:type="dxa"/>
            <w:vAlign w:val="bottom"/>
            <w:tcBorders>
              <w:left w:val="single" w:sz="8" w:color="7F7F7F"/>
              <w:bottom w:val="single" w:sz="8" w:color="7F7F7F"/>
            </w:tcBorders>
            <w:shd w:val="clear" w:color="auto" w:fill="D8D8D8"/>
          </w:tcPr>
          <w:p>
            <w:pPr>
              <w:ind w:left="160"/>
              <w:spacing w:after="0"/>
              <w:rPr>
                <w:sz w:val="20"/>
                <w:szCs w:val="20"/>
                <w:color w:val="auto"/>
              </w:rPr>
            </w:pPr>
            <w:r>
              <w:rPr>
                <w:rFonts w:ascii="Arial" w:cs="Arial" w:eastAsia="Arial" w:hAnsi="Arial"/>
                <w:sz w:val="14"/>
                <w:szCs w:val="14"/>
                <w:b w:val="1"/>
                <w:bCs w:val="1"/>
                <w:color w:val="auto"/>
              </w:rPr>
              <w:t>Total, All Other Compensation</w:t>
            </w:r>
          </w:p>
        </w:tc>
        <w:tc>
          <w:tcPr>
            <w:tcW w:w="188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7F7F7F"/>
            </w:tcBorders>
            <w:shd w:val="clear" w:color="auto" w:fill="D8D8D8"/>
          </w:tcPr>
          <w:p>
            <w:pPr>
              <w:jc w:val="right"/>
              <w:ind w:right="28"/>
              <w:spacing w:after="0"/>
              <w:rPr>
                <w:sz w:val="20"/>
                <w:szCs w:val="20"/>
                <w:color w:val="auto"/>
              </w:rPr>
            </w:pPr>
            <w:r>
              <w:rPr>
                <w:rFonts w:ascii="Arial" w:cs="Arial" w:eastAsia="Arial" w:hAnsi="Arial"/>
                <w:sz w:val="14"/>
                <w:szCs w:val="14"/>
                <w:color w:val="auto"/>
              </w:rPr>
              <w:t>351,624</w:t>
            </w:r>
          </w:p>
        </w:tc>
        <w:tc>
          <w:tcPr>
            <w:tcW w:w="20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7F7F7F"/>
            </w:tcBorders>
            <w:shd w:val="clear" w:color="auto" w:fill="D8D8D8"/>
          </w:tcPr>
          <w:p>
            <w:pPr>
              <w:jc w:val="right"/>
              <w:ind w:right="28"/>
              <w:spacing w:after="0"/>
              <w:rPr>
                <w:sz w:val="20"/>
                <w:szCs w:val="20"/>
                <w:color w:val="auto"/>
              </w:rPr>
            </w:pPr>
            <w:r>
              <w:rPr>
                <w:rFonts w:ascii="Arial" w:cs="Arial" w:eastAsia="Arial" w:hAnsi="Arial"/>
                <w:sz w:val="14"/>
                <w:szCs w:val="14"/>
                <w:color w:val="auto"/>
              </w:rPr>
              <w:t>118,302</w:t>
            </w:r>
          </w:p>
        </w:tc>
        <w:tc>
          <w:tcPr>
            <w:tcW w:w="18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7F7F7F"/>
            </w:tcBorders>
            <w:shd w:val="clear" w:color="auto" w:fill="D8D8D8"/>
          </w:tcPr>
          <w:p>
            <w:pPr>
              <w:jc w:val="right"/>
              <w:ind w:right="28"/>
              <w:spacing w:after="0"/>
              <w:rPr>
                <w:sz w:val="20"/>
                <w:szCs w:val="20"/>
                <w:color w:val="auto"/>
              </w:rPr>
            </w:pPr>
            <w:r>
              <w:rPr>
                <w:rFonts w:ascii="Arial" w:cs="Arial" w:eastAsia="Arial" w:hAnsi="Arial"/>
                <w:sz w:val="14"/>
                <w:szCs w:val="14"/>
                <w:color w:val="auto"/>
              </w:rPr>
              <w:t>586,125</w:t>
            </w:r>
          </w:p>
        </w:tc>
        <w:tc>
          <w:tcPr>
            <w:tcW w:w="20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7F7F7F"/>
            </w:tcBorders>
            <w:shd w:val="clear" w:color="auto" w:fill="D8D8D8"/>
          </w:tcPr>
          <w:p>
            <w:pPr>
              <w:jc w:val="right"/>
              <w:ind w:right="28"/>
              <w:spacing w:after="0"/>
              <w:rPr>
                <w:sz w:val="20"/>
                <w:szCs w:val="20"/>
                <w:color w:val="auto"/>
              </w:rPr>
            </w:pPr>
            <w:r>
              <w:rPr>
                <w:rFonts w:ascii="Arial" w:cs="Arial" w:eastAsia="Arial" w:hAnsi="Arial"/>
                <w:sz w:val="14"/>
                <w:szCs w:val="14"/>
                <w:color w:val="auto"/>
              </w:rPr>
              <w:t>495,675</w:t>
            </w:r>
          </w:p>
        </w:tc>
        <w:tc>
          <w:tcPr>
            <w:tcW w:w="22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7F7F7F"/>
              <w:right w:val="single" w:sz="8" w:color="7F7F7F"/>
            </w:tcBorders>
            <w:shd w:val="clear" w:color="auto" w:fill="D8D8D8"/>
          </w:tcPr>
          <w:p>
            <w:pPr>
              <w:jc w:val="right"/>
              <w:ind w:right="48"/>
              <w:spacing w:after="0"/>
              <w:rPr>
                <w:sz w:val="20"/>
                <w:szCs w:val="20"/>
                <w:color w:val="auto"/>
              </w:rPr>
            </w:pPr>
            <w:r>
              <w:rPr>
                <w:rFonts w:ascii="Arial" w:cs="Arial" w:eastAsia="Arial" w:hAnsi="Arial"/>
                <w:sz w:val="14"/>
                <w:szCs w:val="14"/>
                <w:color w:val="auto"/>
              </w:rPr>
              <w:t>115,401</w:t>
            </w:r>
          </w:p>
        </w:tc>
      </w:tr>
    </w:tbl>
    <w:p>
      <w:pPr>
        <w:spacing w:after="0" w:line="31" w:lineRule="exact"/>
        <w:rPr>
          <w:sz w:val="20"/>
          <w:szCs w:val="20"/>
          <w:color w:val="auto"/>
        </w:rPr>
      </w:pPr>
    </w:p>
    <w:p>
      <w:pPr>
        <w:ind w:left="980" w:right="80" w:hanging="432"/>
        <w:spacing w:after="0" w:line="250" w:lineRule="auto"/>
        <w:tabs>
          <w:tab w:leader="none" w:pos="980" w:val="left"/>
        </w:tabs>
        <w:numPr>
          <w:ilvl w:val="1"/>
          <w:numId w:val="98"/>
        </w:numPr>
        <w:rPr>
          <w:rFonts w:ascii="Arial" w:cs="Arial" w:eastAsia="Arial" w:hAnsi="Arial"/>
          <w:sz w:val="14"/>
          <w:szCs w:val="14"/>
          <w:color w:val="auto"/>
        </w:rPr>
      </w:pPr>
      <w:r>
        <w:rPr>
          <w:rFonts w:ascii="Arial" w:cs="Arial" w:eastAsia="Arial" w:hAnsi="Arial"/>
          <w:sz w:val="14"/>
          <w:szCs w:val="14"/>
          <w:color w:val="auto"/>
        </w:rPr>
        <w:t>The ESIP is a tax-qualified defined contribution plan open to employees on the U.S. payroll. The Company provides a matching contribution of 8% of annual compensation when an employee contributes 2% of annual compensation or 4% if they contribute 1%. Employees may also choose to contribute an amount above 2%, but none of the amount above 2% is matched. The Company match up to IRS limits ($290,000 of income in 2021) is made to the qualified ESIP account. For amounts above the IRS limit, the executive can elect to have 2% of base pay directed into the DCP, and the Company will match those funds with a contribution to the nonqualified ESIP-RP. Company contributions to the ESIP-RP are described further in the “Nonqualified Deferred Compensation Table” in this Proxy Statement.</w:t>
      </w:r>
    </w:p>
    <w:p>
      <w:pPr>
        <w:spacing w:after="0" w:line="46" w:lineRule="exact"/>
        <w:rPr>
          <w:rFonts w:ascii="Arial" w:cs="Arial" w:eastAsia="Arial" w:hAnsi="Arial"/>
          <w:sz w:val="14"/>
          <w:szCs w:val="14"/>
          <w:color w:val="auto"/>
        </w:rPr>
      </w:pPr>
    </w:p>
    <w:p>
      <w:pPr>
        <w:jc w:val="both"/>
        <w:ind w:left="980" w:right="100" w:hanging="432"/>
        <w:spacing w:after="0" w:line="263" w:lineRule="auto"/>
        <w:tabs>
          <w:tab w:leader="none" w:pos="980" w:val="left"/>
        </w:tabs>
        <w:numPr>
          <w:ilvl w:val="1"/>
          <w:numId w:val="98"/>
        </w:numPr>
        <w:rPr>
          <w:rFonts w:ascii="Arial" w:cs="Arial" w:eastAsia="Arial" w:hAnsi="Arial"/>
          <w:sz w:val="14"/>
          <w:szCs w:val="14"/>
          <w:color w:val="auto"/>
        </w:rPr>
      </w:pPr>
      <w:r>
        <w:rPr>
          <w:rFonts w:ascii="Arial" w:cs="Arial" w:eastAsia="Arial" w:hAnsi="Arial"/>
          <w:sz w:val="14"/>
          <w:szCs w:val="14"/>
          <w:color w:val="auto"/>
        </w:rPr>
        <w:t>Reflects perquisites and personal benefits received by an NEO in 2021 to the extent that the total value of such perquisites and personal benefits was equal to or exceeded $10,000. Items deemed perquisites are valued on the basis of their aggregate incremental cost to the Company. We do not provide tax gross-ups to our NEOs for any perquisites.</w:t>
      </w:r>
    </w:p>
    <w:p>
      <w:pPr>
        <w:spacing w:after="0" w:line="37" w:lineRule="exact"/>
        <w:rPr>
          <w:rFonts w:ascii="Arial" w:cs="Arial" w:eastAsia="Arial" w:hAnsi="Arial"/>
          <w:sz w:val="14"/>
          <w:szCs w:val="14"/>
          <w:color w:val="auto"/>
        </w:rPr>
      </w:pPr>
    </w:p>
    <w:p>
      <w:pPr>
        <w:ind w:left="980" w:right="100" w:hanging="432"/>
        <w:spacing w:after="0" w:line="285" w:lineRule="auto"/>
        <w:tabs>
          <w:tab w:leader="none" w:pos="980" w:val="left"/>
        </w:tabs>
        <w:numPr>
          <w:ilvl w:val="1"/>
          <w:numId w:val="98"/>
        </w:numPr>
        <w:rPr>
          <w:rFonts w:ascii="Arial" w:cs="Arial" w:eastAsia="Arial" w:hAnsi="Arial"/>
          <w:sz w:val="14"/>
          <w:szCs w:val="14"/>
          <w:color w:val="auto"/>
        </w:rPr>
      </w:pPr>
      <w:r>
        <w:rPr>
          <w:rFonts w:ascii="Arial" w:cs="Arial" w:eastAsia="Arial" w:hAnsi="Arial"/>
          <w:sz w:val="14"/>
          <w:szCs w:val="14"/>
          <w:color w:val="auto"/>
        </w:rPr>
        <w:t>Reflects amounts related to income tax preparation services, plus other services provided under Chevron’s Financial Counseling Program, including life event, tax, investment, and estate planning services.</w:t>
      </w:r>
    </w:p>
    <w:p>
      <w:pPr>
        <w:spacing w:after="0" w:line="22" w:lineRule="exact"/>
        <w:rPr>
          <w:rFonts w:ascii="Arial" w:cs="Arial" w:eastAsia="Arial" w:hAnsi="Arial"/>
          <w:sz w:val="14"/>
          <w:szCs w:val="14"/>
          <w:color w:val="auto"/>
        </w:rPr>
      </w:pPr>
    </w:p>
    <w:p>
      <w:pPr>
        <w:ind w:left="980" w:right="40" w:hanging="432"/>
        <w:spacing w:after="0" w:line="252" w:lineRule="auto"/>
        <w:tabs>
          <w:tab w:leader="none" w:pos="980" w:val="left"/>
        </w:tabs>
        <w:numPr>
          <w:ilvl w:val="1"/>
          <w:numId w:val="98"/>
        </w:numPr>
        <w:rPr>
          <w:rFonts w:ascii="Arial" w:cs="Arial" w:eastAsia="Arial" w:hAnsi="Arial"/>
          <w:sz w:val="14"/>
          <w:szCs w:val="14"/>
          <w:color w:val="auto"/>
        </w:rPr>
      </w:pPr>
      <w:r>
        <w:rPr>
          <w:rFonts w:ascii="Arial" w:cs="Arial" w:eastAsia="Arial" w:hAnsi="Arial"/>
          <w:sz w:val="14"/>
          <w:szCs w:val="14"/>
          <w:color w:val="auto"/>
        </w:rPr>
        <w:t>The Company maintains cars and drivers that the NEOs may use for business transportation and, in certain circumstances, for personal travel. NEOs may reimburse the Company’s incremental costs for any personal travel. For security reasons, Mr. Wirth is provided with access to the Company’s cars, drivers, and security personnel for both business and personal use. The aggregate incremental cost for such personal use reflects the sum of (i) a percentage of the total variable operating costs (including fuel and incremental maintenance costs, if any) for each vehicle used for personal use, based on personal use miles divided by the total miles traveled per vehicle, and (ii) all amounts paid for driver overtime for personal use.</w:t>
      </w:r>
    </w:p>
    <w:p>
      <w:pPr>
        <w:spacing w:after="0" w:line="45" w:lineRule="exact"/>
        <w:rPr>
          <w:rFonts w:ascii="Arial" w:cs="Arial" w:eastAsia="Arial" w:hAnsi="Arial"/>
          <w:sz w:val="14"/>
          <w:szCs w:val="14"/>
          <w:color w:val="auto"/>
        </w:rPr>
      </w:pPr>
    </w:p>
    <w:p>
      <w:pPr>
        <w:ind w:left="980" w:right="60" w:hanging="432"/>
        <w:spacing w:after="0" w:line="246" w:lineRule="auto"/>
        <w:tabs>
          <w:tab w:leader="none" w:pos="980" w:val="left"/>
        </w:tabs>
        <w:numPr>
          <w:ilvl w:val="1"/>
          <w:numId w:val="98"/>
        </w:numPr>
        <w:rPr>
          <w:rFonts w:ascii="Arial" w:cs="Arial" w:eastAsia="Arial" w:hAnsi="Arial"/>
          <w:sz w:val="14"/>
          <w:szCs w:val="14"/>
          <w:color w:val="auto"/>
        </w:rPr>
      </w:pPr>
      <w:r>
        <w:rPr>
          <w:rFonts w:ascii="Arial" w:cs="Arial" w:eastAsia="Arial" w:hAnsi="Arial"/>
          <w:sz w:val="14"/>
          <w:szCs w:val="14"/>
          <w:color w:val="auto"/>
        </w:rPr>
        <w:t>Generally, executives are not allowed to use Company planes for personal use. For security reasons due to the nature of Chevron’s business as a global integrated energy company, the Board mandates that Mr. Wirth fly on the corporate aircraft for all business and personal travel whenever it is feasible. Chevron U.S.A. Inc. (CUSA) and Mr. Wirth have entered into an Aircraft Time-Sharing Agreement (“ATSA”). Pursuant to the terms of the ATSA, Mr. Wirth reimbursed CUSA for a portion of his personal use of the corporate aircraft in 2021 within amounts permitted under FAA regulations. On a very limited basis, the CEO may authorize the personal use of a Company plane by other persons if, for example, it is in relation to and part of a trip that is otherwise business-related, such as authorizing a spouse and/or other family members to accompany an executive on business travel (for which there was no incremental cost to the Company in 2021), or if it is in connection with a personal emergency. Aggregate incremental cost was determined by multiplying the operating hours attributable to personal use by the 2021 average hourly direct operating costs, plus actual crew and security costs (for overnight lodging, meals, transportation, and other incremental costs), plus actual flight-specific incremental costs and fees, where applicable.</w:t>
      </w:r>
    </w:p>
    <w:p>
      <w:pPr>
        <w:spacing w:after="0" w:line="53" w:lineRule="exact"/>
        <w:rPr>
          <w:rFonts w:ascii="Arial" w:cs="Arial" w:eastAsia="Arial" w:hAnsi="Arial"/>
          <w:sz w:val="14"/>
          <w:szCs w:val="14"/>
          <w:color w:val="auto"/>
        </w:rPr>
      </w:pPr>
    </w:p>
    <w:p>
      <w:pPr>
        <w:ind w:left="980" w:right="520" w:hanging="432"/>
        <w:spacing w:after="0" w:line="256" w:lineRule="auto"/>
        <w:tabs>
          <w:tab w:leader="none" w:pos="980" w:val="left"/>
        </w:tabs>
        <w:numPr>
          <w:ilvl w:val="1"/>
          <w:numId w:val="98"/>
        </w:numPr>
        <w:rPr>
          <w:rFonts w:ascii="Arial" w:cs="Arial" w:eastAsia="Arial" w:hAnsi="Arial"/>
          <w:sz w:val="14"/>
          <w:szCs w:val="14"/>
          <w:color w:val="auto"/>
        </w:rPr>
      </w:pPr>
      <w:r>
        <w:rPr>
          <w:rFonts w:ascii="Arial" w:cs="Arial" w:eastAsia="Arial" w:hAnsi="Arial"/>
          <w:sz w:val="14"/>
          <w:szCs w:val="14"/>
          <w:color w:val="auto"/>
        </w:rPr>
        <w:t>For Mr. Wirth, reflects residential security costs related to perimeter and physical security enhancements, network security and monitoring, and security consulting fees ($26,665). Also included are incremental costs of security detail incurred in relation to personal air travel (for meals, transportation, and lodging). For Mr. Johnson, includes residential security costs related to perimeter and physical security enhancements, network security and monitoring, security consulting fees, and cyber security services. For Messrs. Breber, Geagea and Nelson, includes fees for cyber security services.</w:t>
      </w:r>
    </w:p>
    <w:p>
      <w:pPr>
        <w:spacing w:after="0" w:line="42" w:lineRule="exact"/>
        <w:rPr>
          <w:rFonts w:ascii="Arial" w:cs="Arial" w:eastAsia="Arial" w:hAnsi="Arial"/>
          <w:sz w:val="14"/>
          <w:szCs w:val="14"/>
          <w:color w:val="auto"/>
        </w:rPr>
      </w:pPr>
    </w:p>
    <w:p>
      <w:pPr>
        <w:ind w:left="980" w:hanging="432"/>
        <w:spacing w:after="0"/>
        <w:tabs>
          <w:tab w:leader="none" w:pos="980" w:val="left"/>
        </w:tabs>
        <w:numPr>
          <w:ilvl w:val="1"/>
          <w:numId w:val="98"/>
        </w:numPr>
        <w:rPr>
          <w:rFonts w:ascii="Arial" w:cs="Arial" w:eastAsia="Arial" w:hAnsi="Arial"/>
          <w:sz w:val="14"/>
          <w:szCs w:val="14"/>
          <w:color w:val="auto"/>
        </w:rPr>
      </w:pPr>
      <w:r>
        <w:rPr>
          <w:rFonts w:ascii="Arial" w:cs="Arial" w:eastAsia="Arial" w:hAnsi="Arial"/>
          <w:sz w:val="14"/>
          <w:szCs w:val="14"/>
          <w:color w:val="auto"/>
        </w:rPr>
        <w:t>Includes executive physical and/or related diagnostic procedures.</w:t>
      </w:r>
    </w:p>
    <w:p>
      <w:pPr>
        <w:spacing w:after="0" w:line="82" w:lineRule="exact"/>
        <w:rPr>
          <w:rFonts w:ascii="Arial" w:cs="Arial" w:eastAsia="Arial" w:hAnsi="Arial"/>
          <w:sz w:val="14"/>
          <w:szCs w:val="14"/>
          <w:color w:val="auto"/>
        </w:rPr>
      </w:pPr>
    </w:p>
    <w:p>
      <w:pPr>
        <w:ind w:left="980" w:right="40" w:hanging="432"/>
        <w:spacing w:after="0" w:line="248" w:lineRule="auto"/>
        <w:tabs>
          <w:tab w:leader="none" w:pos="980" w:val="left"/>
        </w:tabs>
        <w:numPr>
          <w:ilvl w:val="1"/>
          <w:numId w:val="98"/>
        </w:numPr>
        <w:rPr>
          <w:rFonts w:ascii="Arial" w:cs="Arial" w:eastAsia="Arial" w:hAnsi="Arial"/>
          <w:sz w:val="14"/>
          <w:szCs w:val="14"/>
          <w:color w:val="auto"/>
        </w:rPr>
      </w:pPr>
      <w:r>
        <w:rPr>
          <w:rFonts w:ascii="Arial" w:cs="Arial" w:eastAsia="Arial" w:hAnsi="Arial"/>
          <w:sz w:val="14"/>
          <w:szCs w:val="14"/>
          <w:color w:val="auto"/>
        </w:rPr>
        <w:t>Expenses related to the relocation of an NEO’s primary work location to a location more than 50 miles away from the current location. These relocation benefits were provided under Chevron’s U.S. relocation program for all exempt employees. For Mr. Johnson, includes a home retention allowance in lieu of a payment for home sale assistance and benefits, when an eligible employee decides to retain their current residence at the time of their relocation ($381,500), shipment of household goods, home purchase assistance, temporary lodging and travel, and other standard miscellaneous relocation benefits. For Mr. Geagea, includes home sale assistance and benefits such as closing cost and commissions ($261,874), shipment of household goods ($72,188), home purchase assistance, temporary lodging and travel, and other standard miscellaneous relocation benefits. No home loss buyout benefits or tax gross-up on any relocation benefits were provided to either of Mr. Johnson or Mr. Geagea.</w:t>
      </w:r>
    </w:p>
    <w:p>
      <w:pPr>
        <w:spacing w:after="0" w:line="50" w:lineRule="exact"/>
        <w:rPr>
          <w:rFonts w:ascii="Arial" w:cs="Arial" w:eastAsia="Arial" w:hAnsi="Arial"/>
          <w:sz w:val="14"/>
          <w:szCs w:val="14"/>
          <w:color w:val="auto"/>
        </w:rPr>
      </w:pPr>
    </w:p>
    <w:p>
      <w:pPr>
        <w:ind w:left="980" w:right="100" w:hanging="432"/>
        <w:spacing w:after="0" w:line="263" w:lineRule="auto"/>
        <w:tabs>
          <w:tab w:leader="none" w:pos="980" w:val="left"/>
        </w:tabs>
        <w:numPr>
          <w:ilvl w:val="1"/>
          <w:numId w:val="98"/>
        </w:numPr>
        <w:rPr>
          <w:rFonts w:ascii="Arial" w:cs="Arial" w:eastAsia="Arial" w:hAnsi="Arial"/>
          <w:sz w:val="14"/>
          <w:szCs w:val="14"/>
          <w:color w:val="auto"/>
        </w:rPr>
      </w:pPr>
      <w:r>
        <w:rPr>
          <w:rFonts w:ascii="Arial" w:cs="Arial" w:eastAsia="Arial" w:hAnsi="Arial"/>
          <w:sz w:val="14"/>
          <w:szCs w:val="14"/>
          <w:color w:val="auto"/>
        </w:rPr>
        <w:t>Includes the aggregate incremental cost of tickets for performing arts events and commercial flights, meals, activities, ground transportation, and other amenities for corporate events or employee service anniversary trips attended by an NEO and their spouse. From time to time, the NEOs and/or their spouses attend sporting or performing arts events for which Chevron is a corporate sponsor and for which the Company incurs no incremental cost.</w:t>
      </w:r>
    </w:p>
    <w:p>
      <w:pPr>
        <w:spacing w:after="0" w:line="78" w:lineRule="exact"/>
        <w:rPr>
          <w:rFonts w:ascii="Arial" w:cs="Arial" w:eastAsia="Arial" w:hAnsi="Arial"/>
          <w:sz w:val="14"/>
          <w:szCs w:val="14"/>
          <w:color w:val="auto"/>
        </w:rPr>
      </w:pPr>
    </w:p>
    <w:p>
      <w:pPr>
        <w:ind w:left="540" w:hanging="424"/>
        <w:spacing w:after="0"/>
        <w:tabs>
          <w:tab w:leader="none" w:pos="5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For Mr. Wirth, reflects the corrected figure for All Other Compensation for 2020 following the inadvertent omission of $345 for an executive physical, incurred in 2020.</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64</w:t>
      </w:r>
    </w:p>
    <w:p>
      <w:pPr>
        <w:sectPr>
          <w:pgSz w:w="11900" w:h="16838" w:orient="portrait"/>
          <w:cols w:equalWidth="0" w:num="1">
            <w:col w:w="11140"/>
          </w:cols>
          <w:pgMar w:left="320" w:top="455" w:right="4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208280</wp:posOffset>
            </wp:positionV>
            <wp:extent cx="1474470" cy="145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474470" cy="145415"/>
                    </a:xfrm>
                    <a:prstGeom prst="rect">
                      <a:avLst/>
                    </a:prstGeom>
                    <a:noFill/>
                  </pic:spPr>
                </pic:pic>
              </a:graphicData>
            </a:graphic>
          </wp:anchor>
        </w:drawing>
      </w:r>
    </w:p>
    <w:p>
      <w:pPr>
        <w:spacing w:after="0" w:line="339"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FFFFFF"/>
        </w:rPr>
        <w:t>Executive compensation</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0B2D71"/>
        </w:rPr>
        <w:t>Grants of plan-based awards in fiscal year 2021</w:t>
      </w:r>
    </w:p>
    <w:p>
      <w:pPr>
        <w:spacing w:after="0" w:line="133"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4"/>
          <w:szCs w:val="14"/>
          <w:color w:val="auto"/>
        </w:rPr>
        <w:t>The following table sets forth information concerning the grants of non-equity and equity incentive plan awards to our NEOs in 2021. Non-equity incentive plan awards are made under our CIP, and equity incentive plan awards (i.e., performance shares, RSUs and stock options) are made under our LTIP. These awards are also described in the “Compensation Discussion and Analysis” section in this Proxy Statement.</w:t>
      </w:r>
    </w:p>
    <w:p>
      <w:pPr>
        <w:spacing w:after="0" w:line="263" w:lineRule="exact"/>
        <w:rPr>
          <w:sz w:val="20"/>
          <w:szCs w:val="20"/>
          <w:color w:val="auto"/>
        </w:rPr>
      </w:pPr>
    </w:p>
    <w:tbl>
      <w:tblPr>
        <w:tblLayout w:type="fixed"/>
        <w:tblInd w:w="130" w:type="dxa"/>
        <w:tblCellMar>
          <w:top w:w="0" w:type="dxa"/>
          <w:left w:w="0" w:type="dxa"/>
          <w:bottom w:w="0" w:type="dxa"/>
          <w:right w:w="0" w:type="dxa"/>
        </w:tblCellMar>
      </w:tblPr>
      <w:tr>
        <w:trPr>
          <w:trHeight w:val="270"/>
        </w:trPr>
        <w:tc>
          <w:tcPr>
            <w:tcW w:w="2340" w:type="dxa"/>
            <w:vAlign w:val="bottom"/>
            <w:tcBorders>
              <w:left w:val="single" w:sz="8" w:color="7F7F7F"/>
            </w:tcBorders>
            <w:shd w:val="clear" w:color="auto" w:fill="0066B2"/>
          </w:tcPr>
          <w:p>
            <w:pPr>
              <w:spacing w:after="0"/>
              <w:rPr>
                <w:sz w:val="23"/>
                <w:szCs w:val="23"/>
                <w:color w:val="auto"/>
              </w:rPr>
            </w:pPr>
          </w:p>
        </w:tc>
        <w:tc>
          <w:tcPr>
            <w:tcW w:w="700" w:type="dxa"/>
            <w:vAlign w:val="bottom"/>
            <w:shd w:val="clear" w:color="auto" w:fill="0066B2"/>
          </w:tcPr>
          <w:p>
            <w:pPr>
              <w:spacing w:after="0"/>
              <w:rPr>
                <w:sz w:val="23"/>
                <w:szCs w:val="23"/>
                <w:color w:val="auto"/>
              </w:rPr>
            </w:pPr>
          </w:p>
        </w:tc>
        <w:tc>
          <w:tcPr>
            <w:tcW w:w="840" w:type="dxa"/>
            <w:vAlign w:val="bottom"/>
            <w:shd w:val="clear" w:color="auto" w:fill="0066B2"/>
          </w:tcPr>
          <w:p>
            <w:pPr>
              <w:spacing w:after="0"/>
              <w:rPr>
                <w:sz w:val="23"/>
                <w:szCs w:val="23"/>
                <w:color w:val="auto"/>
              </w:rPr>
            </w:pPr>
          </w:p>
        </w:tc>
        <w:tc>
          <w:tcPr>
            <w:tcW w:w="700" w:type="dxa"/>
            <w:vAlign w:val="bottom"/>
            <w:shd w:val="clear" w:color="auto" w:fill="0066B2"/>
          </w:tcPr>
          <w:p>
            <w:pPr>
              <w:spacing w:after="0"/>
              <w:rPr>
                <w:sz w:val="23"/>
                <w:szCs w:val="23"/>
                <w:color w:val="auto"/>
              </w:rPr>
            </w:pPr>
          </w:p>
        </w:tc>
        <w:tc>
          <w:tcPr>
            <w:tcW w:w="160" w:type="dxa"/>
            <w:vAlign w:val="bottom"/>
            <w:shd w:val="clear" w:color="auto" w:fill="0066B2"/>
          </w:tcPr>
          <w:p>
            <w:pPr>
              <w:spacing w:after="0"/>
              <w:rPr>
                <w:sz w:val="23"/>
                <w:szCs w:val="23"/>
                <w:color w:val="auto"/>
              </w:rPr>
            </w:pPr>
          </w:p>
        </w:tc>
        <w:tc>
          <w:tcPr>
            <w:tcW w:w="740" w:type="dxa"/>
            <w:vAlign w:val="bottom"/>
            <w:shd w:val="clear" w:color="auto" w:fill="0066B2"/>
          </w:tcPr>
          <w:p>
            <w:pPr>
              <w:spacing w:after="0"/>
              <w:rPr>
                <w:sz w:val="23"/>
                <w:szCs w:val="23"/>
                <w:color w:val="auto"/>
              </w:rPr>
            </w:pPr>
          </w:p>
        </w:tc>
        <w:tc>
          <w:tcPr>
            <w:tcW w:w="120" w:type="dxa"/>
            <w:vAlign w:val="bottom"/>
            <w:shd w:val="clear" w:color="auto" w:fill="0066B2"/>
          </w:tcPr>
          <w:p>
            <w:pPr>
              <w:spacing w:after="0"/>
              <w:rPr>
                <w:sz w:val="23"/>
                <w:szCs w:val="23"/>
                <w:color w:val="auto"/>
              </w:rPr>
            </w:pPr>
          </w:p>
        </w:tc>
        <w:tc>
          <w:tcPr>
            <w:tcW w:w="720" w:type="dxa"/>
            <w:vAlign w:val="bottom"/>
            <w:shd w:val="clear" w:color="auto" w:fill="0066B2"/>
          </w:tcPr>
          <w:p>
            <w:pPr>
              <w:spacing w:after="0"/>
              <w:rPr>
                <w:sz w:val="23"/>
                <w:szCs w:val="23"/>
                <w:color w:val="auto"/>
              </w:rPr>
            </w:pPr>
          </w:p>
        </w:tc>
        <w:tc>
          <w:tcPr>
            <w:tcW w:w="800" w:type="dxa"/>
            <w:vAlign w:val="bottom"/>
            <w:shd w:val="clear" w:color="auto" w:fill="0066B2"/>
          </w:tcPr>
          <w:p>
            <w:pPr>
              <w:spacing w:after="0"/>
              <w:rPr>
                <w:sz w:val="23"/>
                <w:szCs w:val="23"/>
                <w:color w:val="auto"/>
              </w:rPr>
            </w:pPr>
          </w:p>
        </w:tc>
        <w:tc>
          <w:tcPr>
            <w:tcW w:w="520" w:type="dxa"/>
            <w:vAlign w:val="bottom"/>
            <w:shd w:val="clear" w:color="auto" w:fill="0066B2"/>
          </w:tcPr>
          <w:p>
            <w:pPr>
              <w:spacing w:after="0"/>
              <w:rPr>
                <w:sz w:val="23"/>
                <w:szCs w:val="23"/>
                <w:color w:val="auto"/>
              </w:rPr>
            </w:pPr>
          </w:p>
        </w:tc>
        <w:tc>
          <w:tcPr>
            <w:tcW w:w="500" w:type="dxa"/>
            <w:vAlign w:val="bottom"/>
            <w:shd w:val="clear" w:color="auto" w:fill="0066B2"/>
          </w:tcPr>
          <w:p>
            <w:pPr>
              <w:spacing w:after="0"/>
              <w:rPr>
                <w:sz w:val="23"/>
                <w:szCs w:val="23"/>
                <w:color w:val="auto"/>
              </w:rPr>
            </w:pPr>
          </w:p>
        </w:tc>
        <w:tc>
          <w:tcPr>
            <w:tcW w:w="680" w:type="dxa"/>
            <w:vAlign w:val="bottom"/>
            <w:shd w:val="clear" w:color="auto" w:fill="0066B2"/>
          </w:tcPr>
          <w:p>
            <w:pPr>
              <w:jc w:val="center"/>
              <w:spacing w:after="0"/>
              <w:rPr>
                <w:sz w:val="20"/>
                <w:szCs w:val="20"/>
                <w:color w:val="auto"/>
              </w:rPr>
            </w:pPr>
            <w:r>
              <w:rPr>
                <w:rFonts w:ascii="Arial" w:cs="Arial" w:eastAsia="Arial" w:hAnsi="Arial"/>
                <w:sz w:val="13"/>
                <w:szCs w:val="13"/>
                <w:b w:val="1"/>
                <w:bCs w:val="1"/>
                <w:color w:val="FFFFFF"/>
                <w:w w:val="94"/>
              </w:rPr>
              <w:t>All other</w:t>
            </w:r>
          </w:p>
        </w:tc>
        <w:tc>
          <w:tcPr>
            <w:tcW w:w="760" w:type="dxa"/>
            <w:vAlign w:val="bottom"/>
            <w:shd w:val="clear" w:color="auto" w:fill="0066B2"/>
          </w:tcPr>
          <w:p>
            <w:pPr>
              <w:jc w:val="center"/>
              <w:spacing w:after="0"/>
              <w:rPr>
                <w:sz w:val="20"/>
                <w:szCs w:val="20"/>
                <w:color w:val="auto"/>
              </w:rPr>
            </w:pPr>
            <w:r>
              <w:rPr>
                <w:rFonts w:ascii="Arial" w:cs="Arial" w:eastAsia="Arial" w:hAnsi="Arial"/>
                <w:sz w:val="13"/>
                <w:szCs w:val="13"/>
                <w:b w:val="1"/>
                <w:bCs w:val="1"/>
                <w:color w:val="FFFFFF"/>
                <w:w w:val="98"/>
              </w:rPr>
              <w:t>All other</w:t>
            </w:r>
          </w:p>
        </w:tc>
        <w:tc>
          <w:tcPr>
            <w:tcW w:w="600" w:type="dxa"/>
            <w:vAlign w:val="bottom"/>
            <w:vMerge w:val="restart"/>
            <w:shd w:val="clear" w:color="auto" w:fill="0066B2"/>
          </w:tcPr>
          <w:p>
            <w:pPr>
              <w:jc w:val="center"/>
              <w:spacing w:after="0"/>
              <w:rPr>
                <w:sz w:val="20"/>
                <w:szCs w:val="20"/>
                <w:color w:val="auto"/>
              </w:rPr>
            </w:pPr>
            <w:r>
              <w:rPr>
                <w:rFonts w:ascii="Arial" w:cs="Arial" w:eastAsia="Arial" w:hAnsi="Arial"/>
                <w:sz w:val="13"/>
                <w:szCs w:val="13"/>
                <w:b w:val="1"/>
                <w:bCs w:val="1"/>
                <w:color w:val="FFFFFF"/>
                <w:w w:val="97"/>
              </w:rPr>
              <w:t>Exercise</w:t>
            </w:r>
          </w:p>
        </w:tc>
        <w:tc>
          <w:tcPr>
            <w:tcW w:w="860" w:type="dxa"/>
            <w:vAlign w:val="bottom"/>
            <w:tcBorders>
              <w:right w:val="single" w:sz="8" w:color="7F7F7F"/>
            </w:tcBorders>
            <w:shd w:val="clear" w:color="auto" w:fill="0066B2"/>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340" w:type="dxa"/>
            <w:vAlign w:val="bottom"/>
            <w:tcBorders>
              <w:left w:val="single" w:sz="8" w:color="7F7F7F"/>
            </w:tcBorders>
            <w:shd w:val="clear" w:color="auto" w:fill="0066B2"/>
          </w:tcPr>
          <w:p>
            <w:pPr>
              <w:spacing w:after="0"/>
              <w:rPr>
                <w:sz w:val="11"/>
                <w:szCs w:val="11"/>
                <w:color w:val="auto"/>
              </w:rPr>
            </w:pPr>
          </w:p>
        </w:tc>
        <w:tc>
          <w:tcPr>
            <w:tcW w:w="700" w:type="dxa"/>
            <w:vAlign w:val="bottom"/>
            <w:shd w:val="clear" w:color="auto" w:fill="0066B2"/>
          </w:tcPr>
          <w:p>
            <w:pPr>
              <w:spacing w:after="0"/>
              <w:rPr>
                <w:sz w:val="11"/>
                <w:szCs w:val="11"/>
                <w:color w:val="auto"/>
              </w:rPr>
            </w:pPr>
          </w:p>
        </w:tc>
        <w:tc>
          <w:tcPr>
            <w:tcW w:w="840" w:type="dxa"/>
            <w:vAlign w:val="bottom"/>
            <w:shd w:val="clear" w:color="auto" w:fill="0066B2"/>
          </w:tcPr>
          <w:p>
            <w:pPr>
              <w:spacing w:after="0"/>
              <w:rPr>
                <w:sz w:val="11"/>
                <w:szCs w:val="11"/>
                <w:color w:val="auto"/>
              </w:rPr>
            </w:pPr>
          </w:p>
        </w:tc>
        <w:tc>
          <w:tcPr>
            <w:tcW w:w="700" w:type="dxa"/>
            <w:vAlign w:val="bottom"/>
            <w:shd w:val="clear" w:color="auto" w:fill="0066B2"/>
          </w:tcPr>
          <w:p>
            <w:pPr>
              <w:spacing w:after="0"/>
              <w:rPr>
                <w:sz w:val="11"/>
                <w:szCs w:val="11"/>
                <w:color w:val="auto"/>
              </w:rPr>
            </w:pPr>
          </w:p>
        </w:tc>
        <w:tc>
          <w:tcPr>
            <w:tcW w:w="160" w:type="dxa"/>
            <w:vAlign w:val="bottom"/>
            <w:shd w:val="clear" w:color="auto" w:fill="0066B2"/>
          </w:tcPr>
          <w:p>
            <w:pPr>
              <w:spacing w:after="0"/>
              <w:rPr>
                <w:sz w:val="11"/>
                <w:szCs w:val="11"/>
                <w:color w:val="auto"/>
              </w:rPr>
            </w:pPr>
          </w:p>
        </w:tc>
        <w:tc>
          <w:tcPr>
            <w:tcW w:w="740" w:type="dxa"/>
            <w:vAlign w:val="bottom"/>
            <w:shd w:val="clear" w:color="auto" w:fill="0066B2"/>
          </w:tcPr>
          <w:p>
            <w:pPr>
              <w:spacing w:after="0"/>
              <w:rPr>
                <w:sz w:val="11"/>
                <w:szCs w:val="11"/>
                <w:color w:val="auto"/>
              </w:rPr>
            </w:pPr>
          </w:p>
        </w:tc>
        <w:tc>
          <w:tcPr>
            <w:tcW w:w="120" w:type="dxa"/>
            <w:vAlign w:val="bottom"/>
            <w:shd w:val="clear" w:color="auto" w:fill="0066B2"/>
          </w:tcPr>
          <w:p>
            <w:pPr>
              <w:spacing w:after="0"/>
              <w:rPr>
                <w:sz w:val="11"/>
                <w:szCs w:val="11"/>
                <w:color w:val="auto"/>
              </w:rPr>
            </w:pPr>
          </w:p>
        </w:tc>
        <w:tc>
          <w:tcPr>
            <w:tcW w:w="720" w:type="dxa"/>
            <w:vAlign w:val="bottom"/>
            <w:shd w:val="clear" w:color="auto" w:fill="0066B2"/>
          </w:tcPr>
          <w:p>
            <w:pPr>
              <w:spacing w:after="0"/>
              <w:rPr>
                <w:sz w:val="11"/>
                <w:szCs w:val="11"/>
                <w:color w:val="auto"/>
              </w:rPr>
            </w:pPr>
          </w:p>
        </w:tc>
        <w:tc>
          <w:tcPr>
            <w:tcW w:w="800" w:type="dxa"/>
            <w:vAlign w:val="bottom"/>
            <w:shd w:val="clear" w:color="auto" w:fill="0066B2"/>
          </w:tcPr>
          <w:p>
            <w:pPr>
              <w:spacing w:after="0"/>
              <w:rPr>
                <w:sz w:val="11"/>
                <w:szCs w:val="11"/>
                <w:color w:val="auto"/>
              </w:rPr>
            </w:pPr>
          </w:p>
        </w:tc>
        <w:tc>
          <w:tcPr>
            <w:tcW w:w="520" w:type="dxa"/>
            <w:vAlign w:val="bottom"/>
            <w:shd w:val="clear" w:color="auto" w:fill="0066B2"/>
          </w:tcPr>
          <w:p>
            <w:pPr>
              <w:spacing w:after="0"/>
              <w:rPr>
                <w:sz w:val="11"/>
                <w:szCs w:val="11"/>
                <w:color w:val="auto"/>
              </w:rPr>
            </w:pPr>
          </w:p>
        </w:tc>
        <w:tc>
          <w:tcPr>
            <w:tcW w:w="500" w:type="dxa"/>
            <w:vAlign w:val="bottom"/>
            <w:shd w:val="clear" w:color="auto" w:fill="0066B2"/>
          </w:tcPr>
          <w:p>
            <w:pPr>
              <w:spacing w:after="0"/>
              <w:rPr>
                <w:sz w:val="11"/>
                <w:szCs w:val="11"/>
                <w:color w:val="auto"/>
              </w:rPr>
            </w:pPr>
          </w:p>
        </w:tc>
        <w:tc>
          <w:tcPr>
            <w:tcW w:w="680" w:type="dxa"/>
            <w:vAlign w:val="bottom"/>
            <w:shd w:val="clear" w:color="auto" w:fill="0066B2"/>
          </w:tcPr>
          <w:p>
            <w:pPr>
              <w:jc w:val="center"/>
              <w:spacing w:after="0" w:line="135" w:lineRule="exact"/>
              <w:rPr>
                <w:sz w:val="20"/>
                <w:szCs w:val="20"/>
                <w:color w:val="auto"/>
              </w:rPr>
            </w:pPr>
            <w:r>
              <w:rPr>
                <w:rFonts w:ascii="Arial" w:cs="Arial" w:eastAsia="Arial" w:hAnsi="Arial"/>
                <w:sz w:val="13"/>
                <w:szCs w:val="13"/>
                <w:b w:val="1"/>
                <w:bCs w:val="1"/>
                <w:color w:val="FFFFFF"/>
                <w:w w:val="99"/>
              </w:rPr>
              <w:t>stock</w:t>
            </w:r>
          </w:p>
        </w:tc>
        <w:tc>
          <w:tcPr>
            <w:tcW w:w="760" w:type="dxa"/>
            <w:vAlign w:val="bottom"/>
            <w:shd w:val="clear" w:color="auto" w:fill="0066B2"/>
          </w:tcPr>
          <w:p>
            <w:pPr>
              <w:jc w:val="center"/>
              <w:spacing w:after="0" w:line="135" w:lineRule="exact"/>
              <w:rPr>
                <w:sz w:val="20"/>
                <w:szCs w:val="20"/>
                <w:color w:val="auto"/>
              </w:rPr>
            </w:pPr>
            <w:r>
              <w:rPr>
                <w:rFonts w:ascii="Arial" w:cs="Arial" w:eastAsia="Arial" w:hAnsi="Arial"/>
                <w:sz w:val="13"/>
                <w:szCs w:val="13"/>
                <w:b w:val="1"/>
                <w:bCs w:val="1"/>
                <w:color w:val="FFFFFF"/>
                <w:w w:val="95"/>
              </w:rPr>
              <w:t>option</w:t>
            </w:r>
          </w:p>
        </w:tc>
        <w:tc>
          <w:tcPr>
            <w:tcW w:w="600" w:type="dxa"/>
            <w:vAlign w:val="bottom"/>
            <w:vMerge w:val="continue"/>
            <w:shd w:val="clear" w:color="auto" w:fill="0066B2"/>
          </w:tcPr>
          <w:p>
            <w:pPr>
              <w:spacing w:after="0"/>
              <w:rPr>
                <w:sz w:val="11"/>
                <w:szCs w:val="11"/>
                <w:color w:val="auto"/>
              </w:rPr>
            </w:pPr>
          </w:p>
        </w:tc>
        <w:tc>
          <w:tcPr>
            <w:tcW w:w="860" w:type="dxa"/>
            <w:vAlign w:val="bottom"/>
            <w:tcBorders>
              <w:right w:val="single" w:sz="8" w:color="7F7F7F"/>
            </w:tcBorders>
            <w:shd w:val="clear" w:color="auto" w:fill="0066B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40" w:type="dxa"/>
            <w:vAlign w:val="bottom"/>
            <w:tcBorders>
              <w:left w:val="single" w:sz="8" w:color="7F7F7F"/>
            </w:tcBorders>
            <w:shd w:val="clear" w:color="auto" w:fill="0066B2"/>
          </w:tcPr>
          <w:p>
            <w:pPr>
              <w:spacing w:after="0"/>
              <w:rPr>
                <w:sz w:val="12"/>
                <w:szCs w:val="12"/>
                <w:color w:val="auto"/>
              </w:rPr>
            </w:pPr>
          </w:p>
        </w:tc>
        <w:tc>
          <w:tcPr>
            <w:tcW w:w="700" w:type="dxa"/>
            <w:vAlign w:val="bottom"/>
            <w:shd w:val="clear" w:color="auto" w:fill="0066B2"/>
          </w:tcPr>
          <w:p>
            <w:pPr>
              <w:spacing w:after="0"/>
              <w:rPr>
                <w:sz w:val="12"/>
                <w:szCs w:val="12"/>
                <w:color w:val="auto"/>
              </w:rPr>
            </w:pPr>
          </w:p>
        </w:tc>
        <w:tc>
          <w:tcPr>
            <w:tcW w:w="840" w:type="dxa"/>
            <w:vAlign w:val="bottom"/>
            <w:shd w:val="clear" w:color="auto" w:fill="0066B2"/>
          </w:tcPr>
          <w:p>
            <w:pPr>
              <w:spacing w:after="0"/>
              <w:rPr>
                <w:sz w:val="12"/>
                <w:szCs w:val="12"/>
                <w:color w:val="auto"/>
              </w:rPr>
            </w:pPr>
          </w:p>
        </w:tc>
        <w:tc>
          <w:tcPr>
            <w:tcW w:w="2440" w:type="dxa"/>
            <w:vAlign w:val="bottom"/>
            <w:gridSpan w:val="5"/>
            <w:shd w:val="clear" w:color="auto" w:fill="0066B2"/>
          </w:tcPr>
          <w:p>
            <w:pPr>
              <w:jc w:val="center"/>
              <w:ind w:right="57"/>
              <w:spacing w:after="0"/>
              <w:rPr>
                <w:sz w:val="20"/>
                <w:szCs w:val="20"/>
                <w:color w:val="auto"/>
              </w:rPr>
            </w:pPr>
            <w:r>
              <w:rPr>
                <w:rFonts w:ascii="Arial" w:cs="Arial" w:eastAsia="Arial" w:hAnsi="Arial"/>
                <w:sz w:val="13"/>
                <w:szCs w:val="13"/>
                <w:b w:val="1"/>
                <w:bCs w:val="1"/>
                <w:color w:val="FFFFFF"/>
                <w:w w:val="97"/>
              </w:rPr>
              <w:t>Estimated future payouts</w:t>
            </w:r>
          </w:p>
        </w:tc>
        <w:tc>
          <w:tcPr>
            <w:tcW w:w="1820" w:type="dxa"/>
            <w:vAlign w:val="bottom"/>
            <w:gridSpan w:val="3"/>
            <w:shd w:val="clear" w:color="auto" w:fill="0066B2"/>
          </w:tcPr>
          <w:p>
            <w:pPr>
              <w:jc w:val="center"/>
              <w:ind w:left="37"/>
              <w:spacing w:after="0"/>
              <w:rPr>
                <w:sz w:val="20"/>
                <w:szCs w:val="20"/>
                <w:color w:val="auto"/>
              </w:rPr>
            </w:pPr>
            <w:r>
              <w:rPr>
                <w:rFonts w:ascii="Arial" w:cs="Arial" w:eastAsia="Arial" w:hAnsi="Arial"/>
                <w:sz w:val="13"/>
                <w:szCs w:val="13"/>
                <w:b w:val="1"/>
                <w:bCs w:val="1"/>
                <w:color w:val="FFFFFF"/>
                <w:w w:val="97"/>
              </w:rPr>
              <w:t>Estimated future</w:t>
            </w:r>
          </w:p>
        </w:tc>
        <w:tc>
          <w:tcPr>
            <w:tcW w:w="680" w:type="dxa"/>
            <w:vAlign w:val="bottom"/>
            <w:shd w:val="clear" w:color="auto" w:fill="0066B2"/>
          </w:tcPr>
          <w:p>
            <w:pPr>
              <w:jc w:val="center"/>
              <w:spacing w:after="0"/>
              <w:rPr>
                <w:sz w:val="20"/>
                <w:szCs w:val="20"/>
                <w:color w:val="auto"/>
              </w:rPr>
            </w:pPr>
            <w:r>
              <w:rPr>
                <w:rFonts w:ascii="Arial" w:cs="Arial" w:eastAsia="Arial" w:hAnsi="Arial"/>
                <w:sz w:val="13"/>
                <w:szCs w:val="13"/>
                <w:b w:val="1"/>
                <w:bCs w:val="1"/>
                <w:color w:val="FFFFFF"/>
                <w:w w:val="97"/>
              </w:rPr>
              <w:t>awards:</w:t>
            </w:r>
          </w:p>
        </w:tc>
        <w:tc>
          <w:tcPr>
            <w:tcW w:w="760" w:type="dxa"/>
            <w:vAlign w:val="bottom"/>
            <w:shd w:val="clear" w:color="auto" w:fill="0066B2"/>
          </w:tcPr>
          <w:p>
            <w:pPr>
              <w:jc w:val="center"/>
              <w:spacing w:after="0"/>
              <w:rPr>
                <w:sz w:val="20"/>
                <w:szCs w:val="20"/>
                <w:color w:val="auto"/>
              </w:rPr>
            </w:pPr>
            <w:r>
              <w:rPr>
                <w:rFonts w:ascii="Arial" w:cs="Arial" w:eastAsia="Arial" w:hAnsi="Arial"/>
                <w:sz w:val="13"/>
                <w:szCs w:val="13"/>
                <w:b w:val="1"/>
                <w:bCs w:val="1"/>
                <w:color w:val="FFFFFF"/>
                <w:w w:val="97"/>
              </w:rPr>
              <w:t>awards:</w:t>
            </w:r>
          </w:p>
        </w:tc>
        <w:tc>
          <w:tcPr>
            <w:tcW w:w="600" w:type="dxa"/>
            <w:vAlign w:val="bottom"/>
            <w:shd w:val="clear" w:color="auto" w:fill="0066B2"/>
          </w:tcPr>
          <w:p>
            <w:pPr>
              <w:jc w:val="center"/>
              <w:spacing w:after="0"/>
              <w:rPr>
                <w:sz w:val="20"/>
                <w:szCs w:val="20"/>
                <w:color w:val="auto"/>
              </w:rPr>
            </w:pPr>
            <w:r>
              <w:rPr>
                <w:rFonts w:ascii="Arial" w:cs="Arial" w:eastAsia="Arial" w:hAnsi="Arial"/>
                <w:sz w:val="13"/>
                <w:szCs w:val="13"/>
                <w:b w:val="1"/>
                <w:bCs w:val="1"/>
                <w:color w:val="FFFFFF"/>
                <w:w w:val="91"/>
              </w:rPr>
              <w:t>or</w:t>
            </w:r>
          </w:p>
        </w:tc>
        <w:tc>
          <w:tcPr>
            <w:tcW w:w="860" w:type="dxa"/>
            <w:vAlign w:val="bottom"/>
            <w:tcBorders>
              <w:right w:val="single" w:sz="8" w:color="7F7F7F"/>
            </w:tcBorders>
            <w:shd w:val="clear" w:color="auto" w:fill="0066B2"/>
          </w:tcPr>
          <w:p>
            <w:pPr>
              <w:jc w:val="center"/>
              <w:ind w:right="57"/>
              <w:spacing w:after="0"/>
              <w:rPr>
                <w:sz w:val="20"/>
                <w:szCs w:val="20"/>
                <w:color w:val="auto"/>
              </w:rPr>
            </w:pPr>
            <w:r>
              <w:rPr>
                <w:rFonts w:ascii="Arial" w:cs="Arial" w:eastAsia="Arial" w:hAnsi="Arial"/>
                <w:sz w:val="13"/>
                <w:szCs w:val="13"/>
                <w:b w:val="1"/>
                <w:bCs w:val="1"/>
                <w:color w:val="FFFFFF"/>
                <w:w w:val="97"/>
              </w:rPr>
              <w:t>Grant</w:t>
            </w:r>
          </w:p>
        </w:tc>
        <w:tc>
          <w:tcPr>
            <w:tcW w:w="0" w:type="dxa"/>
            <w:vAlign w:val="bottom"/>
          </w:tcPr>
          <w:p>
            <w:pPr>
              <w:spacing w:after="0"/>
              <w:rPr>
                <w:sz w:val="1"/>
                <w:szCs w:val="1"/>
                <w:color w:val="auto"/>
              </w:rPr>
            </w:pPr>
          </w:p>
        </w:tc>
      </w:tr>
      <w:tr>
        <w:trPr>
          <w:trHeight w:val="135"/>
        </w:trPr>
        <w:tc>
          <w:tcPr>
            <w:tcW w:w="2340" w:type="dxa"/>
            <w:vAlign w:val="bottom"/>
            <w:tcBorders>
              <w:left w:val="single" w:sz="8" w:color="7F7F7F"/>
            </w:tcBorders>
            <w:shd w:val="clear" w:color="auto" w:fill="0066B2"/>
          </w:tcPr>
          <w:p>
            <w:pPr>
              <w:spacing w:after="0"/>
              <w:rPr>
                <w:sz w:val="11"/>
                <w:szCs w:val="11"/>
                <w:color w:val="auto"/>
              </w:rPr>
            </w:pPr>
          </w:p>
        </w:tc>
        <w:tc>
          <w:tcPr>
            <w:tcW w:w="700" w:type="dxa"/>
            <w:vAlign w:val="bottom"/>
            <w:shd w:val="clear" w:color="auto" w:fill="0066B2"/>
          </w:tcPr>
          <w:p>
            <w:pPr>
              <w:spacing w:after="0"/>
              <w:rPr>
                <w:sz w:val="11"/>
                <w:szCs w:val="11"/>
                <w:color w:val="auto"/>
              </w:rPr>
            </w:pPr>
          </w:p>
        </w:tc>
        <w:tc>
          <w:tcPr>
            <w:tcW w:w="840" w:type="dxa"/>
            <w:vAlign w:val="bottom"/>
            <w:shd w:val="clear" w:color="auto" w:fill="0066B2"/>
          </w:tcPr>
          <w:p>
            <w:pPr>
              <w:spacing w:after="0"/>
              <w:rPr>
                <w:sz w:val="11"/>
                <w:szCs w:val="11"/>
                <w:color w:val="auto"/>
              </w:rPr>
            </w:pPr>
          </w:p>
        </w:tc>
        <w:tc>
          <w:tcPr>
            <w:tcW w:w="1720" w:type="dxa"/>
            <w:vAlign w:val="bottom"/>
            <w:gridSpan w:val="4"/>
            <w:shd w:val="clear" w:color="auto" w:fill="0066B2"/>
          </w:tcPr>
          <w:p>
            <w:pPr>
              <w:jc w:val="center"/>
              <w:ind w:left="557"/>
              <w:spacing w:after="0" w:line="135" w:lineRule="exact"/>
              <w:rPr>
                <w:sz w:val="20"/>
                <w:szCs w:val="20"/>
                <w:color w:val="auto"/>
              </w:rPr>
            </w:pPr>
            <w:r>
              <w:rPr>
                <w:rFonts w:ascii="Arial" w:cs="Arial" w:eastAsia="Arial" w:hAnsi="Arial"/>
                <w:sz w:val="13"/>
                <w:szCs w:val="13"/>
                <w:b w:val="1"/>
                <w:bCs w:val="1"/>
                <w:color w:val="FFFFFF"/>
                <w:w w:val="96"/>
              </w:rPr>
              <w:t>under non-equity</w:t>
            </w:r>
          </w:p>
        </w:tc>
        <w:tc>
          <w:tcPr>
            <w:tcW w:w="720" w:type="dxa"/>
            <w:vAlign w:val="bottom"/>
            <w:shd w:val="clear" w:color="auto" w:fill="0066B2"/>
          </w:tcPr>
          <w:p>
            <w:pPr>
              <w:spacing w:after="0"/>
              <w:rPr>
                <w:sz w:val="11"/>
                <w:szCs w:val="11"/>
                <w:color w:val="auto"/>
              </w:rPr>
            </w:pPr>
          </w:p>
        </w:tc>
        <w:tc>
          <w:tcPr>
            <w:tcW w:w="1820" w:type="dxa"/>
            <w:vAlign w:val="bottom"/>
            <w:gridSpan w:val="3"/>
            <w:shd w:val="clear" w:color="auto" w:fill="0066B2"/>
          </w:tcPr>
          <w:p>
            <w:pPr>
              <w:jc w:val="center"/>
              <w:ind w:left="37"/>
              <w:spacing w:after="0" w:line="135" w:lineRule="exact"/>
              <w:rPr>
                <w:sz w:val="20"/>
                <w:szCs w:val="20"/>
                <w:color w:val="auto"/>
              </w:rPr>
            </w:pPr>
            <w:r>
              <w:rPr>
                <w:rFonts w:ascii="Arial" w:cs="Arial" w:eastAsia="Arial" w:hAnsi="Arial"/>
                <w:sz w:val="13"/>
                <w:szCs w:val="13"/>
                <w:b w:val="1"/>
                <w:bCs w:val="1"/>
                <w:color w:val="FFFFFF"/>
                <w:w w:val="97"/>
              </w:rPr>
              <w:t>payouts under equity</w:t>
            </w:r>
          </w:p>
        </w:tc>
        <w:tc>
          <w:tcPr>
            <w:tcW w:w="680" w:type="dxa"/>
            <w:vAlign w:val="bottom"/>
            <w:shd w:val="clear" w:color="auto" w:fill="0066B2"/>
          </w:tcPr>
          <w:p>
            <w:pPr>
              <w:jc w:val="center"/>
              <w:spacing w:after="0" w:line="135" w:lineRule="exact"/>
              <w:rPr>
                <w:sz w:val="20"/>
                <w:szCs w:val="20"/>
                <w:color w:val="auto"/>
              </w:rPr>
            </w:pPr>
            <w:r>
              <w:rPr>
                <w:rFonts w:ascii="Arial" w:cs="Arial" w:eastAsia="Arial" w:hAnsi="Arial"/>
                <w:sz w:val="13"/>
                <w:szCs w:val="13"/>
                <w:b w:val="1"/>
                <w:bCs w:val="1"/>
                <w:color w:val="FFFFFF"/>
                <w:w w:val="97"/>
              </w:rPr>
              <w:t>Number</w:t>
            </w:r>
          </w:p>
        </w:tc>
        <w:tc>
          <w:tcPr>
            <w:tcW w:w="760" w:type="dxa"/>
            <w:vAlign w:val="bottom"/>
            <w:shd w:val="clear" w:color="auto" w:fill="0066B2"/>
          </w:tcPr>
          <w:p>
            <w:pPr>
              <w:jc w:val="center"/>
              <w:spacing w:after="0" w:line="135" w:lineRule="exact"/>
              <w:rPr>
                <w:sz w:val="20"/>
                <w:szCs w:val="20"/>
                <w:color w:val="auto"/>
              </w:rPr>
            </w:pPr>
            <w:r>
              <w:rPr>
                <w:rFonts w:ascii="Arial" w:cs="Arial" w:eastAsia="Arial" w:hAnsi="Arial"/>
                <w:sz w:val="13"/>
                <w:szCs w:val="13"/>
                <w:b w:val="1"/>
                <w:bCs w:val="1"/>
                <w:color w:val="FFFFFF"/>
                <w:w w:val="97"/>
              </w:rPr>
              <w:t>Number</w:t>
            </w:r>
          </w:p>
        </w:tc>
        <w:tc>
          <w:tcPr>
            <w:tcW w:w="600" w:type="dxa"/>
            <w:vAlign w:val="bottom"/>
            <w:shd w:val="clear" w:color="auto" w:fill="0066B2"/>
          </w:tcPr>
          <w:p>
            <w:pPr>
              <w:jc w:val="center"/>
              <w:spacing w:after="0" w:line="135" w:lineRule="exact"/>
              <w:rPr>
                <w:sz w:val="20"/>
                <w:szCs w:val="20"/>
                <w:color w:val="auto"/>
              </w:rPr>
            </w:pPr>
            <w:r>
              <w:rPr>
                <w:rFonts w:ascii="Arial" w:cs="Arial" w:eastAsia="Arial" w:hAnsi="Arial"/>
                <w:sz w:val="13"/>
                <w:szCs w:val="13"/>
                <w:b w:val="1"/>
                <w:bCs w:val="1"/>
                <w:color w:val="FFFFFF"/>
                <w:w w:val="94"/>
              </w:rPr>
              <w:t>base</w:t>
            </w:r>
          </w:p>
        </w:tc>
        <w:tc>
          <w:tcPr>
            <w:tcW w:w="860" w:type="dxa"/>
            <w:vAlign w:val="bottom"/>
            <w:tcBorders>
              <w:right w:val="single" w:sz="8" w:color="7F7F7F"/>
            </w:tcBorders>
            <w:shd w:val="clear" w:color="auto" w:fill="0066B2"/>
          </w:tcPr>
          <w:p>
            <w:pPr>
              <w:jc w:val="center"/>
              <w:ind w:right="57"/>
              <w:spacing w:after="0" w:line="135" w:lineRule="exact"/>
              <w:rPr>
                <w:sz w:val="20"/>
                <w:szCs w:val="20"/>
                <w:color w:val="auto"/>
              </w:rPr>
            </w:pPr>
            <w:r>
              <w:rPr>
                <w:rFonts w:ascii="Arial" w:cs="Arial" w:eastAsia="Arial" w:hAnsi="Arial"/>
                <w:sz w:val="13"/>
                <w:szCs w:val="13"/>
                <w:b w:val="1"/>
                <w:bCs w:val="1"/>
                <w:color w:val="FFFFFF"/>
                <w:w w:val="98"/>
              </w:rPr>
              <w:t>date fair</w:t>
            </w:r>
          </w:p>
        </w:tc>
        <w:tc>
          <w:tcPr>
            <w:tcW w:w="0" w:type="dxa"/>
            <w:vAlign w:val="bottom"/>
          </w:tcPr>
          <w:p>
            <w:pPr>
              <w:spacing w:after="0"/>
              <w:rPr>
                <w:sz w:val="1"/>
                <w:szCs w:val="1"/>
                <w:color w:val="auto"/>
              </w:rPr>
            </w:pPr>
          </w:p>
        </w:tc>
      </w:tr>
      <w:tr>
        <w:trPr>
          <w:trHeight w:val="135"/>
        </w:trPr>
        <w:tc>
          <w:tcPr>
            <w:tcW w:w="2340" w:type="dxa"/>
            <w:vAlign w:val="bottom"/>
            <w:tcBorders>
              <w:left w:val="single" w:sz="8" w:color="7F7F7F"/>
            </w:tcBorders>
            <w:shd w:val="clear" w:color="auto" w:fill="0066B2"/>
          </w:tcPr>
          <w:p>
            <w:pPr>
              <w:spacing w:after="0"/>
              <w:rPr>
                <w:sz w:val="11"/>
                <w:szCs w:val="11"/>
                <w:color w:val="auto"/>
              </w:rPr>
            </w:pPr>
          </w:p>
        </w:tc>
        <w:tc>
          <w:tcPr>
            <w:tcW w:w="700" w:type="dxa"/>
            <w:vAlign w:val="bottom"/>
            <w:shd w:val="clear" w:color="auto" w:fill="0066B2"/>
          </w:tcPr>
          <w:p>
            <w:pPr>
              <w:spacing w:after="0"/>
              <w:rPr>
                <w:sz w:val="11"/>
                <w:szCs w:val="11"/>
                <w:color w:val="auto"/>
              </w:rPr>
            </w:pPr>
          </w:p>
        </w:tc>
        <w:tc>
          <w:tcPr>
            <w:tcW w:w="840" w:type="dxa"/>
            <w:vAlign w:val="bottom"/>
            <w:shd w:val="clear" w:color="auto" w:fill="0066B2"/>
          </w:tcPr>
          <w:p>
            <w:pPr>
              <w:spacing w:after="0"/>
              <w:rPr>
                <w:sz w:val="11"/>
                <w:szCs w:val="11"/>
                <w:color w:val="auto"/>
              </w:rPr>
            </w:pPr>
          </w:p>
        </w:tc>
        <w:tc>
          <w:tcPr>
            <w:tcW w:w="700" w:type="dxa"/>
            <w:vAlign w:val="bottom"/>
            <w:shd w:val="clear" w:color="auto" w:fill="0066B2"/>
          </w:tcPr>
          <w:p>
            <w:pPr>
              <w:spacing w:after="0"/>
              <w:rPr>
                <w:sz w:val="11"/>
                <w:szCs w:val="11"/>
                <w:color w:val="auto"/>
              </w:rPr>
            </w:pPr>
          </w:p>
        </w:tc>
        <w:tc>
          <w:tcPr>
            <w:tcW w:w="160" w:type="dxa"/>
            <w:vAlign w:val="bottom"/>
            <w:shd w:val="clear" w:color="auto" w:fill="0066B2"/>
          </w:tcPr>
          <w:p>
            <w:pPr>
              <w:spacing w:after="0"/>
              <w:rPr>
                <w:sz w:val="11"/>
                <w:szCs w:val="11"/>
                <w:color w:val="auto"/>
              </w:rPr>
            </w:pPr>
          </w:p>
        </w:tc>
        <w:tc>
          <w:tcPr>
            <w:tcW w:w="740" w:type="dxa"/>
            <w:vAlign w:val="bottom"/>
            <w:shd w:val="clear" w:color="auto" w:fill="0066B2"/>
          </w:tcPr>
          <w:p>
            <w:pPr>
              <w:jc w:val="center"/>
              <w:ind w:right="57"/>
              <w:spacing w:after="0" w:line="135" w:lineRule="exact"/>
              <w:rPr>
                <w:sz w:val="20"/>
                <w:szCs w:val="20"/>
                <w:color w:val="auto"/>
              </w:rPr>
            </w:pPr>
            <w:r>
              <w:rPr>
                <w:rFonts w:ascii="Arial" w:cs="Arial" w:eastAsia="Arial" w:hAnsi="Arial"/>
                <w:sz w:val="13"/>
                <w:szCs w:val="13"/>
                <w:b w:val="1"/>
                <w:bCs w:val="1"/>
                <w:color w:val="FFFFFF"/>
                <w:w w:val="95"/>
              </w:rPr>
              <w:t>incentive</w:t>
            </w:r>
          </w:p>
        </w:tc>
        <w:tc>
          <w:tcPr>
            <w:tcW w:w="120" w:type="dxa"/>
            <w:vAlign w:val="bottom"/>
            <w:shd w:val="clear" w:color="auto" w:fill="0066B2"/>
          </w:tcPr>
          <w:p>
            <w:pPr>
              <w:spacing w:after="0"/>
              <w:rPr>
                <w:sz w:val="11"/>
                <w:szCs w:val="11"/>
                <w:color w:val="auto"/>
              </w:rPr>
            </w:pPr>
          </w:p>
        </w:tc>
        <w:tc>
          <w:tcPr>
            <w:tcW w:w="720" w:type="dxa"/>
            <w:vAlign w:val="bottom"/>
            <w:shd w:val="clear" w:color="auto" w:fill="0066B2"/>
          </w:tcPr>
          <w:p>
            <w:pPr>
              <w:spacing w:after="0"/>
              <w:rPr>
                <w:sz w:val="11"/>
                <w:szCs w:val="11"/>
                <w:color w:val="auto"/>
              </w:rPr>
            </w:pPr>
          </w:p>
        </w:tc>
        <w:tc>
          <w:tcPr>
            <w:tcW w:w="1320" w:type="dxa"/>
            <w:vAlign w:val="bottom"/>
            <w:gridSpan w:val="2"/>
            <w:shd w:val="clear" w:color="auto" w:fill="0066B2"/>
          </w:tcPr>
          <w:p>
            <w:pPr>
              <w:jc w:val="center"/>
              <w:ind w:left="537"/>
              <w:spacing w:after="0" w:line="135" w:lineRule="exact"/>
              <w:rPr>
                <w:sz w:val="20"/>
                <w:szCs w:val="20"/>
                <w:color w:val="auto"/>
              </w:rPr>
            </w:pPr>
            <w:r>
              <w:rPr>
                <w:rFonts w:ascii="Arial" w:cs="Arial" w:eastAsia="Arial" w:hAnsi="Arial"/>
                <w:sz w:val="13"/>
                <w:szCs w:val="13"/>
                <w:b w:val="1"/>
                <w:bCs w:val="1"/>
                <w:color w:val="FFFFFF"/>
                <w:w w:val="99"/>
              </w:rPr>
              <w:t>incentive</w:t>
            </w:r>
          </w:p>
        </w:tc>
        <w:tc>
          <w:tcPr>
            <w:tcW w:w="500" w:type="dxa"/>
            <w:vAlign w:val="bottom"/>
            <w:shd w:val="clear" w:color="auto" w:fill="0066B2"/>
          </w:tcPr>
          <w:p>
            <w:pPr>
              <w:spacing w:after="0"/>
              <w:rPr>
                <w:sz w:val="11"/>
                <w:szCs w:val="11"/>
                <w:color w:val="auto"/>
              </w:rPr>
            </w:pPr>
          </w:p>
        </w:tc>
        <w:tc>
          <w:tcPr>
            <w:tcW w:w="680" w:type="dxa"/>
            <w:vAlign w:val="bottom"/>
            <w:shd w:val="clear" w:color="auto" w:fill="0066B2"/>
          </w:tcPr>
          <w:p>
            <w:pPr>
              <w:jc w:val="right"/>
              <w:ind w:right="217"/>
              <w:spacing w:after="0" w:line="135" w:lineRule="exact"/>
              <w:rPr>
                <w:sz w:val="20"/>
                <w:szCs w:val="20"/>
                <w:color w:val="auto"/>
              </w:rPr>
            </w:pPr>
            <w:r>
              <w:rPr>
                <w:rFonts w:ascii="Arial" w:cs="Arial" w:eastAsia="Arial" w:hAnsi="Arial"/>
                <w:sz w:val="13"/>
                <w:szCs w:val="13"/>
                <w:b w:val="1"/>
                <w:bCs w:val="1"/>
                <w:color w:val="FFFFFF"/>
              </w:rPr>
              <w:t>of</w:t>
            </w:r>
          </w:p>
        </w:tc>
        <w:tc>
          <w:tcPr>
            <w:tcW w:w="760" w:type="dxa"/>
            <w:vAlign w:val="bottom"/>
            <w:shd w:val="clear" w:color="auto" w:fill="0066B2"/>
          </w:tcPr>
          <w:p>
            <w:pPr>
              <w:jc w:val="center"/>
              <w:spacing w:after="0" w:line="135" w:lineRule="exact"/>
              <w:rPr>
                <w:sz w:val="20"/>
                <w:szCs w:val="20"/>
                <w:color w:val="auto"/>
              </w:rPr>
            </w:pPr>
            <w:r>
              <w:rPr>
                <w:rFonts w:ascii="Arial" w:cs="Arial" w:eastAsia="Arial" w:hAnsi="Arial"/>
                <w:sz w:val="13"/>
                <w:szCs w:val="13"/>
                <w:b w:val="1"/>
                <w:bCs w:val="1"/>
                <w:color w:val="FFFFFF"/>
                <w:w w:val="97"/>
              </w:rPr>
              <w:t>of</w:t>
            </w:r>
          </w:p>
        </w:tc>
        <w:tc>
          <w:tcPr>
            <w:tcW w:w="600" w:type="dxa"/>
            <w:vAlign w:val="bottom"/>
            <w:shd w:val="clear" w:color="auto" w:fill="0066B2"/>
          </w:tcPr>
          <w:p>
            <w:pPr>
              <w:jc w:val="center"/>
              <w:spacing w:after="0" w:line="135" w:lineRule="exact"/>
              <w:rPr>
                <w:sz w:val="20"/>
                <w:szCs w:val="20"/>
                <w:color w:val="auto"/>
              </w:rPr>
            </w:pPr>
            <w:r>
              <w:rPr>
                <w:rFonts w:ascii="Arial" w:cs="Arial" w:eastAsia="Arial" w:hAnsi="Arial"/>
                <w:sz w:val="13"/>
                <w:szCs w:val="13"/>
                <w:b w:val="1"/>
                <w:bCs w:val="1"/>
                <w:color w:val="FFFFFF"/>
                <w:w w:val="96"/>
              </w:rPr>
              <w:t>price</w:t>
            </w:r>
          </w:p>
        </w:tc>
        <w:tc>
          <w:tcPr>
            <w:tcW w:w="860" w:type="dxa"/>
            <w:vAlign w:val="bottom"/>
            <w:tcBorders>
              <w:right w:val="single" w:sz="8" w:color="7F7F7F"/>
            </w:tcBorders>
            <w:shd w:val="clear" w:color="auto" w:fill="0066B2"/>
          </w:tcPr>
          <w:p>
            <w:pPr>
              <w:jc w:val="center"/>
              <w:ind w:right="77"/>
              <w:spacing w:after="0" w:line="135" w:lineRule="exact"/>
              <w:rPr>
                <w:sz w:val="20"/>
                <w:szCs w:val="20"/>
                <w:color w:val="auto"/>
              </w:rPr>
            </w:pPr>
            <w:r>
              <w:rPr>
                <w:rFonts w:ascii="Arial" w:cs="Arial" w:eastAsia="Arial" w:hAnsi="Arial"/>
                <w:sz w:val="13"/>
                <w:szCs w:val="13"/>
                <w:b w:val="1"/>
                <w:bCs w:val="1"/>
                <w:color w:val="FFFFFF"/>
                <w:w w:val="97"/>
              </w:rPr>
              <w:t>value of</w:t>
            </w:r>
          </w:p>
        </w:tc>
        <w:tc>
          <w:tcPr>
            <w:tcW w:w="0" w:type="dxa"/>
            <w:vAlign w:val="bottom"/>
          </w:tcPr>
          <w:p>
            <w:pPr>
              <w:spacing w:after="0"/>
              <w:rPr>
                <w:sz w:val="1"/>
                <w:szCs w:val="1"/>
                <w:color w:val="auto"/>
              </w:rPr>
            </w:pPr>
          </w:p>
        </w:tc>
      </w:tr>
      <w:tr>
        <w:trPr>
          <w:trHeight w:val="135"/>
        </w:trPr>
        <w:tc>
          <w:tcPr>
            <w:tcW w:w="2340" w:type="dxa"/>
            <w:vAlign w:val="bottom"/>
            <w:tcBorders>
              <w:left w:val="single" w:sz="8" w:color="7F7F7F"/>
            </w:tcBorders>
            <w:shd w:val="clear" w:color="auto" w:fill="0066B2"/>
          </w:tcPr>
          <w:p>
            <w:pPr>
              <w:spacing w:after="0"/>
              <w:rPr>
                <w:sz w:val="11"/>
                <w:szCs w:val="11"/>
                <w:color w:val="auto"/>
              </w:rPr>
            </w:pPr>
          </w:p>
        </w:tc>
        <w:tc>
          <w:tcPr>
            <w:tcW w:w="700" w:type="dxa"/>
            <w:vAlign w:val="bottom"/>
            <w:shd w:val="clear" w:color="auto" w:fill="0066B2"/>
          </w:tcPr>
          <w:p>
            <w:pPr>
              <w:spacing w:after="0"/>
              <w:rPr>
                <w:sz w:val="11"/>
                <w:szCs w:val="11"/>
                <w:color w:val="auto"/>
              </w:rPr>
            </w:pPr>
          </w:p>
        </w:tc>
        <w:tc>
          <w:tcPr>
            <w:tcW w:w="840" w:type="dxa"/>
            <w:vAlign w:val="bottom"/>
            <w:shd w:val="clear" w:color="auto" w:fill="0066B2"/>
          </w:tcPr>
          <w:p>
            <w:pPr>
              <w:spacing w:after="0"/>
              <w:rPr>
                <w:sz w:val="11"/>
                <w:szCs w:val="11"/>
                <w:color w:val="auto"/>
              </w:rPr>
            </w:pPr>
          </w:p>
        </w:tc>
        <w:tc>
          <w:tcPr>
            <w:tcW w:w="700" w:type="dxa"/>
            <w:vAlign w:val="bottom"/>
            <w:shd w:val="clear" w:color="auto" w:fill="0066B2"/>
          </w:tcPr>
          <w:p>
            <w:pPr>
              <w:spacing w:after="0"/>
              <w:rPr>
                <w:sz w:val="11"/>
                <w:szCs w:val="11"/>
                <w:color w:val="auto"/>
              </w:rPr>
            </w:pPr>
          </w:p>
        </w:tc>
        <w:tc>
          <w:tcPr>
            <w:tcW w:w="900" w:type="dxa"/>
            <w:vAlign w:val="bottom"/>
            <w:gridSpan w:val="2"/>
            <w:shd w:val="clear" w:color="auto" w:fill="0066B2"/>
          </w:tcPr>
          <w:p>
            <w:pPr>
              <w:jc w:val="center"/>
              <w:spacing w:after="0" w:line="135" w:lineRule="exact"/>
              <w:rPr>
                <w:sz w:val="20"/>
                <w:szCs w:val="20"/>
                <w:color w:val="auto"/>
              </w:rPr>
            </w:pPr>
            <w:r>
              <w:rPr>
                <w:rFonts w:ascii="Arial" w:cs="Arial" w:eastAsia="Arial" w:hAnsi="Arial"/>
                <w:sz w:val="13"/>
                <w:szCs w:val="13"/>
                <w:b w:val="1"/>
                <w:bCs w:val="1"/>
                <w:color w:val="FFFFFF"/>
                <w:w w:val="98"/>
              </w:rPr>
              <w:t>plan awards</w:t>
            </w:r>
            <w:r>
              <w:rPr>
                <w:rFonts w:ascii="Arial" w:cs="Arial" w:eastAsia="Arial" w:hAnsi="Arial"/>
                <w:sz w:val="10"/>
                <w:szCs w:val="10"/>
                <w:b w:val="1"/>
                <w:bCs w:val="1"/>
                <w:color w:val="FFFFFF"/>
                <w:w w:val="98"/>
              </w:rPr>
              <w:t>(1)</w:t>
            </w:r>
          </w:p>
        </w:tc>
        <w:tc>
          <w:tcPr>
            <w:tcW w:w="120" w:type="dxa"/>
            <w:vAlign w:val="bottom"/>
            <w:shd w:val="clear" w:color="auto" w:fill="0066B2"/>
          </w:tcPr>
          <w:p>
            <w:pPr>
              <w:spacing w:after="0"/>
              <w:rPr>
                <w:sz w:val="11"/>
                <w:szCs w:val="11"/>
                <w:color w:val="auto"/>
              </w:rPr>
            </w:pPr>
          </w:p>
        </w:tc>
        <w:tc>
          <w:tcPr>
            <w:tcW w:w="720" w:type="dxa"/>
            <w:vAlign w:val="bottom"/>
            <w:shd w:val="clear" w:color="auto" w:fill="0066B2"/>
          </w:tcPr>
          <w:p>
            <w:pPr>
              <w:spacing w:after="0"/>
              <w:rPr>
                <w:sz w:val="11"/>
                <w:szCs w:val="11"/>
                <w:color w:val="auto"/>
              </w:rPr>
            </w:pPr>
          </w:p>
        </w:tc>
        <w:tc>
          <w:tcPr>
            <w:tcW w:w="1820" w:type="dxa"/>
            <w:vAlign w:val="bottom"/>
            <w:gridSpan w:val="3"/>
            <w:shd w:val="clear" w:color="auto" w:fill="0066B2"/>
          </w:tcPr>
          <w:p>
            <w:pPr>
              <w:jc w:val="center"/>
              <w:ind w:left="37"/>
              <w:spacing w:after="0" w:line="135" w:lineRule="exact"/>
              <w:rPr>
                <w:sz w:val="20"/>
                <w:szCs w:val="20"/>
                <w:color w:val="auto"/>
              </w:rPr>
            </w:pPr>
            <w:r>
              <w:rPr>
                <w:rFonts w:ascii="Arial" w:cs="Arial" w:eastAsia="Arial" w:hAnsi="Arial"/>
                <w:sz w:val="13"/>
                <w:szCs w:val="13"/>
                <w:b w:val="1"/>
                <w:bCs w:val="1"/>
                <w:color w:val="FFFFFF"/>
                <w:w w:val="96"/>
              </w:rPr>
              <w:t>plan awards</w:t>
            </w:r>
            <w:r>
              <w:rPr>
                <w:rFonts w:ascii="Arial" w:cs="Arial" w:eastAsia="Arial" w:hAnsi="Arial"/>
                <w:sz w:val="10"/>
                <w:szCs w:val="10"/>
                <w:b w:val="1"/>
                <w:bCs w:val="1"/>
                <w:color w:val="FFFFFF"/>
                <w:w w:val="96"/>
              </w:rPr>
              <w:t>(2)</w:t>
            </w:r>
          </w:p>
        </w:tc>
        <w:tc>
          <w:tcPr>
            <w:tcW w:w="680" w:type="dxa"/>
            <w:vAlign w:val="bottom"/>
            <w:shd w:val="clear" w:color="auto" w:fill="0066B2"/>
          </w:tcPr>
          <w:p>
            <w:pPr>
              <w:jc w:val="center"/>
              <w:spacing w:after="0" w:line="135" w:lineRule="exact"/>
              <w:rPr>
                <w:sz w:val="20"/>
                <w:szCs w:val="20"/>
                <w:color w:val="auto"/>
              </w:rPr>
            </w:pPr>
            <w:r>
              <w:rPr>
                <w:rFonts w:ascii="Arial" w:cs="Arial" w:eastAsia="Arial" w:hAnsi="Arial"/>
                <w:sz w:val="13"/>
                <w:szCs w:val="13"/>
                <w:b w:val="1"/>
                <w:bCs w:val="1"/>
                <w:color w:val="FFFFFF"/>
              </w:rPr>
              <w:t>shares</w:t>
            </w:r>
          </w:p>
        </w:tc>
        <w:tc>
          <w:tcPr>
            <w:tcW w:w="760" w:type="dxa"/>
            <w:vAlign w:val="bottom"/>
            <w:shd w:val="clear" w:color="auto" w:fill="0066B2"/>
          </w:tcPr>
          <w:p>
            <w:pPr>
              <w:jc w:val="center"/>
              <w:spacing w:after="0" w:line="135" w:lineRule="exact"/>
              <w:rPr>
                <w:sz w:val="20"/>
                <w:szCs w:val="20"/>
                <w:color w:val="auto"/>
              </w:rPr>
            </w:pPr>
            <w:r>
              <w:rPr>
                <w:rFonts w:ascii="Arial" w:cs="Arial" w:eastAsia="Arial" w:hAnsi="Arial"/>
                <w:sz w:val="13"/>
                <w:szCs w:val="13"/>
                <w:b w:val="1"/>
                <w:bCs w:val="1"/>
                <w:color w:val="FFFFFF"/>
                <w:w w:val="98"/>
              </w:rPr>
              <w:t>securities</w:t>
            </w:r>
          </w:p>
        </w:tc>
        <w:tc>
          <w:tcPr>
            <w:tcW w:w="600" w:type="dxa"/>
            <w:vAlign w:val="bottom"/>
            <w:shd w:val="clear" w:color="auto" w:fill="0066B2"/>
          </w:tcPr>
          <w:p>
            <w:pPr>
              <w:jc w:val="center"/>
              <w:spacing w:after="0" w:line="135" w:lineRule="exact"/>
              <w:rPr>
                <w:sz w:val="20"/>
                <w:szCs w:val="20"/>
                <w:color w:val="auto"/>
              </w:rPr>
            </w:pPr>
            <w:r>
              <w:rPr>
                <w:rFonts w:ascii="Arial" w:cs="Arial" w:eastAsia="Arial" w:hAnsi="Arial"/>
                <w:sz w:val="13"/>
                <w:szCs w:val="13"/>
                <w:b w:val="1"/>
                <w:bCs w:val="1"/>
                <w:color w:val="FFFFFF"/>
                <w:w w:val="97"/>
              </w:rPr>
              <w:t>of</w:t>
            </w:r>
          </w:p>
        </w:tc>
        <w:tc>
          <w:tcPr>
            <w:tcW w:w="860" w:type="dxa"/>
            <w:vAlign w:val="bottom"/>
            <w:tcBorders>
              <w:right w:val="single" w:sz="8" w:color="7F7F7F"/>
            </w:tcBorders>
            <w:shd w:val="clear" w:color="auto" w:fill="0066B2"/>
          </w:tcPr>
          <w:p>
            <w:pPr>
              <w:jc w:val="center"/>
              <w:ind w:right="57"/>
              <w:spacing w:after="0" w:line="135" w:lineRule="exact"/>
              <w:rPr>
                <w:sz w:val="20"/>
                <w:szCs w:val="20"/>
                <w:color w:val="auto"/>
              </w:rPr>
            </w:pPr>
            <w:r>
              <w:rPr>
                <w:rFonts w:ascii="Arial" w:cs="Arial" w:eastAsia="Arial" w:hAnsi="Arial"/>
                <w:sz w:val="13"/>
                <w:szCs w:val="13"/>
                <w:b w:val="1"/>
                <w:bCs w:val="1"/>
                <w:color w:val="FFFFFF"/>
                <w:w w:val="99"/>
              </w:rPr>
              <w:t>stock</w:t>
            </w:r>
          </w:p>
        </w:tc>
        <w:tc>
          <w:tcPr>
            <w:tcW w:w="0" w:type="dxa"/>
            <w:vAlign w:val="bottom"/>
          </w:tcPr>
          <w:p>
            <w:pPr>
              <w:spacing w:after="0"/>
              <w:rPr>
                <w:sz w:val="1"/>
                <w:szCs w:val="1"/>
                <w:color w:val="auto"/>
              </w:rPr>
            </w:pPr>
          </w:p>
        </w:tc>
      </w:tr>
      <w:tr>
        <w:trPr>
          <w:trHeight w:val="117"/>
        </w:trPr>
        <w:tc>
          <w:tcPr>
            <w:tcW w:w="2340" w:type="dxa"/>
            <w:vAlign w:val="bottom"/>
            <w:tcBorders>
              <w:left w:val="single" w:sz="8" w:color="7F7F7F"/>
            </w:tcBorders>
            <w:shd w:val="clear" w:color="auto" w:fill="0066B2"/>
          </w:tcPr>
          <w:p>
            <w:pPr>
              <w:spacing w:after="0"/>
              <w:rPr>
                <w:sz w:val="10"/>
                <w:szCs w:val="10"/>
                <w:color w:val="auto"/>
              </w:rPr>
            </w:pPr>
          </w:p>
        </w:tc>
        <w:tc>
          <w:tcPr>
            <w:tcW w:w="700" w:type="dxa"/>
            <w:vAlign w:val="bottom"/>
            <w:shd w:val="clear" w:color="auto" w:fill="0066B2"/>
          </w:tcPr>
          <w:p>
            <w:pPr>
              <w:spacing w:after="0"/>
              <w:rPr>
                <w:sz w:val="10"/>
                <w:szCs w:val="10"/>
                <w:color w:val="auto"/>
              </w:rPr>
            </w:pPr>
          </w:p>
        </w:tc>
        <w:tc>
          <w:tcPr>
            <w:tcW w:w="840" w:type="dxa"/>
            <w:vAlign w:val="bottom"/>
            <w:shd w:val="clear" w:color="auto" w:fill="0066B2"/>
          </w:tcPr>
          <w:p>
            <w:pPr>
              <w:spacing w:after="0"/>
              <w:rPr>
                <w:sz w:val="10"/>
                <w:szCs w:val="10"/>
                <w:color w:val="auto"/>
              </w:rPr>
            </w:pPr>
          </w:p>
        </w:tc>
        <w:tc>
          <w:tcPr>
            <w:tcW w:w="700" w:type="dxa"/>
            <w:vAlign w:val="bottom"/>
            <w:vMerge w:val="restart"/>
            <w:shd w:val="clear" w:color="auto" w:fill="0066B2"/>
          </w:tcPr>
          <w:p>
            <w:pPr>
              <w:spacing w:after="0"/>
              <w:rPr>
                <w:sz w:val="20"/>
                <w:szCs w:val="20"/>
                <w:color w:val="auto"/>
              </w:rPr>
            </w:pPr>
            <w:r>
              <w:rPr>
                <w:rFonts w:ascii="Arial" w:cs="Arial" w:eastAsia="Arial" w:hAnsi="Arial"/>
                <w:sz w:val="13"/>
                <w:szCs w:val="13"/>
                <w:b w:val="1"/>
                <w:bCs w:val="1"/>
                <w:color w:val="FFFFFF"/>
              </w:rPr>
              <w:t>Threshold</w:t>
            </w:r>
          </w:p>
        </w:tc>
        <w:tc>
          <w:tcPr>
            <w:tcW w:w="160" w:type="dxa"/>
            <w:vAlign w:val="bottom"/>
            <w:shd w:val="clear" w:color="auto" w:fill="0066B2"/>
          </w:tcPr>
          <w:p>
            <w:pPr>
              <w:spacing w:after="0"/>
              <w:rPr>
                <w:sz w:val="10"/>
                <w:szCs w:val="10"/>
                <w:color w:val="auto"/>
              </w:rPr>
            </w:pPr>
          </w:p>
        </w:tc>
        <w:tc>
          <w:tcPr>
            <w:tcW w:w="740" w:type="dxa"/>
            <w:vAlign w:val="bottom"/>
            <w:vMerge w:val="restart"/>
            <w:shd w:val="clear" w:color="auto" w:fill="0066B2"/>
          </w:tcPr>
          <w:p>
            <w:pPr>
              <w:ind w:left="60"/>
              <w:spacing w:after="0"/>
              <w:rPr>
                <w:sz w:val="20"/>
                <w:szCs w:val="20"/>
                <w:color w:val="auto"/>
              </w:rPr>
            </w:pPr>
            <w:r>
              <w:rPr>
                <w:rFonts w:ascii="Arial" w:cs="Arial" w:eastAsia="Arial" w:hAnsi="Arial"/>
                <w:sz w:val="13"/>
                <w:szCs w:val="13"/>
                <w:b w:val="1"/>
                <w:bCs w:val="1"/>
                <w:color w:val="FFFFFF"/>
              </w:rPr>
              <w:t>Target</w:t>
            </w:r>
          </w:p>
        </w:tc>
        <w:tc>
          <w:tcPr>
            <w:tcW w:w="120" w:type="dxa"/>
            <w:vAlign w:val="bottom"/>
            <w:shd w:val="clear" w:color="auto" w:fill="0066B2"/>
          </w:tcPr>
          <w:p>
            <w:pPr>
              <w:spacing w:after="0"/>
              <w:rPr>
                <w:sz w:val="10"/>
                <w:szCs w:val="10"/>
                <w:color w:val="auto"/>
              </w:rPr>
            </w:pPr>
          </w:p>
        </w:tc>
        <w:tc>
          <w:tcPr>
            <w:tcW w:w="720" w:type="dxa"/>
            <w:vAlign w:val="bottom"/>
            <w:vMerge w:val="restart"/>
            <w:shd w:val="clear" w:color="auto" w:fill="0066B2"/>
          </w:tcPr>
          <w:p>
            <w:pPr>
              <w:jc w:val="right"/>
              <w:ind w:right="277"/>
              <w:spacing w:after="0"/>
              <w:rPr>
                <w:sz w:val="20"/>
                <w:szCs w:val="20"/>
                <w:color w:val="auto"/>
              </w:rPr>
            </w:pPr>
            <w:r>
              <w:rPr>
                <w:rFonts w:ascii="Arial" w:cs="Arial" w:eastAsia="Arial" w:hAnsi="Arial"/>
                <w:sz w:val="13"/>
                <w:szCs w:val="13"/>
                <w:b w:val="1"/>
                <w:bCs w:val="1"/>
                <w:color w:val="FFFFFF"/>
              </w:rPr>
              <w:t>Max</w:t>
            </w:r>
          </w:p>
        </w:tc>
        <w:tc>
          <w:tcPr>
            <w:tcW w:w="800" w:type="dxa"/>
            <w:vAlign w:val="bottom"/>
            <w:vMerge w:val="restart"/>
            <w:shd w:val="clear" w:color="auto" w:fill="0066B2"/>
          </w:tcPr>
          <w:p>
            <w:pPr>
              <w:ind w:left="100"/>
              <w:spacing w:after="0"/>
              <w:rPr>
                <w:sz w:val="20"/>
                <w:szCs w:val="20"/>
                <w:color w:val="auto"/>
              </w:rPr>
            </w:pPr>
            <w:r>
              <w:rPr>
                <w:rFonts w:ascii="Arial" w:cs="Arial" w:eastAsia="Arial" w:hAnsi="Arial"/>
                <w:sz w:val="13"/>
                <w:szCs w:val="13"/>
                <w:b w:val="1"/>
                <w:bCs w:val="1"/>
                <w:color w:val="FFFFFF"/>
              </w:rPr>
              <w:t>Threshold</w:t>
            </w:r>
          </w:p>
        </w:tc>
        <w:tc>
          <w:tcPr>
            <w:tcW w:w="520" w:type="dxa"/>
            <w:vAlign w:val="bottom"/>
            <w:vMerge w:val="restart"/>
            <w:shd w:val="clear" w:color="auto" w:fill="0066B2"/>
          </w:tcPr>
          <w:p>
            <w:pPr>
              <w:ind w:left="60"/>
              <w:spacing w:after="0"/>
              <w:rPr>
                <w:sz w:val="20"/>
                <w:szCs w:val="20"/>
                <w:color w:val="auto"/>
              </w:rPr>
            </w:pPr>
            <w:r>
              <w:rPr>
                <w:rFonts w:ascii="Arial" w:cs="Arial" w:eastAsia="Arial" w:hAnsi="Arial"/>
                <w:sz w:val="13"/>
                <w:szCs w:val="13"/>
                <w:b w:val="1"/>
                <w:bCs w:val="1"/>
                <w:color w:val="FFFFFF"/>
              </w:rPr>
              <w:t>Target</w:t>
            </w:r>
          </w:p>
        </w:tc>
        <w:tc>
          <w:tcPr>
            <w:tcW w:w="500" w:type="dxa"/>
            <w:vAlign w:val="bottom"/>
            <w:vMerge w:val="restart"/>
            <w:shd w:val="clear" w:color="auto" w:fill="0066B2"/>
          </w:tcPr>
          <w:p>
            <w:pPr>
              <w:ind w:left="140"/>
              <w:spacing w:after="0"/>
              <w:rPr>
                <w:sz w:val="20"/>
                <w:szCs w:val="20"/>
                <w:color w:val="auto"/>
              </w:rPr>
            </w:pPr>
            <w:r>
              <w:rPr>
                <w:rFonts w:ascii="Arial" w:cs="Arial" w:eastAsia="Arial" w:hAnsi="Arial"/>
                <w:sz w:val="13"/>
                <w:szCs w:val="13"/>
                <w:b w:val="1"/>
                <w:bCs w:val="1"/>
                <w:color w:val="FFFFFF"/>
              </w:rPr>
              <w:t>Max</w:t>
            </w:r>
          </w:p>
        </w:tc>
        <w:tc>
          <w:tcPr>
            <w:tcW w:w="680" w:type="dxa"/>
            <w:vAlign w:val="bottom"/>
            <w:shd w:val="clear" w:color="auto" w:fill="0066B2"/>
          </w:tcPr>
          <w:p>
            <w:pPr>
              <w:jc w:val="center"/>
              <w:spacing w:after="0" w:line="117" w:lineRule="exact"/>
              <w:rPr>
                <w:sz w:val="20"/>
                <w:szCs w:val="20"/>
                <w:color w:val="auto"/>
              </w:rPr>
            </w:pPr>
            <w:r>
              <w:rPr>
                <w:rFonts w:ascii="Arial" w:cs="Arial" w:eastAsia="Arial" w:hAnsi="Arial"/>
                <w:sz w:val="13"/>
                <w:szCs w:val="13"/>
                <w:b w:val="1"/>
                <w:bCs w:val="1"/>
                <w:color w:val="FFFFFF"/>
                <w:w w:val="96"/>
              </w:rPr>
              <w:t>of stock</w:t>
            </w:r>
          </w:p>
        </w:tc>
        <w:tc>
          <w:tcPr>
            <w:tcW w:w="760" w:type="dxa"/>
            <w:vAlign w:val="bottom"/>
            <w:shd w:val="clear" w:color="auto" w:fill="0066B2"/>
          </w:tcPr>
          <w:p>
            <w:pPr>
              <w:jc w:val="center"/>
              <w:spacing w:after="0" w:line="117" w:lineRule="exact"/>
              <w:rPr>
                <w:sz w:val="20"/>
                <w:szCs w:val="20"/>
                <w:color w:val="auto"/>
              </w:rPr>
            </w:pPr>
            <w:r>
              <w:rPr>
                <w:rFonts w:ascii="Arial" w:cs="Arial" w:eastAsia="Arial" w:hAnsi="Arial"/>
                <w:sz w:val="13"/>
                <w:szCs w:val="13"/>
                <w:b w:val="1"/>
                <w:bCs w:val="1"/>
                <w:color w:val="FFFFFF"/>
                <w:w w:val="96"/>
              </w:rPr>
              <w:t>underlying</w:t>
            </w:r>
          </w:p>
        </w:tc>
        <w:tc>
          <w:tcPr>
            <w:tcW w:w="600" w:type="dxa"/>
            <w:vAlign w:val="bottom"/>
            <w:shd w:val="clear" w:color="auto" w:fill="0066B2"/>
          </w:tcPr>
          <w:p>
            <w:pPr>
              <w:jc w:val="center"/>
              <w:spacing w:after="0" w:line="117" w:lineRule="exact"/>
              <w:rPr>
                <w:sz w:val="20"/>
                <w:szCs w:val="20"/>
                <w:color w:val="auto"/>
              </w:rPr>
            </w:pPr>
            <w:r>
              <w:rPr>
                <w:rFonts w:ascii="Arial" w:cs="Arial" w:eastAsia="Arial" w:hAnsi="Arial"/>
                <w:sz w:val="13"/>
                <w:szCs w:val="13"/>
                <w:b w:val="1"/>
                <w:bCs w:val="1"/>
                <w:color w:val="FFFFFF"/>
                <w:w w:val="95"/>
              </w:rPr>
              <w:t>option</w:t>
            </w:r>
          </w:p>
        </w:tc>
        <w:tc>
          <w:tcPr>
            <w:tcW w:w="860" w:type="dxa"/>
            <w:vAlign w:val="bottom"/>
            <w:tcBorders>
              <w:right w:val="single" w:sz="8" w:color="7F7F7F"/>
            </w:tcBorders>
            <w:shd w:val="clear" w:color="auto" w:fill="0066B2"/>
          </w:tcPr>
          <w:p>
            <w:pPr>
              <w:jc w:val="center"/>
              <w:ind w:right="57"/>
              <w:spacing w:after="0" w:line="117" w:lineRule="exact"/>
              <w:rPr>
                <w:sz w:val="20"/>
                <w:szCs w:val="20"/>
                <w:color w:val="auto"/>
              </w:rPr>
            </w:pPr>
            <w:r>
              <w:rPr>
                <w:rFonts w:ascii="Arial" w:cs="Arial" w:eastAsia="Arial" w:hAnsi="Arial"/>
                <w:sz w:val="13"/>
                <w:szCs w:val="13"/>
                <w:b w:val="1"/>
                <w:bCs w:val="1"/>
                <w:color w:val="FFFFFF"/>
                <w:w w:val="94"/>
              </w:rPr>
              <w:t>and</w:t>
            </w:r>
          </w:p>
        </w:tc>
        <w:tc>
          <w:tcPr>
            <w:tcW w:w="0" w:type="dxa"/>
            <w:vAlign w:val="bottom"/>
          </w:tcPr>
          <w:p>
            <w:pPr>
              <w:spacing w:after="0"/>
              <w:rPr>
                <w:sz w:val="1"/>
                <w:szCs w:val="1"/>
                <w:color w:val="auto"/>
              </w:rPr>
            </w:pPr>
          </w:p>
        </w:tc>
      </w:tr>
      <w:tr>
        <w:trPr>
          <w:trHeight w:val="139"/>
        </w:trPr>
        <w:tc>
          <w:tcPr>
            <w:tcW w:w="2340" w:type="dxa"/>
            <w:vAlign w:val="bottom"/>
            <w:tcBorders>
              <w:left w:val="single" w:sz="8" w:color="7F7F7F"/>
            </w:tcBorders>
            <w:vMerge w:val="restart"/>
            <w:shd w:val="clear" w:color="auto" w:fill="0066B2"/>
          </w:tcPr>
          <w:p>
            <w:pPr>
              <w:ind w:left="160"/>
              <w:spacing w:after="0"/>
              <w:rPr>
                <w:sz w:val="20"/>
                <w:szCs w:val="20"/>
                <w:color w:val="auto"/>
              </w:rPr>
            </w:pPr>
            <w:r>
              <w:rPr>
                <w:rFonts w:ascii="Arial" w:cs="Arial" w:eastAsia="Arial" w:hAnsi="Arial"/>
                <w:sz w:val="13"/>
                <w:szCs w:val="13"/>
                <w:b w:val="1"/>
                <w:bCs w:val="1"/>
                <w:color w:val="FFFFFF"/>
              </w:rPr>
              <w:t>Name</w:t>
            </w:r>
          </w:p>
        </w:tc>
        <w:tc>
          <w:tcPr>
            <w:tcW w:w="700" w:type="dxa"/>
            <w:vAlign w:val="bottom"/>
            <w:shd w:val="clear" w:color="auto" w:fill="0066B2"/>
          </w:tcPr>
          <w:p>
            <w:pPr>
              <w:ind w:left="180"/>
              <w:spacing w:after="0" w:line="139" w:lineRule="exact"/>
              <w:rPr>
                <w:sz w:val="20"/>
                <w:szCs w:val="20"/>
                <w:color w:val="auto"/>
              </w:rPr>
            </w:pPr>
            <w:r>
              <w:rPr>
                <w:rFonts w:ascii="Arial" w:cs="Arial" w:eastAsia="Arial" w:hAnsi="Arial"/>
                <w:sz w:val="13"/>
                <w:szCs w:val="13"/>
                <w:b w:val="1"/>
                <w:bCs w:val="1"/>
                <w:color w:val="FFFFFF"/>
              </w:rPr>
              <w:t>Award</w:t>
            </w:r>
          </w:p>
        </w:tc>
        <w:tc>
          <w:tcPr>
            <w:tcW w:w="840" w:type="dxa"/>
            <w:vAlign w:val="bottom"/>
            <w:shd w:val="clear" w:color="auto" w:fill="0066B2"/>
          </w:tcPr>
          <w:p>
            <w:pPr>
              <w:jc w:val="right"/>
              <w:ind w:right="257"/>
              <w:spacing w:after="0" w:line="139" w:lineRule="exact"/>
              <w:rPr>
                <w:sz w:val="20"/>
                <w:szCs w:val="20"/>
                <w:color w:val="auto"/>
              </w:rPr>
            </w:pPr>
            <w:r>
              <w:rPr>
                <w:rFonts w:ascii="Arial" w:cs="Arial" w:eastAsia="Arial" w:hAnsi="Arial"/>
                <w:sz w:val="13"/>
                <w:szCs w:val="13"/>
                <w:b w:val="1"/>
                <w:bCs w:val="1"/>
                <w:color w:val="FFFFFF"/>
              </w:rPr>
              <w:t>Grant</w:t>
            </w:r>
          </w:p>
        </w:tc>
        <w:tc>
          <w:tcPr>
            <w:tcW w:w="700" w:type="dxa"/>
            <w:vAlign w:val="bottom"/>
            <w:vMerge w:val="continue"/>
            <w:shd w:val="clear" w:color="auto" w:fill="0066B2"/>
          </w:tcPr>
          <w:p>
            <w:pPr>
              <w:spacing w:after="0"/>
              <w:rPr>
                <w:sz w:val="12"/>
                <w:szCs w:val="12"/>
                <w:color w:val="auto"/>
              </w:rPr>
            </w:pPr>
          </w:p>
        </w:tc>
        <w:tc>
          <w:tcPr>
            <w:tcW w:w="160" w:type="dxa"/>
            <w:vAlign w:val="bottom"/>
            <w:shd w:val="clear" w:color="auto" w:fill="0066B2"/>
          </w:tcPr>
          <w:p>
            <w:pPr>
              <w:spacing w:after="0"/>
              <w:rPr>
                <w:sz w:val="12"/>
                <w:szCs w:val="12"/>
                <w:color w:val="auto"/>
              </w:rPr>
            </w:pPr>
          </w:p>
        </w:tc>
        <w:tc>
          <w:tcPr>
            <w:tcW w:w="740" w:type="dxa"/>
            <w:vAlign w:val="bottom"/>
            <w:vMerge w:val="continue"/>
            <w:shd w:val="clear" w:color="auto" w:fill="0066B2"/>
          </w:tcPr>
          <w:p>
            <w:pPr>
              <w:spacing w:after="0"/>
              <w:rPr>
                <w:sz w:val="12"/>
                <w:szCs w:val="12"/>
                <w:color w:val="auto"/>
              </w:rPr>
            </w:pPr>
          </w:p>
        </w:tc>
        <w:tc>
          <w:tcPr>
            <w:tcW w:w="120" w:type="dxa"/>
            <w:vAlign w:val="bottom"/>
            <w:shd w:val="clear" w:color="auto" w:fill="0066B2"/>
          </w:tcPr>
          <w:p>
            <w:pPr>
              <w:spacing w:after="0"/>
              <w:rPr>
                <w:sz w:val="12"/>
                <w:szCs w:val="12"/>
                <w:color w:val="auto"/>
              </w:rPr>
            </w:pPr>
          </w:p>
        </w:tc>
        <w:tc>
          <w:tcPr>
            <w:tcW w:w="720" w:type="dxa"/>
            <w:vAlign w:val="bottom"/>
            <w:vMerge w:val="continue"/>
            <w:shd w:val="clear" w:color="auto" w:fill="0066B2"/>
          </w:tcPr>
          <w:p>
            <w:pPr>
              <w:spacing w:after="0"/>
              <w:rPr>
                <w:sz w:val="12"/>
                <w:szCs w:val="12"/>
                <w:color w:val="auto"/>
              </w:rPr>
            </w:pPr>
          </w:p>
        </w:tc>
        <w:tc>
          <w:tcPr>
            <w:tcW w:w="800" w:type="dxa"/>
            <w:vAlign w:val="bottom"/>
            <w:vMerge w:val="continue"/>
            <w:shd w:val="clear" w:color="auto" w:fill="0066B2"/>
          </w:tcPr>
          <w:p>
            <w:pPr>
              <w:spacing w:after="0"/>
              <w:rPr>
                <w:sz w:val="12"/>
                <w:szCs w:val="12"/>
                <w:color w:val="auto"/>
              </w:rPr>
            </w:pPr>
          </w:p>
        </w:tc>
        <w:tc>
          <w:tcPr>
            <w:tcW w:w="520" w:type="dxa"/>
            <w:vAlign w:val="bottom"/>
            <w:vMerge w:val="continue"/>
            <w:shd w:val="clear" w:color="auto" w:fill="0066B2"/>
          </w:tcPr>
          <w:p>
            <w:pPr>
              <w:spacing w:after="0"/>
              <w:rPr>
                <w:sz w:val="12"/>
                <w:szCs w:val="12"/>
                <w:color w:val="auto"/>
              </w:rPr>
            </w:pPr>
          </w:p>
        </w:tc>
        <w:tc>
          <w:tcPr>
            <w:tcW w:w="500" w:type="dxa"/>
            <w:vAlign w:val="bottom"/>
            <w:vMerge w:val="continue"/>
            <w:shd w:val="clear" w:color="auto" w:fill="0066B2"/>
          </w:tcPr>
          <w:p>
            <w:pPr>
              <w:spacing w:after="0"/>
              <w:rPr>
                <w:sz w:val="12"/>
                <w:szCs w:val="12"/>
                <w:color w:val="auto"/>
              </w:rPr>
            </w:pPr>
          </w:p>
        </w:tc>
        <w:tc>
          <w:tcPr>
            <w:tcW w:w="680" w:type="dxa"/>
            <w:vAlign w:val="bottom"/>
            <w:shd w:val="clear" w:color="auto" w:fill="0066B2"/>
          </w:tcPr>
          <w:p>
            <w:pPr>
              <w:jc w:val="center"/>
              <w:spacing w:after="0" w:line="139" w:lineRule="exact"/>
              <w:rPr>
                <w:sz w:val="20"/>
                <w:szCs w:val="20"/>
                <w:color w:val="auto"/>
              </w:rPr>
            </w:pPr>
            <w:r>
              <w:rPr>
                <w:rFonts w:ascii="Arial" w:cs="Arial" w:eastAsia="Arial" w:hAnsi="Arial"/>
                <w:sz w:val="13"/>
                <w:szCs w:val="13"/>
                <w:b w:val="1"/>
                <w:bCs w:val="1"/>
                <w:color w:val="FFFFFF"/>
                <w:w w:val="96"/>
              </w:rPr>
              <w:t>or units</w:t>
            </w:r>
          </w:p>
        </w:tc>
        <w:tc>
          <w:tcPr>
            <w:tcW w:w="760" w:type="dxa"/>
            <w:vAlign w:val="bottom"/>
            <w:shd w:val="clear" w:color="auto" w:fill="0066B2"/>
          </w:tcPr>
          <w:p>
            <w:pPr>
              <w:jc w:val="center"/>
              <w:spacing w:after="0" w:line="139" w:lineRule="exact"/>
              <w:rPr>
                <w:sz w:val="20"/>
                <w:szCs w:val="20"/>
                <w:color w:val="auto"/>
              </w:rPr>
            </w:pPr>
            <w:r>
              <w:rPr>
                <w:rFonts w:ascii="Arial" w:cs="Arial" w:eastAsia="Arial" w:hAnsi="Arial"/>
                <w:sz w:val="13"/>
                <w:szCs w:val="13"/>
                <w:b w:val="1"/>
                <w:bCs w:val="1"/>
                <w:color w:val="FFFFFF"/>
                <w:w w:val="97"/>
              </w:rPr>
              <w:t>options</w:t>
            </w:r>
          </w:p>
        </w:tc>
        <w:tc>
          <w:tcPr>
            <w:tcW w:w="600" w:type="dxa"/>
            <w:vAlign w:val="bottom"/>
            <w:shd w:val="clear" w:color="auto" w:fill="0066B2"/>
          </w:tcPr>
          <w:p>
            <w:pPr>
              <w:jc w:val="center"/>
              <w:spacing w:after="0" w:line="139" w:lineRule="exact"/>
              <w:rPr>
                <w:sz w:val="20"/>
                <w:szCs w:val="20"/>
                <w:color w:val="auto"/>
              </w:rPr>
            </w:pPr>
            <w:r>
              <w:rPr>
                <w:rFonts w:ascii="Arial" w:cs="Arial" w:eastAsia="Arial" w:hAnsi="Arial"/>
                <w:sz w:val="13"/>
                <w:szCs w:val="13"/>
                <w:b w:val="1"/>
                <w:bCs w:val="1"/>
                <w:color w:val="FFFFFF"/>
                <w:w w:val="98"/>
              </w:rPr>
              <w:t>awards</w:t>
            </w:r>
          </w:p>
        </w:tc>
        <w:tc>
          <w:tcPr>
            <w:tcW w:w="860" w:type="dxa"/>
            <w:vAlign w:val="bottom"/>
            <w:tcBorders>
              <w:right w:val="single" w:sz="8" w:color="7F7F7F"/>
            </w:tcBorders>
            <w:shd w:val="clear" w:color="auto" w:fill="0066B2"/>
          </w:tcPr>
          <w:p>
            <w:pPr>
              <w:jc w:val="center"/>
              <w:ind w:right="57"/>
              <w:spacing w:after="0" w:line="139" w:lineRule="exact"/>
              <w:rPr>
                <w:sz w:val="20"/>
                <w:szCs w:val="20"/>
                <w:color w:val="auto"/>
              </w:rPr>
            </w:pPr>
            <w:r>
              <w:rPr>
                <w:rFonts w:ascii="Arial" w:cs="Arial" w:eastAsia="Arial" w:hAnsi="Arial"/>
                <w:sz w:val="13"/>
                <w:szCs w:val="13"/>
                <w:b w:val="1"/>
                <w:bCs w:val="1"/>
                <w:color w:val="FFFFFF"/>
                <w:w w:val="95"/>
              </w:rPr>
              <w:t>option</w:t>
            </w:r>
          </w:p>
        </w:tc>
        <w:tc>
          <w:tcPr>
            <w:tcW w:w="0" w:type="dxa"/>
            <w:vAlign w:val="bottom"/>
          </w:tcPr>
          <w:p>
            <w:pPr>
              <w:spacing w:after="0"/>
              <w:rPr>
                <w:sz w:val="1"/>
                <w:szCs w:val="1"/>
                <w:color w:val="auto"/>
              </w:rPr>
            </w:pPr>
          </w:p>
        </w:tc>
      </w:tr>
      <w:tr>
        <w:trPr>
          <w:trHeight w:val="224"/>
        </w:trPr>
        <w:tc>
          <w:tcPr>
            <w:tcW w:w="2340" w:type="dxa"/>
            <w:vAlign w:val="bottom"/>
            <w:tcBorders>
              <w:left w:val="single" w:sz="8" w:color="7F7F7F"/>
              <w:bottom w:val="single" w:sz="8" w:color="0066B2"/>
            </w:tcBorders>
            <w:vMerge w:val="continue"/>
            <w:shd w:val="clear" w:color="auto" w:fill="0066B2"/>
          </w:tcPr>
          <w:p>
            <w:pPr>
              <w:spacing w:after="0"/>
              <w:rPr>
                <w:sz w:val="19"/>
                <w:szCs w:val="19"/>
                <w:color w:val="auto"/>
              </w:rPr>
            </w:pPr>
          </w:p>
        </w:tc>
        <w:tc>
          <w:tcPr>
            <w:tcW w:w="700" w:type="dxa"/>
            <w:vAlign w:val="bottom"/>
            <w:tcBorders>
              <w:bottom w:val="single" w:sz="8" w:color="0066B2"/>
            </w:tcBorders>
            <w:shd w:val="clear" w:color="auto" w:fill="0066B2"/>
          </w:tcPr>
          <w:p>
            <w:pPr>
              <w:ind w:left="240"/>
              <w:spacing w:after="0"/>
              <w:rPr>
                <w:sz w:val="20"/>
                <w:szCs w:val="20"/>
                <w:color w:val="auto"/>
              </w:rPr>
            </w:pPr>
            <w:r>
              <w:rPr>
                <w:rFonts w:ascii="Arial" w:cs="Arial" w:eastAsia="Arial" w:hAnsi="Arial"/>
                <w:sz w:val="13"/>
                <w:szCs w:val="13"/>
                <w:b w:val="1"/>
                <w:bCs w:val="1"/>
                <w:color w:val="FFFFFF"/>
              </w:rPr>
              <w:t>type</w:t>
            </w:r>
          </w:p>
        </w:tc>
        <w:tc>
          <w:tcPr>
            <w:tcW w:w="840" w:type="dxa"/>
            <w:vAlign w:val="bottom"/>
            <w:tcBorders>
              <w:bottom w:val="single" w:sz="8" w:color="0066B2"/>
            </w:tcBorders>
            <w:shd w:val="clear" w:color="auto" w:fill="0066B2"/>
          </w:tcPr>
          <w:p>
            <w:pPr>
              <w:jc w:val="right"/>
              <w:ind w:right="297"/>
              <w:spacing w:after="0"/>
              <w:rPr>
                <w:sz w:val="20"/>
                <w:szCs w:val="20"/>
                <w:color w:val="auto"/>
              </w:rPr>
            </w:pPr>
            <w:r>
              <w:rPr>
                <w:rFonts w:ascii="Arial" w:cs="Arial" w:eastAsia="Arial" w:hAnsi="Arial"/>
                <w:sz w:val="13"/>
                <w:szCs w:val="13"/>
                <w:b w:val="1"/>
                <w:bCs w:val="1"/>
                <w:color w:val="FFFFFF"/>
              </w:rPr>
              <w:t>date</w:t>
            </w:r>
          </w:p>
        </w:tc>
        <w:tc>
          <w:tcPr>
            <w:tcW w:w="700" w:type="dxa"/>
            <w:vAlign w:val="bottom"/>
            <w:tcBorders>
              <w:bottom w:val="single" w:sz="8" w:color="0066B2"/>
            </w:tcBorders>
            <w:shd w:val="clear" w:color="auto" w:fill="0066B2"/>
          </w:tcPr>
          <w:p>
            <w:pPr>
              <w:jc w:val="center"/>
              <w:spacing w:after="0"/>
              <w:rPr>
                <w:sz w:val="20"/>
                <w:szCs w:val="20"/>
                <w:color w:val="auto"/>
              </w:rPr>
            </w:pPr>
            <w:r>
              <w:rPr>
                <w:rFonts w:ascii="Arial" w:cs="Arial" w:eastAsia="Arial" w:hAnsi="Arial"/>
                <w:sz w:val="13"/>
                <w:szCs w:val="13"/>
                <w:b w:val="1"/>
                <w:bCs w:val="1"/>
                <w:color w:val="FFFFFF"/>
              </w:rPr>
              <w:t>($)</w:t>
            </w:r>
          </w:p>
        </w:tc>
        <w:tc>
          <w:tcPr>
            <w:tcW w:w="160" w:type="dxa"/>
            <w:vAlign w:val="bottom"/>
            <w:tcBorders>
              <w:bottom w:val="single" w:sz="8" w:color="0066B2"/>
            </w:tcBorders>
            <w:shd w:val="clear" w:color="auto" w:fill="0066B2"/>
          </w:tcPr>
          <w:p>
            <w:pPr>
              <w:spacing w:after="0"/>
              <w:rPr>
                <w:sz w:val="19"/>
                <w:szCs w:val="19"/>
                <w:color w:val="auto"/>
              </w:rPr>
            </w:pPr>
          </w:p>
        </w:tc>
        <w:tc>
          <w:tcPr>
            <w:tcW w:w="740" w:type="dxa"/>
            <w:vAlign w:val="bottom"/>
            <w:tcBorders>
              <w:bottom w:val="single" w:sz="8" w:color="0066B2"/>
            </w:tcBorders>
            <w:shd w:val="clear" w:color="auto" w:fill="0066B2"/>
          </w:tcPr>
          <w:p>
            <w:pPr>
              <w:ind w:left="180"/>
              <w:spacing w:after="0"/>
              <w:rPr>
                <w:sz w:val="20"/>
                <w:szCs w:val="20"/>
                <w:color w:val="auto"/>
              </w:rPr>
            </w:pPr>
            <w:r>
              <w:rPr>
                <w:rFonts w:ascii="Arial" w:cs="Arial" w:eastAsia="Arial" w:hAnsi="Arial"/>
                <w:sz w:val="13"/>
                <w:szCs w:val="13"/>
                <w:b w:val="1"/>
                <w:bCs w:val="1"/>
                <w:color w:val="FFFFFF"/>
              </w:rPr>
              <w:t>($)</w:t>
            </w:r>
          </w:p>
        </w:tc>
        <w:tc>
          <w:tcPr>
            <w:tcW w:w="120" w:type="dxa"/>
            <w:vAlign w:val="bottom"/>
            <w:tcBorders>
              <w:bottom w:val="single" w:sz="8" w:color="0066B2"/>
            </w:tcBorders>
            <w:shd w:val="clear" w:color="auto" w:fill="0066B2"/>
          </w:tcPr>
          <w:p>
            <w:pPr>
              <w:spacing w:after="0"/>
              <w:rPr>
                <w:sz w:val="19"/>
                <w:szCs w:val="19"/>
                <w:color w:val="auto"/>
              </w:rPr>
            </w:pPr>
          </w:p>
        </w:tc>
        <w:tc>
          <w:tcPr>
            <w:tcW w:w="720" w:type="dxa"/>
            <w:vAlign w:val="bottom"/>
            <w:tcBorders>
              <w:bottom w:val="single" w:sz="8" w:color="0066B2"/>
            </w:tcBorders>
            <w:shd w:val="clear" w:color="auto" w:fill="0066B2"/>
          </w:tcPr>
          <w:p>
            <w:pPr>
              <w:jc w:val="right"/>
              <w:ind w:right="317"/>
              <w:spacing w:after="0"/>
              <w:rPr>
                <w:sz w:val="20"/>
                <w:szCs w:val="20"/>
                <w:color w:val="auto"/>
              </w:rPr>
            </w:pPr>
            <w:r>
              <w:rPr>
                <w:rFonts w:ascii="Arial" w:cs="Arial" w:eastAsia="Arial" w:hAnsi="Arial"/>
                <w:sz w:val="13"/>
                <w:szCs w:val="13"/>
                <w:b w:val="1"/>
                <w:bCs w:val="1"/>
                <w:color w:val="FFFFFF"/>
              </w:rPr>
              <w:t>($)</w:t>
            </w:r>
          </w:p>
        </w:tc>
        <w:tc>
          <w:tcPr>
            <w:tcW w:w="800" w:type="dxa"/>
            <w:vAlign w:val="bottom"/>
            <w:tcBorders>
              <w:bottom w:val="single" w:sz="8" w:color="0066B2"/>
            </w:tcBorders>
            <w:shd w:val="clear" w:color="auto" w:fill="0066B2"/>
          </w:tcPr>
          <w:p>
            <w:pPr>
              <w:jc w:val="center"/>
              <w:ind w:left="17"/>
              <w:spacing w:after="0"/>
              <w:rPr>
                <w:sz w:val="20"/>
                <w:szCs w:val="20"/>
                <w:color w:val="auto"/>
              </w:rPr>
            </w:pPr>
            <w:r>
              <w:rPr>
                <w:rFonts w:ascii="Arial" w:cs="Arial" w:eastAsia="Arial" w:hAnsi="Arial"/>
                <w:sz w:val="13"/>
                <w:szCs w:val="13"/>
                <w:b w:val="1"/>
                <w:bCs w:val="1"/>
                <w:color w:val="FFFFFF"/>
              </w:rPr>
              <w:t>(#)</w:t>
            </w:r>
          </w:p>
        </w:tc>
        <w:tc>
          <w:tcPr>
            <w:tcW w:w="520" w:type="dxa"/>
            <w:vAlign w:val="bottom"/>
            <w:tcBorders>
              <w:bottom w:val="single" w:sz="8" w:color="0066B2"/>
            </w:tcBorders>
            <w:shd w:val="clear" w:color="auto" w:fill="0066B2"/>
          </w:tcPr>
          <w:p>
            <w:pPr>
              <w:jc w:val="center"/>
              <w:spacing w:after="0"/>
              <w:rPr>
                <w:sz w:val="20"/>
                <w:szCs w:val="20"/>
                <w:color w:val="auto"/>
              </w:rPr>
            </w:pPr>
            <w:r>
              <w:rPr>
                <w:rFonts w:ascii="Arial" w:cs="Arial" w:eastAsia="Arial" w:hAnsi="Arial"/>
                <w:sz w:val="13"/>
                <w:szCs w:val="13"/>
                <w:b w:val="1"/>
                <w:bCs w:val="1"/>
                <w:color w:val="FFFFFF"/>
              </w:rPr>
              <w:t>(#)</w:t>
            </w:r>
          </w:p>
        </w:tc>
        <w:tc>
          <w:tcPr>
            <w:tcW w:w="500" w:type="dxa"/>
            <w:vAlign w:val="bottom"/>
            <w:tcBorders>
              <w:bottom w:val="single" w:sz="8" w:color="0066B2"/>
            </w:tcBorders>
            <w:shd w:val="clear" w:color="auto" w:fill="0066B2"/>
          </w:tcPr>
          <w:p>
            <w:pPr>
              <w:jc w:val="center"/>
              <w:spacing w:after="0"/>
              <w:rPr>
                <w:sz w:val="20"/>
                <w:szCs w:val="20"/>
                <w:color w:val="auto"/>
              </w:rPr>
            </w:pPr>
            <w:r>
              <w:rPr>
                <w:rFonts w:ascii="Arial" w:cs="Arial" w:eastAsia="Arial" w:hAnsi="Arial"/>
                <w:sz w:val="13"/>
                <w:szCs w:val="13"/>
                <w:b w:val="1"/>
                <w:bCs w:val="1"/>
                <w:color w:val="FFFFFF"/>
              </w:rPr>
              <w:t>(#)</w:t>
            </w:r>
          </w:p>
        </w:tc>
        <w:tc>
          <w:tcPr>
            <w:tcW w:w="680" w:type="dxa"/>
            <w:vAlign w:val="bottom"/>
            <w:tcBorders>
              <w:bottom w:val="single" w:sz="8" w:color="0066B2"/>
            </w:tcBorders>
            <w:shd w:val="clear" w:color="auto" w:fill="0066B2"/>
          </w:tcPr>
          <w:p>
            <w:pPr>
              <w:jc w:val="center"/>
              <w:spacing w:after="0"/>
              <w:rPr>
                <w:sz w:val="20"/>
                <w:szCs w:val="20"/>
                <w:color w:val="auto"/>
              </w:rPr>
            </w:pPr>
            <w:r>
              <w:rPr>
                <w:rFonts w:ascii="Arial" w:cs="Arial" w:eastAsia="Arial" w:hAnsi="Arial"/>
                <w:sz w:val="13"/>
                <w:szCs w:val="13"/>
                <w:b w:val="1"/>
                <w:bCs w:val="1"/>
                <w:color w:val="FFFFFF"/>
                <w:w w:val="99"/>
              </w:rPr>
              <w:t>(#)</w:t>
            </w:r>
            <w:r>
              <w:rPr>
                <w:rFonts w:ascii="Arial" w:cs="Arial" w:eastAsia="Arial" w:hAnsi="Arial"/>
                <w:sz w:val="10"/>
                <w:szCs w:val="10"/>
                <w:b w:val="1"/>
                <w:bCs w:val="1"/>
                <w:color w:val="FFFFFF"/>
                <w:w w:val="99"/>
              </w:rPr>
              <w:t>(3)</w:t>
            </w:r>
          </w:p>
        </w:tc>
        <w:tc>
          <w:tcPr>
            <w:tcW w:w="760" w:type="dxa"/>
            <w:vAlign w:val="bottom"/>
            <w:tcBorders>
              <w:bottom w:val="single" w:sz="8" w:color="0066B2"/>
            </w:tcBorders>
            <w:shd w:val="clear" w:color="auto" w:fill="0066B2"/>
          </w:tcPr>
          <w:p>
            <w:pPr>
              <w:jc w:val="center"/>
              <w:spacing w:after="0"/>
              <w:rPr>
                <w:sz w:val="20"/>
                <w:szCs w:val="20"/>
                <w:color w:val="auto"/>
              </w:rPr>
            </w:pPr>
            <w:r>
              <w:rPr>
                <w:rFonts w:ascii="Arial" w:cs="Arial" w:eastAsia="Arial" w:hAnsi="Arial"/>
                <w:sz w:val="13"/>
                <w:szCs w:val="13"/>
                <w:b w:val="1"/>
                <w:bCs w:val="1"/>
                <w:color w:val="FFFFFF"/>
                <w:w w:val="99"/>
              </w:rPr>
              <w:t>(#)</w:t>
            </w:r>
            <w:r>
              <w:rPr>
                <w:rFonts w:ascii="Arial" w:cs="Arial" w:eastAsia="Arial" w:hAnsi="Arial"/>
                <w:sz w:val="10"/>
                <w:szCs w:val="10"/>
                <w:b w:val="1"/>
                <w:bCs w:val="1"/>
                <w:color w:val="FFFFFF"/>
                <w:w w:val="99"/>
              </w:rPr>
              <w:t>(4)</w:t>
            </w:r>
          </w:p>
        </w:tc>
        <w:tc>
          <w:tcPr>
            <w:tcW w:w="600" w:type="dxa"/>
            <w:vAlign w:val="bottom"/>
            <w:tcBorders>
              <w:bottom w:val="single" w:sz="8" w:color="0066B2"/>
            </w:tcBorders>
            <w:shd w:val="clear" w:color="auto" w:fill="0066B2"/>
          </w:tcPr>
          <w:p>
            <w:pPr>
              <w:jc w:val="center"/>
              <w:spacing w:after="0"/>
              <w:rPr>
                <w:sz w:val="20"/>
                <w:szCs w:val="20"/>
                <w:color w:val="auto"/>
              </w:rPr>
            </w:pPr>
            <w:r>
              <w:rPr>
                <w:rFonts w:ascii="Arial" w:cs="Arial" w:eastAsia="Arial" w:hAnsi="Arial"/>
                <w:sz w:val="13"/>
                <w:szCs w:val="13"/>
                <w:b w:val="1"/>
                <w:bCs w:val="1"/>
                <w:color w:val="FFFFFF"/>
                <w:w w:val="97"/>
              </w:rPr>
              <w:t>($/sh)</w:t>
            </w:r>
            <w:r>
              <w:rPr>
                <w:rFonts w:ascii="Arial" w:cs="Arial" w:eastAsia="Arial" w:hAnsi="Arial"/>
                <w:sz w:val="10"/>
                <w:szCs w:val="10"/>
                <w:b w:val="1"/>
                <w:bCs w:val="1"/>
                <w:color w:val="FFFFFF"/>
                <w:w w:val="97"/>
              </w:rPr>
              <w:t>(5)</w:t>
            </w:r>
          </w:p>
        </w:tc>
        <w:tc>
          <w:tcPr>
            <w:tcW w:w="860" w:type="dxa"/>
            <w:vAlign w:val="bottom"/>
            <w:tcBorders>
              <w:bottom w:val="single" w:sz="8" w:color="0066B2"/>
              <w:right w:val="single" w:sz="8" w:color="7F7F7F"/>
            </w:tcBorders>
            <w:shd w:val="clear" w:color="auto" w:fill="0066B2"/>
          </w:tcPr>
          <w:p>
            <w:pPr>
              <w:jc w:val="center"/>
              <w:ind w:right="77"/>
              <w:spacing w:after="0"/>
              <w:rPr>
                <w:sz w:val="20"/>
                <w:szCs w:val="20"/>
                <w:color w:val="auto"/>
              </w:rPr>
            </w:pPr>
            <w:r>
              <w:rPr>
                <w:rFonts w:ascii="Arial" w:cs="Arial" w:eastAsia="Arial" w:hAnsi="Arial"/>
                <w:sz w:val="13"/>
                <w:szCs w:val="13"/>
                <w:b w:val="1"/>
                <w:bCs w:val="1"/>
                <w:color w:val="FFFFFF"/>
                <w:w w:val="98"/>
              </w:rPr>
              <w:t>awards</w:t>
            </w:r>
            <w:r>
              <w:rPr>
                <w:rFonts w:ascii="Arial" w:cs="Arial" w:eastAsia="Arial" w:hAnsi="Arial"/>
                <w:sz w:val="10"/>
                <w:szCs w:val="10"/>
                <w:b w:val="1"/>
                <w:bCs w:val="1"/>
                <w:color w:val="FFFFFF"/>
                <w:w w:val="98"/>
              </w:rPr>
              <w:t>(6)</w:t>
            </w:r>
          </w:p>
        </w:tc>
        <w:tc>
          <w:tcPr>
            <w:tcW w:w="0" w:type="dxa"/>
            <w:vAlign w:val="bottom"/>
          </w:tcPr>
          <w:p>
            <w:pPr>
              <w:spacing w:after="0"/>
              <w:rPr>
                <w:sz w:val="1"/>
                <w:szCs w:val="1"/>
                <w:color w:val="auto"/>
              </w:rPr>
            </w:pPr>
          </w:p>
        </w:tc>
      </w:tr>
      <w:tr>
        <w:trPr>
          <w:trHeight w:val="183"/>
        </w:trPr>
        <w:tc>
          <w:tcPr>
            <w:tcW w:w="2340" w:type="dxa"/>
            <w:vAlign w:val="bottom"/>
            <w:tcBorders>
              <w:left w:val="single" w:sz="8" w:color="7F7F7F"/>
              <w:bottom w:val="single" w:sz="8" w:color="D8D8D8"/>
            </w:tcBorders>
            <w:shd w:val="clear" w:color="auto" w:fill="D8D8D8"/>
          </w:tcPr>
          <w:p>
            <w:pPr>
              <w:ind w:left="160"/>
              <w:spacing w:after="0"/>
              <w:rPr>
                <w:sz w:val="20"/>
                <w:szCs w:val="20"/>
                <w:color w:val="auto"/>
              </w:rPr>
            </w:pPr>
            <w:r>
              <w:rPr>
                <w:rFonts w:ascii="Arial" w:cs="Arial" w:eastAsia="Arial" w:hAnsi="Arial"/>
                <w:sz w:val="13"/>
                <w:szCs w:val="13"/>
                <w:color w:val="auto"/>
              </w:rPr>
              <w:t>M.K. Wirth</w:t>
            </w:r>
          </w:p>
        </w:tc>
        <w:tc>
          <w:tcPr>
            <w:tcW w:w="7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3"/>
                <w:szCs w:val="13"/>
                <w:color w:val="auto"/>
              </w:rPr>
              <w:t>CIP</w:t>
            </w:r>
          </w:p>
        </w:tc>
        <w:tc>
          <w:tcPr>
            <w:tcW w:w="840" w:type="dxa"/>
            <w:vAlign w:val="bottom"/>
            <w:tcBorders>
              <w:bottom w:val="single" w:sz="8" w:color="D8D8D8"/>
            </w:tcBorders>
            <w:shd w:val="clear" w:color="auto" w:fill="D8D8D8"/>
          </w:tcPr>
          <w:p>
            <w:pPr>
              <w:spacing w:after="0"/>
              <w:rPr>
                <w:sz w:val="15"/>
                <w:szCs w:val="15"/>
                <w:color w:val="auto"/>
              </w:rPr>
            </w:pPr>
          </w:p>
        </w:tc>
        <w:tc>
          <w:tcPr>
            <w:tcW w:w="7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82"/>
              </w:rPr>
              <w:t>–</w:t>
            </w:r>
          </w:p>
        </w:tc>
        <w:tc>
          <w:tcPr>
            <w:tcW w:w="16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8D8D8"/>
            </w:tcBorders>
            <w:shd w:val="clear" w:color="auto" w:fill="D8D8D8"/>
          </w:tcPr>
          <w:p>
            <w:pPr>
              <w:ind w:left="60"/>
              <w:spacing w:after="0"/>
              <w:rPr>
                <w:sz w:val="20"/>
                <w:szCs w:val="20"/>
                <w:color w:val="auto"/>
              </w:rPr>
            </w:pPr>
            <w:r>
              <w:rPr>
                <w:rFonts w:ascii="Arial" w:cs="Arial" w:eastAsia="Arial" w:hAnsi="Arial"/>
                <w:sz w:val="13"/>
                <w:szCs w:val="13"/>
                <w:color w:val="auto"/>
              </w:rPr>
              <w:t>2,640,000</w:t>
            </w:r>
          </w:p>
        </w:tc>
        <w:tc>
          <w:tcPr>
            <w:tcW w:w="12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8D8D8"/>
            </w:tcBorders>
            <w:shd w:val="clear" w:color="auto" w:fill="D8D8D8"/>
          </w:tcPr>
          <w:p>
            <w:pPr>
              <w:jc w:val="right"/>
              <w:ind w:right="57"/>
              <w:spacing w:after="0"/>
              <w:rPr>
                <w:sz w:val="20"/>
                <w:szCs w:val="20"/>
                <w:color w:val="auto"/>
              </w:rPr>
            </w:pPr>
            <w:r>
              <w:rPr>
                <w:rFonts w:ascii="Arial" w:cs="Arial" w:eastAsia="Arial" w:hAnsi="Arial"/>
                <w:sz w:val="13"/>
                <w:szCs w:val="13"/>
                <w:color w:val="auto"/>
              </w:rPr>
              <w:t>5,280,000</w:t>
            </w:r>
          </w:p>
        </w:tc>
        <w:tc>
          <w:tcPr>
            <w:tcW w:w="8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D8D8D8"/>
            </w:tcBorders>
            <w:shd w:val="clear" w:color="auto" w:fill="D8D8D8"/>
          </w:tcPr>
          <w:p>
            <w:pPr>
              <w:jc w:val="right"/>
              <w:ind w:right="21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8D8D8"/>
              <w:right w:val="single" w:sz="8" w:color="7F7F7F"/>
            </w:tcBorders>
            <w:shd w:val="clear" w:color="auto" w:fill="D8D8D8"/>
          </w:tcPr>
          <w:p>
            <w:pPr>
              <w:jc w:val="center"/>
              <w:ind w:right="17"/>
              <w:spacing w:after="0"/>
              <w:rPr>
                <w:sz w:val="20"/>
                <w:szCs w:val="20"/>
                <w:color w:val="auto"/>
              </w:rPr>
            </w:pPr>
            <w:r>
              <w:rPr>
                <w:rFonts w:ascii="Arial" w:cs="Arial" w:eastAsia="Arial" w:hAnsi="Arial"/>
                <w:sz w:val="13"/>
                <w:szCs w:val="13"/>
                <w:color w:val="auto"/>
                <w:w w:val="82"/>
              </w:rPr>
              <w:t>–</w:t>
            </w:r>
          </w:p>
        </w:tc>
        <w:tc>
          <w:tcPr>
            <w:tcW w:w="0" w:type="dxa"/>
            <w:vAlign w:val="bottom"/>
          </w:tcPr>
          <w:p>
            <w:pPr>
              <w:spacing w:after="0"/>
              <w:rPr>
                <w:sz w:val="1"/>
                <w:szCs w:val="1"/>
                <w:color w:val="auto"/>
              </w:rPr>
            </w:pPr>
          </w:p>
        </w:tc>
      </w:tr>
      <w:tr>
        <w:trPr>
          <w:trHeight w:val="166"/>
        </w:trPr>
        <w:tc>
          <w:tcPr>
            <w:tcW w:w="2340" w:type="dxa"/>
            <w:vAlign w:val="bottom"/>
            <w:tcBorders>
              <w:left w:val="single" w:sz="8" w:color="7F7F7F"/>
            </w:tcBorders>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3"/>
                <w:szCs w:val="13"/>
                <w:color w:val="auto"/>
                <w:w w:val="93"/>
              </w:rPr>
              <w:t>Perf Shares</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1/27/2021</w:t>
            </w:r>
          </w:p>
        </w:tc>
        <w:tc>
          <w:tcPr>
            <w:tcW w:w="7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14"/>
                <w:szCs w:val="14"/>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5"/>
              </w:rPr>
              <w:t>18,892</w:t>
            </w:r>
          </w:p>
        </w:tc>
        <w:tc>
          <w:tcPr>
            <w:tcW w:w="520" w:type="dxa"/>
            <w:vAlign w:val="bottom"/>
          </w:tcPr>
          <w:p>
            <w:pPr>
              <w:jc w:val="center"/>
              <w:spacing w:after="0"/>
              <w:rPr>
                <w:sz w:val="20"/>
                <w:szCs w:val="20"/>
                <w:color w:val="auto"/>
              </w:rPr>
            </w:pPr>
            <w:r>
              <w:rPr>
                <w:rFonts w:ascii="Arial" w:cs="Arial" w:eastAsia="Arial" w:hAnsi="Arial"/>
                <w:sz w:val="13"/>
                <w:szCs w:val="13"/>
                <w:color w:val="auto"/>
              </w:rPr>
              <w:t>87,870</w:t>
            </w:r>
          </w:p>
        </w:tc>
        <w:tc>
          <w:tcPr>
            <w:tcW w:w="500" w:type="dxa"/>
            <w:vAlign w:val="bottom"/>
          </w:tcPr>
          <w:p>
            <w:pPr>
              <w:jc w:val="center"/>
              <w:spacing w:after="0"/>
              <w:rPr>
                <w:sz w:val="20"/>
                <w:szCs w:val="20"/>
                <w:color w:val="auto"/>
              </w:rPr>
            </w:pPr>
            <w:r>
              <w:rPr>
                <w:rFonts w:ascii="Arial" w:cs="Arial" w:eastAsia="Arial" w:hAnsi="Arial"/>
                <w:sz w:val="13"/>
                <w:szCs w:val="13"/>
                <w:color w:val="auto"/>
                <w:w w:val="97"/>
              </w:rPr>
              <w:t>175,740</w:t>
            </w:r>
          </w:p>
        </w:tc>
        <w:tc>
          <w:tcPr>
            <w:tcW w:w="6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60" w:type="dxa"/>
            <w:vAlign w:val="bottom"/>
          </w:tcPr>
          <w:p>
            <w:pPr>
              <w:jc w:val="center"/>
              <w:spacing w:after="0"/>
              <w:rPr>
                <w:sz w:val="20"/>
                <w:szCs w:val="20"/>
                <w:color w:val="auto"/>
              </w:rPr>
            </w:pPr>
            <w:r>
              <w:rPr>
                <w:rFonts w:ascii="Arial" w:cs="Arial" w:eastAsia="Arial" w:hAnsi="Arial"/>
                <w:sz w:val="13"/>
                <w:szCs w:val="13"/>
                <w:color w:val="auto"/>
              </w:rPr>
              <w:t>–</w:t>
            </w:r>
          </w:p>
        </w:tc>
        <w:tc>
          <w:tcPr>
            <w:tcW w:w="60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7F7F7F"/>
            </w:tcBorders>
          </w:tcPr>
          <w:p>
            <w:pPr>
              <w:jc w:val="center"/>
              <w:ind w:right="17"/>
              <w:spacing w:after="0"/>
              <w:rPr>
                <w:sz w:val="20"/>
                <w:szCs w:val="20"/>
                <w:color w:val="auto"/>
              </w:rPr>
            </w:pPr>
            <w:r>
              <w:rPr>
                <w:rFonts w:ascii="Arial" w:cs="Arial" w:eastAsia="Arial" w:hAnsi="Arial"/>
                <w:sz w:val="13"/>
                <w:szCs w:val="13"/>
                <w:color w:val="auto"/>
                <w:w w:val="96"/>
              </w:rPr>
              <w:t>$ 8,359,073</w:t>
            </w:r>
          </w:p>
        </w:tc>
        <w:tc>
          <w:tcPr>
            <w:tcW w:w="0" w:type="dxa"/>
            <w:vAlign w:val="bottom"/>
          </w:tcPr>
          <w:p>
            <w:pPr>
              <w:spacing w:after="0"/>
              <w:rPr>
                <w:sz w:val="1"/>
                <w:szCs w:val="1"/>
                <w:color w:val="auto"/>
              </w:rPr>
            </w:pPr>
          </w:p>
        </w:tc>
      </w:tr>
      <w:tr>
        <w:trPr>
          <w:trHeight w:val="37"/>
        </w:trPr>
        <w:tc>
          <w:tcPr>
            <w:tcW w:w="2340" w:type="dxa"/>
            <w:vAlign w:val="bottom"/>
            <w:tcBorders>
              <w:left w:val="single" w:sz="8" w:color="7F7F7F"/>
            </w:tcBorders>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Borders>
              <w:right w:val="single" w:sz="8" w:color="7F7F7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2340" w:type="dxa"/>
            <w:vAlign w:val="bottom"/>
            <w:tcBorders>
              <w:left w:val="single" w:sz="8" w:color="7F7F7F"/>
              <w:bottom w:val="single" w:sz="8" w:color="D8D8D8"/>
            </w:tcBorders>
            <w:shd w:val="clear" w:color="auto" w:fill="D8D8D8"/>
          </w:tcPr>
          <w:p>
            <w:pPr>
              <w:spacing w:after="0"/>
              <w:rPr>
                <w:sz w:val="15"/>
                <w:szCs w:val="15"/>
                <w:color w:val="auto"/>
              </w:rPr>
            </w:pPr>
          </w:p>
        </w:tc>
        <w:tc>
          <w:tcPr>
            <w:tcW w:w="7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3"/>
                <w:szCs w:val="13"/>
                <w:color w:val="auto"/>
              </w:rPr>
              <w:t>Options</w:t>
            </w:r>
          </w:p>
        </w:tc>
        <w:tc>
          <w:tcPr>
            <w:tcW w:w="840" w:type="dxa"/>
            <w:vAlign w:val="bottom"/>
            <w:tcBorders>
              <w:bottom w:val="single" w:sz="8" w:color="D8D8D8"/>
            </w:tcBorders>
            <w:shd w:val="clear" w:color="auto" w:fill="D8D8D8"/>
          </w:tcPr>
          <w:p>
            <w:pPr>
              <w:jc w:val="right"/>
              <w:ind w:right="117"/>
              <w:spacing w:after="0"/>
              <w:rPr>
                <w:sz w:val="20"/>
                <w:szCs w:val="20"/>
                <w:color w:val="auto"/>
              </w:rPr>
            </w:pPr>
            <w:r>
              <w:rPr>
                <w:rFonts w:ascii="Arial" w:cs="Arial" w:eastAsia="Arial" w:hAnsi="Arial"/>
                <w:sz w:val="13"/>
                <w:szCs w:val="13"/>
                <w:color w:val="auto"/>
              </w:rPr>
              <w:t>1/27/2021</w:t>
            </w:r>
          </w:p>
        </w:tc>
        <w:tc>
          <w:tcPr>
            <w:tcW w:w="7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82"/>
              </w:rPr>
              <w:t>–</w:t>
            </w:r>
          </w:p>
        </w:tc>
        <w:tc>
          <w:tcPr>
            <w:tcW w:w="160" w:type="dxa"/>
            <w:vAlign w:val="bottom"/>
            <w:tcBorders>
              <w:bottom w:val="single" w:sz="8" w:color="D8D8D8"/>
            </w:tcBorders>
            <w:shd w:val="clear" w:color="auto" w:fill="D8D8D8"/>
          </w:tcPr>
          <w:p>
            <w:pPr>
              <w:spacing w:after="0"/>
              <w:rPr>
                <w:sz w:val="15"/>
                <w:szCs w:val="15"/>
                <w:color w:val="auto"/>
              </w:rPr>
            </w:pPr>
          </w:p>
        </w:tc>
        <w:tc>
          <w:tcPr>
            <w:tcW w:w="740" w:type="dxa"/>
            <w:vAlign w:val="bottom"/>
            <w:tcBorders>
              <w:bottom w:val="single" w:sz="8" w:color="D8D8D8"/>
            </w:tcBorders>
            <w:shd w:val="clear" w:color="auto" w:fill="D8D8D8"/>
          </w:tcPr>
          <w:p>
            <w:pPr>
              <w:jc w:val="center"/>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8D8D8"/>
            </w:tcBorders>
            <w:shd w:val="clear" w:color="auto" w:fill="D8D8D8"/>
          </w:tcPr>
          <w:p>
            <w:pPr>
              <w:spacing w:after="0"/>
              <w:rPr>
                <w:sz w:val="15"/>
                <w:szCs w:val="15"/>
                <w:color w:val="auto"/>
              </w:rPr>
            </w:pPr>
          </w:p>
        </w:tc>
        <w:tc>
          <w:tcPr>
            <w:tcW w:w="720" w:type="dxa"/>
            <w:vAlign w:val="bottom"/>
            <w:tcBorders>
              <w:bottom w:val="single" w:sz="8" w:color="D8D8D8"/>
            </w:tcBorders>
            <w:shd w:val="clear" w:color="auto" w:fill="D8D8D8"/>
          </w:tcPr>
          <w:p>
            <w:pPr>
              <w:jc w:val="right"/>
              <w:ind w:right="3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D8D8D8"/>
            </w:tcBorders>
            <w:shd w:val="clear" w:color="auto" w:fill="D8D8D8"/>
          </w:tcPr>
          <w:p>
            <w:pPr>
              <w:jc w:val="right"/>
              <w:ind w:right="21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97"/>
              </w:rPr>
              <w:t>317,100</w:t>
            </w:r>
          </w:p>
        </w:tc>
        <w:tc>
          <w:tcPr>
            <w:tcW w:w="6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95"/>
              </w:rPr>
              <w:t>$88.20</w:t>
            </w:r>
          </w:p>
        </w:tc>
        <w:tc>
          <w:tcPr>
            <w:tcW w:w="860" w:type="dxa"/>
            <w:vAlign w:val="bottom"/>
            <w:tcBorders>
              <w:bottom w:val="single" w:sz="8" w:color="D8D8D8"/>
              <w:right w:val="single" w:sz="8" w:color="7F7F7F"/>
            </w:tcBorders>
            <w:shd w:val="clear" w:color="auto" w:fill="D8D8D8"/>
          </w:tcPr>
          <w:p>
            <w:pPr>
              <w:jc w:val="center"/>
              <w:ind w:right="17"/>
              <w:spacing w:after="0"/>
              <w:rPr>
                <w:sz w:val="20"/>
                <w:szCs w:val="20"/>
                <w:color w:val="auto"/>
              </w:rPr>
            </w:pPr>
            <w:r>
              <w:rPr>
                <w:rFonts w:ascii="Arial" w:cs="Arial" w:eastAsia="Arial" w:hAnsi="Arial"/>
                <w:sz w:val="13"/>
                <w:szCs w:val="13"/>
                <w:color w:val="auto"/>
                <w:w w:val="96"/>
              </w:rPr>
              <w:t>$ 3,874,962</w:t>
            </w:r>
          </w:p>
        </w:tc>
        <w:tc>
          <w:tcPr>
            <w:tcW w:w="0" w:type="dxa"/>
            <w:vAlign w:val="bottom"/>
          </w:tcPr>
          <w:p>
            <w:pPr>
              <w:spacing w:after="0"/>
              <w:rPr>
                <w:sz w:val="1"/>
                <w:szCs w:val="1"/>
                <w:color w:val="auto"/>
              </w:rPr>
            </w:pPr>
          </w:p>
        </w:tc>
      </w:tr>
      <w:tr>
        <w:trPr>
          <w:trHeight w:val="166"/>
        </w:trPr>
        <w:tc>
          <w:tcPr>
            <w:tcW w:w="2340" w:type="dxa"/>
            <w:vAlign w:val="bottom"/>
            <w:tcBorders>
              <w:left w:val="single" w:sz="8" w:color="7F7F7F"/>
            </w:tcBorders>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3"/>
                <w:szCs w:val="13"/>
                <w:color w:val="auto"/>
              </w:rPr>
              <w:t>RSUs</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1/27/2021</w:t>
            </w:r>
          </w:p>
        </w:tc>
        <w:tc>
          <w:tcPr>
            <w:tcW w:w="7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14"/>
                <w:szCs w:val="14"/>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520" w:type="dxa"/>
            <w:vAlign w:val="bottom"/>
          </w:tcPr>
          <w:p>
            <w:pPr>
              <w:jc w:val="center"/>
              <w:spacing w:after="0"/>
              <w:rPr>
                <w:sz w:val="20"/>
                <w:szCs w:val="20"/>
                <w:color w:val="auto"/>
              </w:rPr>
            </w:pPr>
            <w:r>
              <w:rPr>
                <w:rFonts w:ascii="Arial" w:cs="Arial" w:eastAsia="Arial" w:hAnsi="Arial"/>
                <w:sz w:val="13"/>
                <w:szCs w:val="13"/>
                <w:color w:val="auto"/>
              </w:rPr>
              <w:t>–</w:t>
            </w:r>
          </w:p>
        </w:tc>
        <w:tc>
          <w:tcPr>
            <w:tcW w:w="5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43,930</w:t>
            </w:r>
          </w:p>
        </w:tc>
        <w:tc>
          <w:tcPr>
            <w:tcW w:w="760" w:type="dxa"/>
            <w:vAlign w:val="bottom"/>
          </w:tcPr>
          <w:p>
            <w:pPr>
              <w:jc w:val="center"/>
              <w:spacing w:after="0"/>
              <w:rPr>
                <w:sz w:val="20"/>
                <w:szCs w:val="20"/>
                <w:color w:val="auto"/>
              </w:rPr>
            </w:pPr>
            <w:r>
              <w:rPr>
                <w:rFonts w:ascii="Arial" w:cs="Arial" w:eastAsia="Arial" w:hAnsi="Arial"/>
                <w:sz w:val="13"/>
                <w:szCs w:val="13"/>
                <w:color w:val="auto"/>
              </w:rPr>
              <w:t>–</w:t>
            </w:r>
          </w:p>
        </w:tc>
        <w:tc>
          <w:tcPr>
            <w:tcW w:w="60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7F7F7F"/>
            </w:tcBorders>
          </w:tcPr>
          <w:p>
            <w:pPr>
              <w:jc w:val="center"/>
              <w:ind w:right="17"/>
              <w:spacing w:after="0"/>
              <w:rPr>
                <w:sz w:val="20"/>
                <w:szCs w:val="20"/>
                <w:color w:val="auto"/>
              </w:rPr>
            </w:pPr>
            <w:r>
              <w:rPr>
                <w:rFonts w:ascii="Arial" w:cs="Arial" w:eastAsia="Arial" w:hAnsi="Arial"/>
                <w:sz w:val="13"/>
                <w:szCs w:val="13"/>
                <w:color w:val="auto"/>
                <w:w w:val="96"/>
              </w:rPr>
              <w:t>$ 3,874,626</w:t>
            </w:r>
          </w:p>
        </w:tc>
        <w:tc>
          <w:tcPr>
            <w:tcW w:w="0" w:type="dxa"/>
            <w:vAlign w:val="bottom"/>
          </w:tcPr>
          <w:p>
            <w:pPr>
              <w:spacing w:after="0"/>
              <w:rPr>
                <w:sz w:val="1"/>
                <w:szCs w:val="1"/>
                <w:color w:val="auto"/>
              </w:rPr>
            </w:pPr>
          </w:p>
        </w:tc>
      </w:tr>
      <w:tr>
        <w:trPr>
          <w:trHeight w:val="37"/>
        </w:trPr>
        <w:tc>
          <w:tcPr>
            <w:tcW w:w="2340" w:type="dxa"/>
            <w:vAlign w:val="bottom"/>
            <w:tcBorders>
              <w:left w:val="single" w:sz="8" w:color="7F7F7F"/>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740" w:type="dxa"/>
            <w:vAlign w:val="bottom"/>
            <w:tcBorders>
              <w:bottom w:val="single" w:sz="8" w:color="7F7F7F"/>
            </w:tcBorders>
          </w:tcPr>
          <w:p>
            <w:pPr>
              <w:spacing w:after="0"/>
              <w:rPr>
                <w:sz w:val="3"/>
                <w:szCs w:val="3"/>
                <w:color w:val="auto"/>
              </w:rPr>
            </w:pPr>
          </w:p>
        </w:tc>
        <w:tc>
          <w:tcPr>
            <w:tcW w:w="120" w:type="dxa"/>
            <w:vAlign w:val="bottom"/>
            <w:tcBorders>
              <w:bottom w:val="single" w:sz="8" w:color="7F7F7F"/>
            </w:tcBorders>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c>
          <w:tcPr>
            <w:tcW w:w="800" w:type="dxa"/>
            <w:vAlign w:val="bottom"/>
            <w:tcBorders>
              <w:bottom w:val="single" w:sz="8" w:color="7F7F7F"/>
            </w:tcBorders>
          </w:tcPr>
          <w:p>
            <w:pPr>
              <w:spacing w:after="0"/>
              <w:rPr>
                <w:sz w:val="3"/>
                <w:szCs w:val="3"/>
                <w:color w:val="auto"/>
              </w:rPr>
            </w:pPr>
          </w:p>
        </w:tc>
        <w:tc>
          <w:tcPr>
            <w:tcW w:w="520" w:type="dxa"/>
            <w:vAlign w:val="bottom"/>
            <w:tcBorders>
              <w:bottom w:val="single" w:sz="8" w:color="7F7F7F"/>
            </w:tcBorders>
          </w:tcPr>
          <w:p>
            <w:pPr>
              <w:spacing w:after="0"/>
              <w:rPr>
                <w:sz w:val="3"/>
                <w:szCs w:val="3"/>
                <w:color w:val="auto"/>
              </w:rPr>
            </w:pPr>
          </w:p>
        </w:tc>
        <w:tc>
          <w:tcPr>
            <w:tcW w:w="500" w:type="dxa"/>
            <w:vAlign w:val="bottom"/>
            <w:tcBorders>
              <w:bottom w:val="single" w:sz="8" w:color="7F7F7F"/>
            </w:tcBorders>
          </w:tcPr>
          <w:p>
            <w:pPr>
              <w:spacing w:after="0"/>
              <w:rPr>
                <w:sz w:val="3"/>
                <w:szCs w:val="3"/>
                <w:color w:val="auto"/>
              </w:rPr>
            </w:pPr>
          </w:p>
        </w:tc>
        <w:tc>
          <w:tcPr>
            <w:tcW w:w="680" w:type="dxa"/>
            <w:vAlign w:val="bottom"/>
            <w:tcBorders>
              <w:bottom w:val="single" w:sz="8" w:color="7F7F7F"/>
            </w:tcBorders>
          </w:tcPr>
          <w:p>
            <w:pPr>
              <w:spacing w:after="0"/>
              <w:rPr>
                <w:sz w:val="3"/>
                <w:szCs w:val="3"/>
                <w:color w:val="auto"/>
              </w:rPr>
            </w:pPr>
          </w:p>
        </w:tc>
        <w:tc>
          <w:tcPr>
            <w:tcW w:w="760" w:type="dxa"/>
            <w:vAlign w:val="bottom"/>
            <w:tcBorders>
              <w:bottom w:val="single" w:sz="8" w:color="7F7F7F"/>
            </w:tcBorders>
          </w:tcPr>
          <w:p>
            <w:pPr>
              <w:spacing w:after="0"/>
              <w:rPr>
                <w:sz w:val="3"/>
                <w:szCs w:val="3"/>
                <w:color w:val="auto"/>
              </w:rPr>
            </w:pPr>
          </w:p>
        </w:tc>
        <w:tc>
          <w:tcPr>
            <w:tcW w:w="600" w:type="dxa"/>
            <w:vAlign w:val="bottom"/>
            <w:tcBorders>
              <w:bottom w:val="single" w:sz="8" w:color="7F7F7F"/>
            </w:tcBorders>
          </w:tcPr>
          <w:p>
            <w:pPr>
              <w:spacing w:after="0"/>
              <w:rPr>
                <w:sz w:val="3"/>
                <w:szCs w:val="3"/>
                <w:color w:val="auto"/>
              </w:rPr>
            </w:pPr>
          </w:p>
        </w:tc>
        <w:tc>
          <w:tcPr>
            <w:tcW w:w="860" w:type="dxa"/>
            <w:vAlign w:val="bottom"/>
            <w:tcBorders>
              <w:bottom w:val="single" w:sz="8" w:color="7F7F7F"/>
              <w:right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340" w:type="dxa"/>
            <w:vAlign w:val="bottom"/>
            <w:tcBorders>
              <w:left w:val="single" w:sz="8" w:color="7F7F7F"/>
              <w:bottom w:val="single" w:sz="8" w:color="D8D8D8"/>
            </w:tcBorders>
            <w:shd w:val="clear" w:color="auto" w:fill="D8D8D8"/>
          </w:tcPr>
          <w:p>
            <w:pPr>
              <w:ind w:left="160"/>
              <w:spacing w:after="0"/>
              <w:rPr>
                <w:sz w:val="20"/>
                <w:szCs w:val="20"/>
                <w:color w:val="auto"/>
              </w:rPr>
            </w:pPr>
            <w:r>
              <w:rPr>
                <w:rFonts w:ascii="Arial" w:cs="Arial" w:eastAsia="Arial" w:hAnsi="Arial"/>
                <w:sz w:val="13"/>
                <w:szCs w:val="13"/>
                <w:color w:val="auto"/>
              </w:rPr>
              <w:t>P.R. Breber</w:t>
            </w:r>
          </w:p>
        </w:tc>
        <w:tc>
          <w:tcPr>
            <w:tcW w:w="7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3"/>
                <w:szCs w:val="13"/>
                <w:color w:val="auto"/>
              </w:rPr>
              <w:t>CIP</w:t>
            </w:r>
          </w:p>
        </w:tc>
        <w:tc>
          <w:tcPr>
            <w:tcW w:w="840" w:type="dxa"/>
            <w:vAlign w:val="bottom"/>
            <w:tcBorders>
              <w:bottom w:val="single" w:sz="8" w:color="D8D8D8"/>
            </w:tcBorders>
            <w:shd w:val="clear" w:color="auto" w:fill="D8D8D8"/>
          </w:tcPr>
          <w:p>
            <w:pPr>
              <w:spacing w:after="0"/>
              <w:rPr>
                <w:sz w:val="15"/>
                <w:szCs w:val="15"/>
                <w:color w:val="auto"/>
              </w:rPr>
            </w:pPr>
          </w:p>
        </w:tc>
        <w:tc>
          <w:tcPr>
            <w:tcW w:w="7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82"/>
              </w:rPr>
              <w:t>–</w:t>
            </w:r>
          </w:p>
        </w:tc>
        <w:tc>
          <w:tcPr>
            <w:tcW w:w="16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8D8D8"/>
            </w:tcBorders>
            <w:shd w:val="clear" w:color="auto" w:fill="D8D8D8"/>
          </w:tcPr>
          <w:p>
            <w:pPr>
              <w:ind w:left="60"/>
              <w:spacing w:after="0"/>
              <w:rPr>
                <w:sz w:val="20"/>
                <w:szCs w:val="20"/>
                <w:color w:val="auto"/>
              </w:rPr>
            </w:pPr>
            <w:r>
              <w:rPr>
                <w:rFonts w:ascii="Arial" w:cs="Arial" w:eastAsia="Arial" w:hAnsi="Arial"/>
                <w:sz w:val="13"/>
                <w:szCs w:val="13"/>
                <w:color w:val="auto"/>
              </w:rPr>
              <w:t>1,122,000</w:t>
            </w:r>
          </w:p>
        </w:tc>
        <w:tc>
          <w:tcPr>
            <w:tcW w:w="12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8D8D8"/>
            </w:tcBorders>
            <w:shd w:val="clear" w:color="auto" w:fill="D8D8D8"/>
          </w:tcPr>
          <w:p>
            <w:pPr>
              <w:jc w:val="right"/>
              <w:ind w:right="57"/>
              <w:spacing w:after="0"/>
              <w:rPr>
                <w:sz w:val="20"/>
                <w:szCs w:val="20"/>
                <w:color w:val="auto"/>
              </w:rPr>
            </w:pPr>
            <w:r>
              <w:rPr>
                <w:rFonts w:ascii="Arial" w:cs="Arial" w:eastAsia="Arial" w:hAnsi="Arial"/>
                <w:sz w:val="13"/>
                <w:szCs w:val="13"/>
                <w:color w:val="auto"/>
              </w:rPr>
              <w:t>2,244,000</w:t>
            </w:r>
          </w:p>
        </w:tc>
        <w:tc>
          <w:tcPr>
            <w:tcW w:w="8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D8D8D8"/>
            </w:tcBorders>
            <w:shd w:val="clear" w:color="auto" w:fill="D8D8D8"/>
          </w:tcPr>
          <w:p>
            <w:pPr>
              <w:jc w:val="right"/>
              <w:ind w:right="21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8D8D8"/>
              <w:right w:val="single" w:sz="8" w:color="7F7F7F"/>
            </w:tcBorders>
            <w:shd w:val="clear" w:color="auto" w:fill="D8D8D8"/>
          </w:tcPr>
          <w:p>
            <w:pPr>
              <w:jc w:val="center"/>
              <w:ind w:right="17"/>
              <w:spacing w:after="0"/>
              <w:rPr>
                <w:sz w:val="20"/>
                <w:szCs w:val="20"/>
                <w:color w:val="auto"/>
              </w:rPr>
            </w:pPr>
            <w:r>
              <w:rPr>
                <w:rFonts w:ascii="Arial" w:cs="Arial" w:eastAsia="Arial" w:hAnsi="Arial"/>
                <w:sz w:val="13"/>
                <w:szCs w:val="13"/>
                <w:color w:val="auto"/>
                <w:w w:val="82"/>
              </w:rPr>
              <w:t>–</w:t>
            </w:r>
          </w:p>
        </w:tc>
        <w:tc>
          <w:tcPr>
            <w:tcW w:w="0" w:type="dxa"/>
            <w:vAlign w:val="bottom"/>
          </w:tcPr>
          <w:p>
            <w:pPr>
              <w:spacing w:after="0"/>
              <w:rPr>
                <w:sz w:val="1"/>
                <w:szCs w:val="1"/>
                <w:color w:val="auto"/>
              </w:rPr>
            </w:pPr>
          </w:p>
        </w:tc>
      </w:tr>
      <w:tr>
        <w:trPr>
          <w:trHeight w:val="166"/>
        </w:trPr>
        <w:tc>
          <w:tcPr>
            <w:tcW w:w="2340" w:type="dxa"/>
            <w:vAlign w:val="bottom"/>
            <w:tcBorders>
              <w:left w:val="single" w:sz="8" w:color="7F7F7F"/>
            </w:tcBorders>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3"/>
                <w:szCs w:val="13"/>
                <w:color w:val="auto"/>
                <w:w w:val="93"/>
              </w:rPr>
              <w:t>Perf Shares</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1/27/2021</w:t>
            </w:r>
          </w:p>
        </w:tc>
        <w:tc>
          <w:tcPr>
            <w:tcW w:w="7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14"/>
                <w:szCs w:val="14"/>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800" w:type="dxa"/>
            <w:vAlign w:val="bottom"/>
          </w:tcPr>
          <w:p>
            <w:pPr>
              <w:jc w:val="center"/>
              <w:ind w:left="17"/>
              <w:spacing w:after="0"/>
              <w:rPr>
                <w:sz w:val="20"/>
                <w:szCs w:val="20"/>
                <w:color w:val="auto"/>
              </w:rPr>
            </w:pPr>
            <w:r>
              <w:rPr>
                <w:rFonts w:ascii="Arial" w:cs="Arial" w:eastAsia="Arial" w:hAnsi="Arial"/>
                <w:sz w:val="13"/>
                <w:szCs w:val="13"/>
                <w:color w:val="auto"/>
                <w:w w:val="98"/>
              </w:rPr>
              <w:t>4,878</w:t>
            </w:r>
          </w:p>
        </w:tc>
        <w:tc>
          <w:tcPr>
            <w:tcW w:w="520" w:type="dxa"/>
            <w:vAlign w:val="bottom"/>
          </w:tcPr>
          <w:p>
            <w:pPr>
              <w:jc w:val="center"/>
              <w:spacing w:after="0"/>
              <w:rPr>
                <w:sz w:val="20"/>
                <w:szCs w:val="20"/>
                <w:color w:val="auto"/>
              </w:rPr>
            </w:pPr>
            <w:r>
              <w:rPr>
                <w:rFonts w:ascii="Arial" w:cs="Arial" w:eastAsia="Arial" w:hAnsi="Arial"/>
                <w:sz w:val="13"/>
                <w:szCs w:val="13"/>
                <w:color w:val="auto"/>
              </w:rPr>
              <w:t>22,690</w:t>
            </w:r>
          </w:p>
        </w:tc>
        <w:tc>
          <w:tcPr>
            <w:tcW w:w="500" w:type="dxa"/>
            <w:vAlign w:val="bottom"/>
          </w:tcPr>
          <w:p>
            <w:pPr>
              <w:jc w:val="center"/>
              <w:spacing w:after="0"/>
              <w:rPr>
                <w:sz w:val="20"/>
                <w:szCs w:val="20"/>
                <w:color w:val="auto"/>
              </w:rPr>
            </w:pPr>
            <w:r>
              <w:rPr>
                <w:rFonts w:ascii="Arial" w:cs="Arial" w:eastAsia="Arial" w:hAnsi="Arial"/>
                <w:sz w:val="13"/>
                <w:szCs w:val="13"/>
                <w:color w:val="auto"/>
                <w:w w:val="95"/>
              </w:rPr>
              <w:t>45,380</w:t>
            </w:r>
          </w:p>
        </w:tc>
        <w:tc>
          <w:tcPr>
            <w:tcW w:w="6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60" w:type="dxa"/>
            <w:vAlign w:val="bottom"/>
          </w:tcPr>
          <w:p>
            <w:pPr>
              <w:jc w:val="center"/>
              <w:spacing w:after="0"/>
              <w:rPr>
                <w:sz w:val="20"/>
                <w:szCs w:val="20"/>
                <w:color w:val="auto"/>
              </w:rPr>
            </w:pPr>
            <w:r>
              <w:rPr>
                <w:rFonts w:ascii="Arial" w:cs="Arial" w:eastAsia="Arial" w:hAnsi="Arial"/>
                <w:sz w:val="13"/>
                <w:szCs w:val="13"/>
                <w:color w:val="auto"/>
              </w:rPr>
              <w:t>–</w:t>
            </w:r>
          </w:p>
        </w:tc>
        <w:tc>
          <w:tcPr>
            <w:tcW w:w="60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7F7F7F"/>
            </w:tcBorders>
          </w:tcPr>
          <w:p>
            <w:pPr>
              <w:jc w:val="center"/>
              <w:ind w:right="17"/>
              <w:spacing w:after="0"/>
              <w:rPr>
                <w:sz w:val="20"/>
                <w:szCs w:val="20"/>
                <w:color w:val="auto"/>
              </w:rPr>
            </w:pPr>
            <w:r>
              <w:rPr>
                <w:rFonts w:ascii="Arial" w:cs="Arial" w:eastAsia="Arial" w:hAnsi="Arial"/>
                <w:sz w:val="13"/>
                <w:szCs w:val="13"/>
                <w:color w:val="auto"/>
                <w:w w:val="96"/>
              </w:rPr>
              <w:t>$ 2,158,500</w:t>
            </w:r>
          </w:p>
        </w:tc>
        <w:tc>
          <w:tcPr>
            <w:tcW w:w="0" w:type="dxa"/>
            <w:vAlign w:val="bottom"/>
          </w:tcPr>
          <w:p>
            <w:pPr>
              <w:spacing w:after="0"/>
              <w:rPr>
                <w:sz w:val="1"/>
                <w:szCs w:val="1"/>
                <w:color w:val="auto"/>
              </w:rPr>
            </w:pPr>
          </w:p>
        </w:tc>
      </w:tr>
      <w:tr>
        <w:trPr>
          <w:trHeight w:val="37"/>
        </w:trPr>
        <w:tc>
          <w:tcPr>
            <w:tcW w:w="2340" w:type="dxa"/>
            <w:vAlign w:val="bottom"/>
            <w:tcBorders>
              <w:left w:val="single" w:sz="8" w:color="7F7F7F"/>
            </w:tcBorders>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Borders>
              <w:right w:val="single" w:sz="8" w:color="7F7F7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2340" w:type="dxa"/>
            <w:vAlign w:val="bottom"/>
            <w:tcBorders>
              <w:left w:val="single" w:sz="8" w:color="7F7F7F"/>
              <w:bottom w:val="single" w:sz="8" w:color="D8D8D8"/>
            </w:tcBorders>
            <w:shd w:val="clear" w:color="auto" w:fill="D8D8D8"/>
          </w:tcPr>
          <w:p>
            <w:pPr>
              <w:spacing w:after="0"/>
              <w:rPr>
                <w:sz w:val="15"/>
                <w:szCs w:val="15"/>
                <w:color w:val="auto"/>
              </w:rPr>
            </w:pPr>
          </w:p>
        </w:tc>
        <w:tc>
          <w:tcPr>
            <w:tcW w:w="7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3"/>
                <w:szCs w:val="13"/>
                <w:color w:val="auto"/>
              </w:rPr>
              <w:t>Options</w:t>
            </w:r>
          </w:p>
        </w:tc>
        <w:tc>
          <w:tcPr>
            <w:tcW w:w="840" w:type="dxa"/>
            <w:vAlign w:val="bottom"/>
            <w:tcBorders>
              <w:bottom w:val="single" w:sz="8" w:color="D8D8D8"/>
            </w:tcBorders>
            <w:shd w:val="clear" w:color="auto" w:fill="D8D8D8"/>
          </w:tcPr>
          <w:p>
            <w:pPr>
              <w:jc w:val="right"/>
              <w:ind w:right="117"/>
              <w:spacing w:after="0"/>
              <w:rPr>
                <w:sz w:val="20"/>
                <w:szCs w:val="20"/>
                <w:color w:val="auto"/>
              </w:rPr>
            </w:pPr>
            <w:r>
              <w:rPr>
                <w:rFonts w:ascii="Arial" w:cs="Arial" w:eastAsia="Arial" w:hAnsi="Arial"/>
                <w:sz w:val="13"/>
                <w:szCs w:val="13"/>
                <w:color w:val="auto"/>
              </w:rPr>
              <w:t>1/27/2021</w:t>
            </w:r>
          </w:p>
        </w:tc>
        <w:tc>
          <w:tcPr>
            <w:tcW w:w="7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82"/>
              </w:rPr>
              <w:t>–</w:t>
            </w:r>
          </w:p>
        </w:tc>
        <w:tc>
          <w:tcPr>
            <w:tcW w:w="160" w:type="dxa"/>
            <w:vAlign w:val="bottom"/>
            <w:tcBorders>
              <w:bottom w:val="single" w:sz="8" w:color="D8D8D8"/>
            </w:tcBorders>
            <w:shd w:val="clear" w:color="auto" w:fill="D8D8D8"/>
          </w:tcPr>
          <w:p>
            <w:pPr>
              <w:spacing w:after="0"/>
              <w:rPr>
                <w:sz w:val="15"/>
                <w:szCs w:val="15"/>
                <w:color w:val="auto"/>
              </w:rPr>
            </w:pPr>
          </w:p>
        </w:tc>
        <w:tc>
          <w:tcPr>
            <w:tcW w:w="740" w:type="dxa"/>
            <w:vAlign w:val="bottom"/>
            <w:tcBorders>
              <w:bottom w:val="single" w:sz="8" w:color="D8D8D8"/>
            </w:tcBorders>
            <w:shd w:val="clear" w:color="auto" w:fill="D8D8D8"/>
          </w:tcPr>
          <w:p>
            <w:pPr>
              <w:jc w:val="center"/>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8D8D8"/>
            </w:tcBorders>
            <w:shd w:val="clear" w:color="auto" w:fill="D8D8D8"/>
          </w:tcPr>
          <w:p>
            <w:pPr>
              <w:spacing w:after="0"/>
              <w:rPr>
                <w:sz w:val="15"/>
                <w:szCs w:val="15"/>
                <w:color w:val="auto"/>
              </w:rPr>
            </w:pPr>
          </w:p>
        </w:tc>
        <w:tc>
          <w:tcPr>
            <w:tcW w:w="720" w:type="dxa"/>
            <w:vAlign w:val="bottom"/>
            <w:tcBorders>
              <w:bottom w:val="single" w:sz="8" w:color="D8D8D8"/>
            </w:tcBorders>
            <w:shd w:val="clear" w:color="auto" w:fill="D8D8D8"/>
          </w:tcPr>
          <w:p>
            <w:pPr>
              <w:jc w:val="right"/>
              <w:ind w:right="3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D8D8D8"/>
            </w:tcBorders>
            <w:shd w:val="clear" w:color="auto" w:fill="D8D8D8"/>
          </w:tcPr>
          <w:p>
            <w:pPr>
              <w:jc w:val="right"/>
              <w:ind w:right="21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95"/>
              </w:rPr>
              <w:t>81,900</w:t>
            </w:r>
          </w:p>
        </w:tc>
        <w:tc>
          <w:tcPr>
            <w:tcW w:w="6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95"/>
              </w:rPr>
              <w:t>$88.20</w:t>
            </w:r>
          </w:p>
        </w:tc>
        <w:tc>
          <w:tcPr>
            <w:tcW w:w="860" w:type="dxa"/>
            <w:vAlign w:val="bottom"/>
            <w:tcBorders>
              <w:bottom w:val="single" w:sz="8" w:color="D8D8D8"/>
              <w:right w:val="single" w:sz="8" w:color="7F7F7F"/>
            </w:tcBorders>
            <w:shd w:val="clear" w:color="auto" w:fill="D8D8D8"/>
          </w:tcPr>
          <w:p>
            <w:pPr>
              <w:jc w:val="center"/>
              <w:ind w:right="17"/>
              <w:spacing w:after="0"/>
              <w:rPr>
                <w:sz w:val="20"/>
                <w:szCs w:val="20"/>
                <w:color w:val="auto"/>
              </w:rPr>
            </w:pPr>
            <w:r>
              <w:rPr>
                <w:rFonts w:ascii="Arial" w:cs="Arial" w:eastAsia="Arial" w:hAnsi="Arial"/>
                <w:sz w:val="13"/>
                <w:szCs w:val="13"/>
                <w:color w:val="auto"/>
                <w:w w:val="96"/>
              </w:rPr>
              <w:t>$ 1,000,818</w:t>
            </w:r>
          </w:p>
        </w:tc>
        <w:tc>
          <w:tcPr>
            <w:tcW w:w="0" w:type="dxa"/>
            <w:vAlign w:val="bottom"/>
          </w:tcPr>
          <w:p>
            <w:pPr>
              <w:spacing w:after="0"/>
              <w:rPr>
                <w:sz w:val="1"/>
                <w:szCs w:val="1"/>
                <w:color w:val="auto"/>
              </w:rPr>
            </w:pPr>
          </w:p>
        </w:tc>
      </w:tr>
      <w:tr>
        <w:trPr>
          <w:trHeight w:val="166"/>
        </w:trPr>
        <w:tc>
          <w:tcPr>
            <w:tcW w:w="2340" w:type="dxa"/>
            <w:vAlign w:val="bottom"/>
            <w:tcBorders>
              <w:left w:val="single" w:sz="8" w:color="7F7F7F"/>
            </w:tcBorders>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3"/>
                <w:szCs w:val="13"/>
                <w:color w:val="auto"/>
              </w:rPr>
              <w:t>RSUs</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1/27/2021</w:t>
            </w:r>
          </w:p>
        </w:tc>
        <w:tc>
          <w:tcPr>
            <w:tcW w:w="7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14"/>
                <w:szCs w:val="14"/>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520" w:type="dxa"/>
            <w:vAlign w:val="bottom"/>
          </w:tcPr>
          <w:p>
            <w:pPr>
              <w:jc w:val="center"/>
              <w:spacing w:after="0"/>
              <w:rPr>
                <w:sz w:val="20"/>
                <w:szCs w:val="20"/>
                <w:color w:val="auto"/>
              </w:rPr>
            </w:pPr>
            <w:r>
              <w:rPr>
                <w:rFonts w:ascii="Arial" w:cs="Arial" w:eastAsia="Arial" w:hAnsi="Arial"/>
                <w:sz w:val="13"/>
                <w:szCs w:val="13"/>
                <w:color w:val="auto"/>
              </w:rPr>
              <w:t>–</w:t>
            </w:r>
          </w:p>
        </w:tc>
        <w:tc>
          <w:tcPr>
            <w:tcW w:w="5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11,340</w:t>
            </w:r>
          </w:p>
        </w:tc>
        <w:tc>
          <w:tcPr>
            <w:tcW w:w="760" w:type="dxa"/>
            <w:vAlign w:val="bottom"/>
          </w:tcPr>
          <w:p>
            <w:pPr>
              <w:jc w:val="center"/>
              <w:spacing w:after="0"/>
              <w:rPr>
                <w:sz w:val="20"/>
                <w:szCs w:val="20"/>
                <w:color w:val="auto"/>
              </w:rPr>
            </w:pPr>
            <w:r>
              <w:rPr>
                <w:rFonts w:ascii="Arial" w:cs="Arial" w:eastAsia="Arial" w:hAnsi="Arial"/>
                <w:sz w:val="13"/>
                <w:szCs w:val="13"/>
                <w:color w:val="auto"/>
              </w:rPr>
              <w:t>–</w:t>
            </w:r>
          </w:p>
        </w:tc>
        <w:tc>
          <w:tcPr>
            <w:tcW w:w="60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7F7F7F"/>
            </w:tcBorders>
          </w:tcPr>
          <w:p>
            <w:pPr>
              <w:jc w:val="center"/>
              <w:ind w:right="17"/>
              <w:spacing w:after="0"/>
              <w:rPr>
                <w:sz w:val="20"/>
                <w:szCs w:val="20"/>
                <w:color w:val="auto"/>
              </w:rPr>
            </w:pPr>
            <w:r>
              <w:rPr>
                <w:rFonts w:ascii="Arial" w:cs="Arial" w:eastAsia="Arial" w:hAnsi="Arial"/>
                <w:sz w:val="13"/>
                <w:szCs w:val="13"/>
                <w:color w:val="auto"/>
                <w:w w:val="96"/>
              </w:rPr>
              <w:t>$ 1,000,188</w:t>
            </w:r>
          </w:p>
        </w:tc>
        <w:tc>
          <w:tcPr>
            <w:tcW w:w="0" w:type="dxa"/>
            <w:vAlign w:val="bottom"/>
          </w:tcPr>
          <w:p>
            <w:pPr>
              <w:spacing w:after="0"/>
              <w:rPr>
                <w:sz w:val="1"/>
                <w:szCs w:val="1"/>
                <w:color w:val="auto"/>
              </w:rPr>
            </w:pPr>
          </w:p>
        </w:tc>
      </w:tr>
      <w:tr>
        <w:trPr>
          <w:trHeight w:val="37"/>
        </w:trPr>
        <w:tc>
          <w:tcPr>
            <w:tcW w:w="2340" w:type="dxa"/>
            <w:vAlign w:val="bottom"/>
            <w:tcBorders>
              <w:left w:val="single" w:sz="8" w:color="7F7F7F"/>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740" w:type="dxa"/>
            <w:vAlign w:val="bottom"/>
            <w:tcBorders>
              <w:bottom w:val="single" w:sz="8" w:color="7F7F7F"/>
            </w:tcBorders>
          </w:tcPr>
          <w:p>
            <w:pPr>
              <w:spacing w:after="0"/>
              <w:rPr>
                <w:sz w:val="3"/>
                <w:szCs w:val="3"/>
                <w:color w:val="auto"/>
              </w:rPr>
            </w:pPr>
          </w:p>
        </w:tc>
        <w:tc>
          <w:tcPr>
            <w:tcW w:w="120" w:type="dxa"/>
            <w:vAlign w:val="bottom"/>
            <w:tcBorders>
              <w:bottom w:val="single" w:sz="8" w:color="7F7F7F"/>
            </w:tcBorders>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c>
          <w:tcPr>
            <w:tcW w:w="800" w:type="dxa"/>
            <w:vAlign w:val="bottom"/>
            <w:tcBorders>
              <w:bottom w:val="single" w:sz="8" w:color="7F7F7F"/>
            </w:tcBorders>
          </w:tcPr>
          <w:p>
            <w:pPr>
              <w:spacing w:after="0"/>
              <w:rPr>
                <w:sz w:val="3"/>
                <w:szCs w:val="3"/>
                <w:color w:val="auto"/>
              </w:rPr>
            </w:pPr>
          </w:p>
        </w:tc>
        <w:tc>
          <w:tcPr>
            <w:tcW w:w="520" w:type="dxa"/>
            <w:vAlign w:val="bottom"/>
            <w:tcBorders>
              <w:bottom w:val="single" w:sz="8" w:color="7F7F7F"/>
            </w:tcBorders>
          </w:tcPr>
          <w:p>
            <w:pPr>
              <w:spacing w:after="0"/>
              <w:rPr>
                <w:sz w:val="3"/>
                <w:szCs w:val="3"/>
                <w:color w:val="auto"/>
              </w:rPr>
            </w:pPr>
          </w:p>
        </w:tc>
        <w:tc>
          <w:tcPr>
            <w:tcW w:w="500" w:type="dxa"/>
            <w:vAlign w:val="bottom"/>
            <w:tcBorders>
              <w:bottom w:val="single" w:sz="8" w:color="7F7F7F"/>
            </w:tcBorders>
          </w:tcPr>
          <w:p>
            <w:pPr>
              <w:spacing w:after="0"/>
              <w:rPr>
                <w:sz w:val="3"/>
                <w:szCs w:val="3"/>
                <w:color w:val="auto"/>
              </w:rPr>
            </w:pPr>
          </w:p>
        </w:tc>
        <w:tc>
          <w:tcPr>
            <w:tcW w:w="680" w:type="dxa"/>
            <w:vAlign w:val="bottom"/>
            <w:tcBorders>
              <w:bottom w:val="single" w:sz="8" w:color="7F7F7F"/>
            </w:tcBorders>
          </w:tcPr>
          <w:p>
            <w:pPr>
              <w:spacing w:after="0"/>
              <w:rPr>
                <w:sz w:val="3"/>
                <w:szCs w:val="3"/>
                <w:color w:val="auto"/>
              </w:rPr>
            </w:pPr>
          </w:p>
        </w:tc>
        <w:tc>
          <w:tcPr>
            <w:tcW w:w="760" w:type="dxa"/>
            <w:vAlign w:val="bottom"/>
            <w:tcBorders>
              <w:bottom w:val="single" w:sz="8" w:color="7F7F7F"/>
            </w:tcBorders>
          </w:tcPr>
          <w:p>
            <w:pPr>
              <w:spacing w:after="0"/>
              <w:rPr>
                <w:sz w:val="3"/>
                <w:szCs w:val="3"/>
                <w:color w:val="auto"/>
              </w:rPr>
            </w:pPr>
          </w:p>
        </w:tc>
        <w:tc>
          <w:tcPr>
            <w:tcW w:w="600" w:type="dxa"/>
            <w:vAlign w:val="bottom"/>
            <w:tcBorders>
              <w:bottom w:val="single" w:sz="8" w:color="7F7F7F"/>
            </w:tcBorders>
          </w:tcPr>
          <w:p>
            <w:pPr>
              <w:spacing w:after="0"/>
              <w:rPr>
                <w:sz w:val="3"/>
                <w:szCs w:val="3"/>
                <w:color w:val="auto"/>
              </w:rPr>
            </w:pPr>
          </w:p>
        </w:tc>
        <w:tc>
          <w:tcPr>
            <w:tcW w:w="860" w:type="dxa"/>
            <w:vAlign w:val="bottom"/>
            <w:tcBorders>
              <w:bottom w:val="single" w:sz="8" w:color="7F7F7F"/>
              <w:right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340" w:type="dxa"/>
            <w:vAlign w:val="bottom"/>
            <w:tcBorders>
              <w:left w:val="single" w:sz="8" w:color="7F7F7F"/>
              <w:bottom w:val="single" w:sz="8" w:color="D8D8D8"/>
            </w:tcBorders>
            <w:shd w:val="clear" w:color="auto" w:fill="D8D8D8"/>
          </w:tcPr>
          <w:p>
            <w:pPr>
              <w:ind w:left="160"/>
              <w:spacing w:after="0"/>
              <w:rPr>
                <w:sz w:val="20"/>
                <w:szCs w:val="20"/>
                <w:color w:val="auto"/>
              </w:rPr>
            </w:pPr>
            <w:r>
              <w:rPr>
                <w:rFonts w:ascii="Arial" w:cs="Arial" w:eastAsia="Arial" w:hAnsi="Arial"/>
                <w:sz w:val="13"/>
                <w:szCs w:val="13"/>
                <w:color w:val="auto"/>
              </w:rPr>
              <w:t>J.W. Johnson</w:t>
            </w:r>
          </w:p>
        </w:tc>
        <w:tc>
          <w:tcPr>
            <w:tcW w:w="7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3"/>
                <w:szCs w:val="13"/>
                <w:color w:val="auto"/>
              </w:rPr>
              <w:t>CIP</w:t>
            </w:r>
          </w:p>
        </w:tc>
        <w:tc>
          <w:tcPr>
            <w:tcW w:w="840" w:type="dxa"/>
            <w:vAlign w:val="bottom"/>
            <w:tcBorders>
              <w:bottom w:val="single" w:sz="8" w:color="D8D8D8"/>
            </w:tcBorders>
            <w:shd w:val="clear" w:color="auto" w:fill="D8D8D8"/>
          </w:tcPr>
          <w:p>
            <w:pPr>
              <w:spacing w:after="0"/>
              <w:rPr>
                <w:sz w:val="15"/>
                <w:szCs w:val="15"/>
                <w:color w:val="auto"/>
              </w:rPr>
            </w:pPr>
          </w:p>
        </w:tc>
        <w:tc>
          <w:tcPr>
            <w:tcW w:w="7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82"/>
              </w:rPr>
              <w:t>–</w:t>
            </w:r>
          </w:p>
        </w:tc>
        <w:tc>
          <w:tcPr>
            <w:tcW w:w="16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8D8D8"/>
            </w:tcBorders>
            <w:shd w:val="clear" w:color="auto" w:fill="D8D8D8"/>
          </w:tcPr>
          <w:p>
            <w:pPr>
              <w:ind w:left="60"/>
              <w:spacing w:after="0"/>
              <w:rPr>
                <w:sz w:val="20"/>
                <w:szCs w:val="20"/>
                <w:color w:val="auto"/>
              </w:rPr>
            </w:pPr>
            <w:r>
              <w:rPr>
                <w:rFonts w:ascii="Arial" w:cs="Arial" w:eastAsia="Arial" w:hAnsi="Arial"/>
                <w:sz w:val="13"/>
                <w:szCs w:val="13"/>
                <w:color w:val="auto"/>
              </w:rPr>
              <w:t>1,452,000</w:t>
            </w:r>
          </w:p>
        </w:tc>
        <w:tc>
          <w:tcPr>
            <w:tcW w:w="12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8D8D8"/>
            </w:tcBorders>
            <w:shd w:val="clear" w:color="auto" w:fill="D8D8D8"/>
          </w:tcPr>
          <w:p>
            <w:pPr>
              <w:jc w:val="right"/>
              <w:ind w:right="57"/>
              <w:spacing w:after="0"/>
              <w:rPr>
                <w:sz w:val="20"/>
                <w:szCs w:val="20"/>
                <w:color w:val="auto"/>
              </w:rPr>
            </w:pPr>
            <w:r>
              <w:rPr>
                <w:rFonts w:ascii="Arial" w:cs="Arial" w:eastAsia="Arial" w:hAnsi="Arial"/>
                <w:sz w:val="13"/>
                <w:szCs w:val="13"/>
                <w:color w:val="auto"/>
              </w:rPr>
              <w:t>2,904,000</w:t>
            </w:r>
          </w:p>
        </w:tc>
        <w:tc>
          <w:tcPr>
            <w:tcW w:w="8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D8D8D8"/>
            </w:tcBorders>
            <w:shd w:val="clear" w:color="auto" w:fill="D8D8D8"/>
          </w:tcPr>
          <w:p>
            <w:pPr>
              <w:jc w:val="right"/>
              <w:ind w:right="21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8D8D8"/>
              <w:right w:val="single" w:sz="8" w:color="7F7F7F"/>
            </w:tcBorders>
            <w:shd w:val="clear" w:color="auto" w:fill="D8D8D8"/>
          </w:tcPr>
          <w:p>
            <w:pPr>
              <w:jc w:val="center"/>
              <w:ind w:right="17"/>
              <w:spacing w:after="0"/>
              <w:rPr>
                <w:sz w:val="20"/>
                <w:szCs w:val="20"/>
                <w:color w:val="auto"/>
              </w:rPr>
            </w:pPr>
            <w:r>
              <w:rPr>
                <w:rFonts w:ascii="Arial" w:cs="Arial" w:eastAsia="Arial" w:hAnsi="Arial"/>
                <w:sz w:val="13"/>
                <w:szCs w:val="13"/>
                <w:color w:val="auto"/>
                <w:w w:val="82"/>
              </w:rPr>
              <w:t>–</w:t>
            </w:r>
          </w:p>
        </w:tc>
        <w:tc>
          <w:tcPr>
            <w:tcW w:w="0" w:type="dxa"/>
            <w:vAlign w:val="bottom"/>
          </w:tcPr>
          <w:p>
            <w:pPr>
              <w:spacing w:after="0"/>
              <w:rPr>
                <w:sz w:val="1"/>
                <w:szCs w:val="1"/>
                <w:color w:val="auto"/>
              </w:rPr>
            </w:pPr>
          </w:p>
        </w:tc>
      </w:tr>
      <w:tr>
        <w:trPr>
          <w:trHeight w:val="166"/>
        </w:trPr>
        <w:tc>
          <w:tcPr>
            <w:tcW w:w="2340" w:type="dxa"/>
            <w:vAlign w:val="bottom"/>
            <w:tcBorders>
              <w:left w:val="single" w:sz="8" w:color="7F7F7F"/>
            </w:tcBorders>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3"/>
                <w:szCs w:val="13"/>
                <w:color w:val="auto"/>
                <w:w w:val="93"/>
              </w:rPr>
              <w:t>Perf Shares</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1/27/2021</w:t>
            </w:r>
          </w:p>
        </w:tc>
        <w:tc>
          <w:tcPr>
            <w:tcW w:w="7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14"/>
                <w:szCs w:val="14"/>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800" w:type="dxa"/>
            <w:vAlign w:val="bottom"/>
          </w:tcPr>
          <w:p>
            <w:pPr>
              <w:jc w:val="center"/>
              <w:ind w:left="17"/>
              <w:spacing w:after="0"/>
              <w:rPr>
                <w:sz w:val="20"/>
                <w:szCs w:val="20"/>
                <w:color w:val="auto"/>
              </w:rPr>
            </w:pPr>
            <w:r>
              <w:rPr>
                <w:rFonts w:ascii="Arial" w:cs="Arial" w:eastAsia="Arial" w:hAnsi="Arial"/>
                <w:sz w:val="13"/>
                <w:szCs w:val="13"/>
                <w:color w:val="auto"/>
                <w:w w:val="98"/>
              </w:rPr>
              <w:t>6,334</w:t>
            </w:r>
          </w:p>
        </w:tc>
        <w:tc>
          <w:tcPr>
            <w:tcW w:w="520" w:type="dxa"/>
            <w:vAlign w:val="bottom"/>
          </w:tcPr>
          <w:p>
            <w:pPr>
              <w:jc w:val="center"/>
              <w:spacing w:after="0"/>
              <w:rPr>
                <w:sz w:val="20"/>
                <w:szCs w:val="20"/>
                <w:color w:val="auto"/>
              </w:rPr>
            </w:pPr>
            <w:r>
              <w:rPr>
                <w:rFonts w:ascii="Arial" w:cs="Arial" w:eastAsia="Arial" w:hAnsi="Arial"/>
                <w:sz w:val="13"/>
                <w:szCs w:val="13"/>
                <w:color w:val="auto"/>
              </w:rPr>
              <w:t>29,460</w:t>
            </w:r>
          </w:p>
        </w:tc>
        <w:tc>
          <w:tcPr>
            <w:tcW w:w="500" w:type="dxa"/>
            <w:vAlign w:val="bottom"/>
          </w:tcPr>
          <w:p>
            <w:pPr>
              <w:jc w:val="center"/>
              <w:spacing w:after="0"/>
              <w:rPr>
                <w:sz w:val="20"/>
                <w:szCs w:val="20"/>
                <w:color w:val="auto"/>
              </w:rPr>
            </w:pPr>
            <w:r>
              <w:rPr>
                <w:rFonts w:ascii="Arial" w:cs="Arial" w:eastAsia="Arial" w:hAnsi="Arial"/>
                <w:sz w:val="13"/>
                <w:szCs w:val="13"/>
                <w:color w:val="auto"/>
                <w:w w:val="95"/>
              </w:rPr>
              <w:t>58,920</w:t>
            </w:r>
          </w:p>
        </w:tc>
        <w:tc>
          <w:tcPr>
            <w:tcW w:w="6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60" w:type="dxa"/>
            <w:vAlign w:val="bottom"/>
          </w:tcPr>
          <w:p>
            <w:pPr>
              <w:jc w:val="center"/>
              <w:spacing w:after="0"/>
              <w:rPr>
                <w:sz w:val="20"/>
                <w:szCs w:val="20"/>
                <w:color w:val="auto"/>
              </w:rPr>
            </w:pPr>
            <w:r>
              <w:rPr>
                <w:rFonts w:ascii="Arial" w:cs="Arial" w:eastAsia="Arial" w:hAnsi="Arial"/>
                <w:sz w:val="13"/>
                <w:szCs w:val="13"/>
                <w:color w:val="auto"/>
              </w:rPr>
              <w:t>–</w:t>
            </w:r>
          </w:p>
        </w:tc>
        <w:tc>
          <w:tcPr>
            <w:tcW w:w="60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7F7F7F"/>
            </w:tcBorders>
          </w:tcPr>
          <w:p>
            <w:pPr>
              <w:jc w:val="center"/>
              <w:ind w:right="17"/>
              <w:spacing w:after="0"/>
              <w:rPr>
                <w:sz w:val="20"/>
                <w:szCs w:val="20"/>
                <w:color w:val="auto"/>
              </w:rPr>
            </w:pPr>
            <w:r>
              <w:rPr>
                <w:rFonts w:ascii="Arial" w:cs="Arial" w:eastAsia="Arial" w:hAnsi="Arial"/>
                <w:sz w:val="13"/>
                <w:szCs w:val="13"/>
                <w:color w:val="auto"/>
                <w:w w:val="96"/>
              </w:rPr>
              <w:t>$ 2,802,530</w:t>
            </w:r>
          </w:p>
        </w:tc>
        <w:tc>
          <w:tcPr>
            <w:tcW w:w="0" w:type="dxa"/>
            <w:vAlign w:val="bottom"/>
          </w:tcPr>
          <w:p>
            <w:pPr>
              <w:spacing w:after="0"/>
              <w:rPr>
                <w:sz w:val="1"/>
                <w:szCs w:val="1"/>
                <w:color w:val="auto"/>
              </w:rPr>
            </w:pPr>
          </w:p>
        </w:tc>
      </w:tr>
      <w:tr>
        <w:trPr>
          <w:trHeight w:val="37"/>
        </w:trPr>
        <w:tc>
          <w:tcPr>
            <w:tcW w:w="2340" w:type="dxa"/>
            <w:vAlign w:val="bottom"/>
            <w:tcBorders>
              <w:left w:val="single" w:sz="8" w:color="7F7F7F"/>
            </w:tcBorders>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Borders>
              <w:right w:val="single" w:sz="8" w:color="7F7F7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2340" w:type="dxa"/>
            <w:vAlign w:val="bottom"/>
            <w:tcBorders>
              <w:left w:val="single" w:sz="8" w:color="7F7F7F"/>
              <w:bottom w:val="single" w:sz="8" w:color="D8D8D8"/>
            </w:tcBorders>
            <w:shd w:val="clear" w:color="auto" w:fill="D8D8D8"/>
          </w:tcPr>
          <w:p>
            <w:pPr>
              <w:spacing w:after="0"/>
              <w:rPr>
                <w:sz w:val="15"/>
                <w:szCs w:val="15"/>
                <w:color w:val="auto"/>
              </w:rPr>
            </w:pPr>
          </w:p>
        </w:tc>
        <w:tc>
          <w:tcPr>
            <w:tcW w:w="7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3"/>
                <w:szCs w:val="13"/>
                <w:color w:val="auto"/>
              </w:rPr>
              <w:t>Options</w:t>
            </w:r>
          </w:p>
        </w:tc>
        <w:tc>
          <w:tcPr>
            <w:tcW w:w="840" w:type="dxa"/>
            <w:vAlign w:val="bottom"/>
            <w:tcBorders>
              <w:bottom w:val="single" w:sz="8" w:color="D8D8D8"/>
            </w:tcBorders>
            <w:shd w:val="clear" w:color="auto" w:fill="D8D8D8"/>
          </w:tcPr>
          <w:p>
            <w:pPr>
              <w:jc w:val="right"/>
              <w:ind w:right="117"/>
              <w:spacing w:after="0"/>
              <w:rPr>
                <w:sz w:val="20"/>
                <w:szCs w:val="20"/>
                <w:color w:val="auto"/>
              </w:rPr>
            </w:pPr>
            <w:r>
              <w:rPr>
                <w:rFonts w:ascii="Arial" w:cs="Arial" w:eastAsia="Arial" w:hAnsi="Arial"/>
                <w:sz w:val="13"/>
                <w:szCs w:val="13"/>
                <w:color w:val="auto"/>
              </w:rPr>
              <w:t>1/27/2021</w:t>
            </w:r>
          </w:p>
        </w:tc>
        <w:tc>
          <w:tcPr>
            <w:tcW w:w="7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82"/>
              </w:rPr>
              <w:t>–</w:t>
            </w:r>
          </w:p>
        </w:tc>
        <w:tc>
          <w:tcPr>
            <w:tcW w:w="160" w:type="dxa"/>
            <w:vAlign w:val="bottom"/>
            <w:tcBorders>
              <w:bottom w:val="single" w:sz="8" w:color="D8D8D8"/>
            </w:tcBorders>
            <w:shd w:val="clear" w:color="auto" w:fill="D8D8D8"/>
          </w:tcPr>
          <w:p>
            <w:pPr>
              <w:spacing w:after="0"/>
              <w:rPr>
                <w:sz w:val="15"/>
                <w:szCs w:val="15"/>
                <w:color w:val="auto"/>
              </w:rPr>
            </w:pPr>
          </w:p>
        </w:tc>
        <w:tc>
          <w:tcPr>
            <w:tcW w:w="740" w:type="dxa"/>
            <w:vAlign w:val="bottom"/>
            <w:tcBorders>
              <w:bottom w:val="single" w:sz="8" w:color="D8D8D8"/>
            </w:tcBorders>
            <w:shd w:val="clear" w:color="auto" w:fill="D8D8D8"/>
          </w:tcPr>
          <w:p>
            <w:pPr>
              <w:jc w:val="center"/>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8D8D8"/>
            </w:tcBorders>
            <w:shd w:val="clear" w:color="auto" w:fill="D8D8D8"/>
          </w:tcPr>
          <w:p>
            <w:pPr>
              <w:spacing w:after="0"/>
              <w:rPr>
                <w:sz w:val="15"/>
                <w:szCs w:val="15"/>
                <w:color w:val="auto"/>
              </w:rPr>
            </w:pPr>
          </w:p>
        </w:tc>
        <w:tc>
          <w:tcPr>
            <w:tcW w:w="720" w:type="dxa"/>
            <w:vAlign w:val="bottom"/>
            <w:tcBorders>
              <w:bottom w:val="single" w:sz="8" w:color="D8D8D8"/>
            </w:tcBorders>
            <w:shd w:val="clear" w:color="auto" w:fill="D8D8D8"/>
          </w:tcPr>
          <w:p>
            <w:pPr>
              <w:jc w:val="right"/>
              <w:ind w:right="3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D8D8D8"/>
            </w:tcBorders>
            <w:shd w:val="clear" w:color="auto" w:fill="D8D8D8"/>
          </w:tcPr>
          <w:p>
            <w:pPr>
              <w:jc w:val="right"/>
              <w:ind w:right="21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97"/>
              </w:rPr>
              <w:t>106,300</w:t>
            </w:r>
          </w:p>
        </w:tc>
        <w:tc>
          <w:tcPr>
            <w:tcW w:w="6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95"/>
              </w:rPr>
              <w:t>$88.20</w:t>
            </w:r>
          </w:p>
        </w:tc>
        <w:tc>
          <w:tcPr>
            <w:tcW w:w="860" w:type="dxa"/>
            <w:vAlign w:val="bottom"/>
            <w:tcBorders>
              <w:bottom w:val="single" w:sz="8" w:color="D8D8D8"/>
              <w:right w:val="single" w:sz="8" w:color="7F7F7F"/>
            </w:tcBorders>
            <w:shd w:val="clear" w:color="auto" w:fill="D8D8D8"/>
          </w:tcPr>
          <w:p>
            <w:pPr>
              <w:jc w:val="center"/>
              <w:ind w:right="17"/>
              <w:spacing w:after="0"/>
              <w:rPr>
                <w:sz w:val="20"/>
                <w:szCs w:val="20"/>
                <w:color w:val="auto"/>
              </w:rPr>
            </w:pPr>
            <w:r>
              <w:rPr>
                <w:rFonts w:ascii="Arial" w:cs="Arial" w:eastAsia="Arial" w:hAnsi="Arial"/>
                <w:sz w:val="13"/>
                <w:szCs w:val="13"/>
                <w:color w:val="auto"/>
                <w:w w:val="96"/>
              </w:rPr>
              <w:t>$ 1,298,986</w:t>
            </w:r>
          </w:p>
        </w:tc>
        <w:tc>
          <w:tcPr>
            <w:tcW w:w="0" w:type="dxa"/>
            <w:vAlign w:val="bottom"/>
          </w:tcPr>
          <w:p>
            <w:pPr>
              <w:spacing w:after="0"/>
              <w:rPr>
                <w:sz w:val="1"/>
                <w:szCs w:val="1"/>
                <w:color w:val="auto"/>
              </w:rPr>
            </w:pPr>
          </w:p>
        </w:tc>
      </w:tr>
      <w:tr>
        <w:trPr>
          <w:trHeight w:val="166"/>
        </w:trPr>
        <w:tc>
          <w:tcPr>
            <w:tcW w:w="2340" w:type="dxa"/>
            <w:vAlign w:val="bottom"/>
            <w:tcBorders>
              <w:left w:val="single" w:sz="8" w:color="7F7F7F"/>
            </w:tcBorders>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3"/>
                <w:szCs w:val="13"/>
                <w:color w:val="auto"/>
              </w:rPr>
              <w:t>RSUs</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1/27/2021</w:t>
            </w:r>
          </w:p>
        </w:tc>
        <w:tc>
          <w:tcPr>
            <w:tcW w:w="7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14"/>
                <w:szCs w:val="14"/>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520" w:type="dxa"/>
            <w:vAlign w:val="bottom"/>
          </w:tcPr>
          <w:p>
            <w:pPr>
              <w:jc w:val="center"/>
              <w:spacing w:after="0"/>
              <w:rPr>
                <w:sz w:val="20"/>
                <w:szCs w:val="20"/>
                <w:color w:val="auto"/>
              </w:rPr>
            </w:pPr>
            <w:r>
              <w:rPr>
                <w:rFonts w:ascii="Arial" w:cs="Arial" w:eastAsia="Arial" w:hAnsi="Arial"/>
                <w:sz w:val="13"/>
                <w:szCs w:val="13"/>
                <w:color w:val="auto"/>
              </w:rPr>
              <w:t>–</w:t>
            </w:r>
          </w:p>
        </w:tc>
        <w:tc>
          <w:tcPr>
            <w:tcW w:w="5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14,730</w:t>
            </w:r>
          </w:p>
        </w:tc>
        <w:tc>
          <w:tcPr>
            <w:tcW w:w="760" w:type="dxa"/>
            <w:vAlign w:val="bottom"/>
          </w:tcPr>
          <w:p>
            <w:pPr>
              <w:jc w:val="center"/>
              <w:spacing w:after="0"/>
              <w:rPr>
                <w:sz w:val="20"/>
                <w:szCs w:val="20"/>
                <w:color w:val="auto"/>
              </w:rPr>
            </w:pPr>
            <w:r>
              <w:rPr>
                <w:rFonts w:ascii="Arial" w:cs="Arial" w:eastAsia="Arial" w:hAnsi="Arial"/>
                <w:sz w:val="13"/>
                <w:szCs w:val="13"/>
                <w:color w:val="auto"/>
              </w:rPr>
              <w:t>–</w:t>
            </w:r>
          </w:p>
        </w:tc>
        <w:tc>
          <w:tcPr>
            <w:tcW w:w="60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7F7F7F"/>
            </w:tcBorders>
          </w:tcPr>
          <w:p>
            <w:pPr>
              <w:jc w:val="center"/>
              <w:ind w:right="17"/>
              <w:spacing w:after="0"/>
              <w:rPr>
                <w:sz w:val="20"/>
                <w:szCs w:val="20"/>
                <w:color w:val="auto"/>
              </w:rPr>
            </w:pPr>
            <w:r>
              <w:rPr>
                <w:rFonts w:ascii="Arial" w:cs="Arial" w:eastAsia="Arial" w:hAnsi="Arial"/>
                <w:sz w:val="13"/>
                <w:szCs w:val="13"/>
                <w:color w:val="auto"/>
                <w:w w:val="96"/>
              </w:rPr>
              <w:t>$ 1,299,186</w:t>
            </w:r>
          </w:p>
        </w:tc>
        <w:tc>
          <w:tcPr>
            <w:tcW w:w="0" w:type="dxa"/>
            <w:vAlign w:val="bottom"/>
          </w:tcPr>
          <w:p>
            <w:pPr>
              <w:spacing w:after="0"/>
              <w:rPr>
                <w:sz w:val="1"/>
                <w:szCs w:val="1"/>
                <w:color w:val="auto"/>
              </w:rPr>
            </w:pPr>
          </w:p>
        </w:tc>
      </w:tr>
      <w:tr>
        <w:trPr>
          <w:trHeight w:val="37"/>
        </w:trPr>
        <w:tc>
          <w:tcPr>
            <w:tcW w:w="2340" w:type="dxa"/>
            <w:vAlign w:val="bottom"/>
            <w:tcBorders>
              <w:left w:val="single" w:sz="8" w:color="7F7F7F"/>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740" w:type="dxa"/>
            <w:vAlign w:val="bottom"/>
            <w:tcBorders>
              <w:bottom w:val="single" w:sz="8" w:color="7F7F7F"/>
            </w:tcBorders>
          </w:tcPr>
          <w:p>
            <w:pPr>
              <w:spacing w:after="0"/>
              <w:rPr>
                <w:sz w:val="3"/>
                <w:szCs w:val="3"/>
                <w:color w:val="auto"/>
              </w:rPr>
            </w:pPr>
          </w:p>
        </w:tc>
        <w:tc>
          <w:tcPr>
            <w:tcW w:w="120" w:type="dxa"/>
            <w:vAlign w:val="bottom"/>
            <w:tcBorders>
              <w:bottom w:val="single" w:sz="8" w:color="7F7F7F"/>
            </w:tcBorders>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c>
          <w:tcPr>
            <w:tcW w:w="800" w:type="dxa"/>
            <w:vAlign w:val="bottom"/>
            <w:tcBorders>
              <w:bottom w:val="single" w:sz="8" w:color="7F7F7F"/>
            </w:tcBorders>
          </w:tcPr>
          <w:p>
            <w:pPr>
              <w:spacing w:after="0"/>
              <w:rPr>
                <w:sz w:val="3"/>
                <w:szCs w:val="3"/>
                <w:color w:val="auto"/>
              </w:rPr>
            </w:pPr>
          </w:p>
        </w:tc>
        <w:tc>
          <w:tcPr>
            <w:tcW w:w="520" w:type="dxa"/>
            <w:vAlign w:val="bottom"/>
            <w:tcBorders>
              <w:bottom w:val="single" w:sz="8" w:color="7F7F7F"/>
            </w:tcBorders>
          </w:tcPr>
          <w:p>
            <w:pPr>
              <w:spacing w:after="0"/>
              <w:rPr>
                <w:sz w:val="3"/>
                <w:szCs w:val="3"/>
                <w:color w:val="auto"/>
              </w:rPr>
            </w:pPr>
          </w:p>
        </w:tc>
        <w:tc>
          <w:tcPr>
            <w:tcW w:w="500" w:type="dxa"/>
            <w:vAlign w:val="bottom"/>
            <w:tcBorders>
              <w:bottom w:val="single" w:sz="8" w:color="7F7F7F"/>
            </w:tcBorders>
          </w:tcPr>
          <w:p>
            <w:pPr>
              <w:spacing w:after="0"/>
              <w:rPr>
                <w:sz w:val="3"/>
                <w:szCs w:val="3"/>
                <w:color w:val="auto"/>
              </w:rPr>
            </w:pPr>
          </w:p>
        </w:tc>
        <w:tc>
          <w:tcPr>
            <w:tcW w:w="680" w:type="dxa"/>
            <w:vAlign w:val="bottom"/>
            <w:tcBorders>
              <w:bottom w:val="single" w:sz="8" w:color="7F7F7F"/>
            </w:tcBorders>
          </w:tcPr>
          <w:p>
            <w:pPr>
              <w:spacing w:after="0"/>
              <w:rPr>
                <w:sz w:val="3"/>
                <w:szCs w:val="3"/>
                <w:color w:val="auto"/>
              </w:rPr>
            </w:pPr>
          </w:p>
        </w:tc>
        <w:tc>
          <w:tcPr>
            <w:tcW w:w="760" w:type="dxa"/>
            <w:vAlign w:val="bottom"/>
            <w:tcBorders>
              <w:bottom w:val="single" w:sz="8" w:color="7F7F7F"/>
            </w:tcBorders>
          </w:tcPr>
          <w:p>
            <w:pPr>
              <w:spacing w:after="0"/>
              <w:rPr>
                <w:sz w:val="3"/>
                <w:szCs w:val="3"/>
                <w:color w:val="auto"/>
              </w:rPr>
            </w:pPr>
          </w:p>
        </w:tc>
        <w:tc>
          <w:tcPr>
            <w:tcW w:w="600" w:type="dxa"/>
            <w:vAlign w:val="bottom"/>
            <w:tcBorders>
              <w:bottom w:val="single" w:sz="8" w:color="7F7F7F"/>
            </w:tcBorders>
          </w:tcPr>
          <w:p>
            <w:pPr>
              <w:spacing w:after="0"/>
              <w:rPr>
                <w:sz w:val="3"/>
                <w:szCs w:val="3"/>
                <w:color w:val="auto"/>
              </w:rPr>
            </w:pPr>
          </w:p>
        </w:tc>
        <w:tc>
          <w:tcPr>
            <w:tcW w:w="860" w:type="dxa"/>
            <w:vAlign w:val="bottom"/>
            <w:tcBorders>
              <w:bottom w:val="single" w:sz="8" w:color="7F7F7F"/>
              <w:right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340" w:type="dxa"/>
            <w:vAlign w:val="bottom"/>
            <w:tcBorders>
              <w:left w:val="single" w:sz="8" w:color="7F7F7F"/>
              <w:bottom w:val="single" w:sz="8" w:color="D8D8D8"/>
            </w:tcBorders>
            <w:shd w:val="clear" w:color="auto" w:fill="D8D8D8"/>
          </w:tcPr>
          <w:p>
            <w:pPr>
              <w:ind w:left="160"/>
              <w:spacing w:after="0"/>
              <w:rPr>
                <w:sz w:val="20"/>
                <w:szCs w:val="20"/>
                <w:color w:val="auto"/>
              </w:rPr>
            </w:pPr>
            <w:r>
              <w:rPr>
                <w:rFonts w:ascii="Arial" w:cs="Arial" w:eastAsia="Arial" w:hAnsi="Arial"/>
                <w:sz w:val="13"/>
                <w:szCs w:val="13"/>
                <w:color w:val="auto"/>
              </w:rPr>
              <w:t>J.C. Geagea</w:t>
            </w:r>
          </w:p>
        </w:tc>
        <w:tc>
          <w:tcPr>
            <w:tcW w:w="7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3"/>
                <w:szCs w:val="13"/>
                <w:color w:val="auto"/>
              </w:rPr>
              <w:t>CIP</w:t>
            </w:r>
          </w:p>
        </w:tc>
        <w:tc>
          <w:tcPr>
            <w:tcW w:w="840" w:type="dxa"/>
            <w:vAlign w:val="bottom"/>
            <w:tcBorders>
              <w:bottom w:val="single" w:sz="8" w:color="D8D8D8"/>
            </w:tcBorders>
            <w:shd w:val="clear" w:color="auto" w:fill="D8D8D8"/>
          </w:tcPr>
          <w:p>
            <w:pPr>
              <w:spacing w:after="0"/>
              <w:rPr>
                <w:sz w:val="15"/>
                <w:szCs w:val="15"/>
                <w:color w:val="auto"/>
              </w:rPr>
            </w:pPr>
          </w:p>
        </w:tc>
        <w:tc>
          <w:tcPr>
            <w:tcW w:w="7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82"/>
              </w:rPr>
              <w:t>–</w:t>
            </w:r>
          </w:p>
        </w:tc>
        <w:tc>
          <w:tcPr>
            <w:tcW w:w="16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8D8D8"/>
            </w:tcBorders>
            <w:shd w:val="clear" w:color="auto" w:fill="D8D8D8"/>
          </w:tcPr>
          <w:p>
            <w:pPr>
              <w:ind w:left="60"/>
              <w:spacing w:after="0"/>
              <w:rPr>
                <w:sz w:val="20"/>
                <w:szCs w:val="20"/>
                <w:color w:val="auto"/>
              </w:rPr>
            </w:pPr>
            <w:r>
              <w:rPr>
                <w:rFonts w:ascii="Arial" w:cs="Arial" w:eastAsia="Arial" w:hAnsi="Arial"/>
                <w:sz w:val="13"/>
                <w:szCs w:val="13"/>
                <w:color w:val="auto"/>
              </w:rPr>
              <w:t>1,122,000</w:t>
            </w:r>
          </w:p>
        </w:tc>
        <w:tc>
          <w:tcPr>
            <w:tcW w:w="12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8D8D8"/>
            </w:tcBorders>
            <w:shd w:val="clear" w:color="auto" w:fill="D8D8D8"/>
          </w:tcPr>
          <w:p>
            <w:pPr>
              <w:jc w:val="right"/>
              <w:ind w:right="57"/>
              <w:spacing w:after="0"/>
              <w:rPr>
                <w:sz w:val="20"/>
                <w:szCs w:val="20"/>
                <w:color w:val="auto"/>
              </w:rPr>
            </w:pPr>
            <w:r>
              <w:rPr>
                <w:rFonts w:ascii="Arial" w:cs="Arial" w:eastAsia="Arial" w:hAnsi="Arial"/>
                <w:sz w:val="13"/>
                <w:szCs w:val="13"/>
                <w:color w:val="auto"/>
              </w:rPr>
              <w:t>2,244,000</w:t>
            </w:r>
          </w:p>
        </w:tc>
        <w:tc>
          <w:tcPr>
            <w:tcW w:w="8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D8D8D8"/>
            </w:tcBorders>
            <w:shd w:val="clear" w:color="auto" w:fill="D8D8D8"/>
          </w:tcPr>
          <w:p>
            <w:pPr>
              <w:jc w:val="right"/>
              <w:ind w:right="21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8D8D8"/>
              <w:right w:val="single" w:sz="8" w:color="7F7F7F"/>
            </w:tcBorders>
            <w:shd w:val="clear" w:color="auto" w:fill="D8D8D8"/>
          </w:tcPr>
          <w:p>
            <w:pPr>
              <w:jc w:val="center"/>
              <w:ind w:right="17"/>
              <w:spacing w:after="0"/>
              <w:rPr>
                <w:sz w:val="20"/>
                <w:szCs w:val="20"/>
                <w:color w:val="auto"/>
              </w:rPr>
            </w:pPr>
            <w:r>
              <w:rPr>
                <w:rFonts w:ascii="Arial" w:cs="Arial" w:eastAsia="Arial" w:hAnsi="Arial"/>
                <w:sz w:val="13"/>
                <w:szCs w:val="13"/>
                <w:color w:val="auto"/>
                <w:w w:val="82"/>
              </w:rPr>
              <w:t>–</w:t>
            </w:r>
          </w:p>
        </w:tc>
        <w:tc>
          <w:tcPr>
            <w:tcW w:w="0" w:type="dxa"/>
            <w:vAlign w:val="bottom"/>
          </w:tcPr>
          <w:p>
            <w:pPr>
              <w:spacing w:after="0"/>
              <w:rPr>
                <w:sz w:val="1"/>
                <w:szCs w:val="1"/>
                <w:color w:val="auto"/>
              </w:rPr>
            </w:pPr>
          </w:p>
        </w:tc>
      </w:tr>
      <w:tr>
        <w:trPr>
          <w:trHeight w:val="166"/>
        </w:trPr>
        <w:tc>
          <w:tcPr>
            <w:tcW w:w="2340" w:type="dxa"/>
            <w:vAlign w:val="bottom"/>
            <w:tcBorders>
              <w:left w:val="single" w:sz="8" w:color="7F7F7F"/>
            </w:tcBorders>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3"/>
                <w:szCs w:val="13"/>
                <w:color w:val="auto"/>
                <w:w w:val="93"/>
              </w:rPr>
              <w:t>Perf Shares</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1/27/2021</w:t>
            </w:r>
          </w:p>
        </w:tc>
        <w:tc>
          <w:tcPr>
            <w:tcW w:w="7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14"/>
                <w:szCs w:val="14"/>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800" w:type="dxa"/>
            <w:vAlign w:val="bottom"/>
          </w:tcPr>
          <w:p>
            <w:pPr>
              <w:jc w:val="center"/>
              <w:ind w:left="17"/>
              <w:spacing w:after="0"/>
              <w:rPr>
                <w:sz w:val="20"/>
                <w:szCs w:val="20"/>
                <w:color w:val="auto"/>
              </w:rPr>
            </w:pPr>
            <w:r>
              <w:rPr>
                <w:rFonts w:ascii="Arial" w:cs="Arial" w:eastAsia="Arial" w:hAnsi="Arial"/>
                <w:sz w:val="13"/>
                <w:szCs w:val="13"/>
                <w:color w:val="auto"/>
                <w:w w:val="98"/>
              </w:rPr>
              <w:t>4,878</w:t>
            </w:r>
          </w:p>
        </w:tc>
        <w:tc>
          <w:tcPr>
            <w:tcW w:w="520" w:type="dxa"/>
            <w:vAlign w:val="bottom"/>
          </w:tcPr>
          <w:p>
            <w:pPr>
              <w:jc w:val="center"/>
              <w:spacing w:after="0"/>
              <w:rPr>
                <w:sz w:val="20"/>
                <w:szCs w:val="20"/>
                <w:color w:val="auto"/>
              </w:rPr>
            </w:pPr>
            <w:r>
              <w:rPr>
                <w:rFonts w:ascii="Arial" w:cs="Arial" w:eastAsia="Arial" w:hAnsi="Arial"/>
                <w:sz w:val="13"/>
                <w:szCs w:val="13"/>
                <w:color w:val="auto"/>
              </w:rPr>
              <w:t>22,690</w:t>
            </w:r>
          </w:p>
        </w:tc>
        <w:tc>
          <w:tcPr>
            <w:tcW w:w="500" w:type="dxa"/>
            <w:vAlign w:val="bottom"/>
          </w:tcPr>
          <w:p>
            <w:pPr>
              <w:jc w:val="center"/>
              <w:spacing w:after="0"/>
              <w:rPr>
                <w:sz w:val="20"/>
                <w:szCs w:val="20"/>
                <w:color w:val="auto"/>
              </w:rPr>
            </w:pPr>
            <w:r>
              <w:rPr>
                <w:rFonts w:ascii="Arial" w:cs="Arial" w:eastAsia="Arial" w:hAnsi="Arial"/>
                <w:sz w:val="13"/>
                <w:szCs w:val="13"/>
                <w:color w:val="auto"/>
                <w:w w:val="95"/>
              </w:rPr>
              <w:t>45,380</w:t>
            </w:r>
          </w:p>
        </w:tc>
        <w:tc>
          <w:tcPr>
            <w:tcW w:w="6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60" w:type="dxa"/>
            <w:vAlign w:val="bottom"/>
          </w:tcPr>
          <w:p>
            <w:pPr>
              <w:jc w:val="center"/>
              <w:spacing w:after="0"/>
              <w:rPr>
                <w:sz w:val="20"/>
                <w:szCs w:val="20"/>
                <w:color w:val="auto"/>
              </w:rPr>
            </w:pPr>
            <w:r>
              <w:rPr>
                <w:rFonts w:ascii="Arial" w:cs="Arial" w:eastAsia="Arial" w:hAnsi="Arial"/>
                <w:sz w:val="13"/>
                <w:szCs w:val="13"/>
                <w:color w:val="auto"/>
              </w:rPr>
              <w:t>–</w:t>
            </w:r>
          </w:p>
        </w:tc>
        <w:tc>
          <w:tcPr>
            <w:tcW w:w="60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7F7F7F"/>
            </w:tcBorders>
          </w:tcPr>
          <w:p>
            <w:pPr>
              <w:jc w:val="center"/>
              <w:ind w:right="17"/>
              <w:spacing w:after="0"/>
              <w:rPr>
                <w:sz w:val="20"/>
                <w:szCs w:val="20"/>
                <w:color w:val="auto"/>
              </w:rPr>
            </w:pPr>
            <w:r>
              <w:rPr>
                <w:rFonts w:ascii="Arial" w:cs="Arial" w:eastAsia="Arial" w:hAnsi="Arial"/>
                <w:sz w:val="13"/>
                <w:szCs w:val="13"/>
                <w:color w:val="auto"/>
                <w:w w:val="96"/>
              </w:rPr>
              <w:t>$ 2,158,500</w:t>
            </w:r>
          </w:p>
        </w:tc>
        <w:tc>
          <w:tcPr>
            <w:tcW w:w="0" w:type="dxa"/>
            <w:vAlign w:val="bottom"/>
          </w:tcPr>
          <w:p>
            <w:pPr>
              <w:spacing w:after="0"/>
              <w:rPr>
                <w:sz w:val="1"/>
                <w:szCs w:val="1"/>
                <w:color w:val="auto"/>
              </w:rPr>
            </w:pPr>
          </w:p>
        </w:tc>
      </w:tr>
      <w:tr>
        <w:trPr>
          <w:trHeight w:val="37"/>
        </w:trPr>
        <w:tc>
          <w:tcPr>
            <w:tcW w:w="2340" w:type="dxa"/>
            <w:vAlign w:val="bottom"/>
            <w:tcBorders>
              <w:left w:val="single" w:sz="8" w:color="7F7F7F"/>
            </w:tcBorders>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Borders>
              <w:right w:val="single" w:sz="8" w:color="7F7F7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2340" w:type="dxa"/>
            <w:vAlign w:val="bottom"/>
            <w:tcBorders>
              <w:left w:val="single" w:sz="8" w:color="7F7F7F"/>
              <w:bottom w:val="single" w:sz="8" w:color="D8D8D8"/>
            </w:tcBorders>
            <w:shd w:val="clear" w:color="auto" w:fill="D8D8D8"/>
          </w:tcPr>
          <w:p>
            <w:pPr>
              <w:spacing w:after="0"/>
              <w:rPr>
                <w:sz w:val="15"/>
                <w:szCs w:val="15"/>
                <w:color w:val="auto"/>
              </w:rPr>
            </w:pPr>
          </w:p>
        </w:tc>
        <w:tc>
          <w:tcPr>
            <w:tcW w:w="7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3"/>
                <w:szCs w:val="13"/>
                <w:color w:val="auto"/>
              </w:rPr>
              <w:t>Options</w:t>
            </w:r>
          </w:p>
        </w:tc>
        <w:tc>
          <w:tcPr>
            <w:tcW w:w="840" w:type="dxa"/>
            <w:vAlign w:val="bottom"/>
            <w:tcBorders>
              <w:bottom w:val="single" w:sz="8" w:color="D8D8D8"/>
            </w:tcBorders>
            <w:shd w:val="clear" w:color="auto" w:fill="D8D8D8"/>
          </w:tcPr>
          <w:p>
            <w:pPr>
              <w:jc w:val="right"/>
              <w:ind w:right="117"/>
              <w:spacing w:after="0"/>
              <w:rPr>
                <w:sz w:val="20"/>
                <w:szCs w:val="20"/>
                <w:color w:val="auto"/>
              </w:rPr>
            </w:pPr>
            <w:r>
              <w:rPr>
                <w:rFonts w:ascii="Arial" w:cs="Arial" w:eastAsia="Arial" w:hAnsi="Arial"/>
                <w:sz w:val="13"/>
                <w:szCs w:val="13"/>
                <w:color w:val="auto"/>
              </w:rPr>
              <w:t>1/27/2021</w:t>
            </w:r>
          </w:p>
        </w:tc>
        <w:tc>
          <w:tcPr>
            <w:tcW w:w="7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82"/>
              </w:rPr>
              <w:t>–</w:t>
            </w:r>
          </w:p>
        </w:tc>
        <w:tc>
          <w:tcPr>
            <w:tcW w:w="160" w:type="dxa"/>
            <w:vAlign w:val="bottom"/>
            <w:tcBorders>
              <w:bottom w:val="single" w:sz="8" w:color="D8D8D8"/>
            </w:tcBorders>
            <w:shd w:val="clear" w:color="auto" w:fill="D8D8D8"/>
          </w:tcPr>
          <w:p>
            <w:pPr>
              <w:spacing w:after="0"/>
              <w:rPr>
                <w:sz w:val="15"/>
                <w:szCs w:val="15"/>
                <w:color w:val="auto"/>
              </w:rPr>
            </w:pPr>
          </w:p>
        </w:tc>
        <w:tc>
          <w:tcPr>
            <w:tcW w:w="740" w:type="dxa"/>
            <w:vAlign w:val="bottom"/>
            <w:tcBorders>
              <w:bottom w:val="single" w:sz="8" w:color="D8D8D8"/>
            </w:tcBorders>
            <w:shd w:val="clear" w:color="auto" w:fill="D8D8D8"/>
          </w:tcPr>
          <w:p>
            <w:pPr>
              <w:jc w:val="center"/>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8D8D8"/>
            </w:tcBorders>
            <w:shd w:val="clear" w:color="auto" w:fill="D8D8D8"/>
          </w:tcPr>
          <w:p>
            <w:pPr>
              <w:spacing w:after="0"/>
              <w:rPr>
                <w:sz w:val="15"/>
                <w:szCs w:val="15"/>
                <w:color w:val="auto"/>
              </w:rPr>
            </w:pPr>
          </w:p>
        </w:tc>
        <w:tc>
          <w:tcPr>
            <w:tcW w:w="720" w:type="dxa"/>
            <w:vAlign w:val="bottom"/>
            <w:tcBorders>
              <w:bottom w:val="single" w:sz="8" w:color="D8D8D8"/>
            </w:tcBorders>
            <w:shd w:val="clear" w:color="auto" w:fill="D8D8D8"/>
          </w:tcPr>
          <w:p>
            <w:pPr>
              <w:jc w:val="right"/>
              <w:ind w:right="3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D8D8D8"/>
            </w:tcBorders>
            <w:shd w:val="clear" w:color="auto" w:fill="D8D8D8"/>
          </w:tcPr>
          <w:p>
            <w:pPr>
              <w:jc w:val="right"/>
              <w:ind w:right="21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95"/>
              </w:rPr>
              <w:t>81,900</w:t>
            </w:r>
          </w:p>
        </w:tc>
        <w:tc>
          <w:tcPr>
            <w:tcW w:w="6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95"/>
              </w:rPr>
              <w:t>$88.20</w:t>
            </w:r>
          </w:p>
        </w:tc>
        <w:tc>
          <w:tcPr>
            <w:tcW w:w="860" w:type="dxa"/>
            <w:vAlign w:val="bottom"/>
            <w:tcBorders>
              <w:bottom w:val="single" w:sz="8" w:color="D8D8D8"/>
              <w:right w:val="single" w:sz="8" w:color="7F7F7F"/>
            </w:tcBorders>
            <w:shd w:val="clear" w:color="auto" w:fill="D8D8D8"/>
          </w:tcPr>
          <w:p>
            <w:pPr>
              <w:jc w:val="center"/>
              <w:ind w:right="17"/>
              <w:spacing w:after="0"/>
              <w:rPr>
                <w:sz w:val="20"/>
                <w:szCs w:val="20"/>
                <w:color w:val="auto"/>
              </w:rPr>
            </w:pPr>
            <w:r>
              <w:rPr>
                <w:rFonts w:ascii="Arial" w:cs="Arial" w:eastAsia="Arial" w:hAnsi="Arial"/>
                <w:sz w:val="13"/>
                <w:szCs w:val="13"/>
                <w:color w:val="auto"/>
                <w:w w:val="96"/>
              </w:rPr>
              <w:t>$ 1,000,818</w:t>
            </w:r>
          </w:p>
        </w:tc>
        <w:tc>
          <w:tcPr>
            <w:tcW w:w="0" w:type="dxa"/>
            <w:vAlign w:val="bottom"/>
          </w:tcPr>
          <w:p>
            <w:pPr>
              <w:spacing w:after="0"/>
              <w:rPr>
                <w:sz w:val="1"/>
                <w:szCs w:val="1"/>
                <w:color w:val="auto"/>
              </w:rPr>
            </w:pPr>
          </w:p>
        </w:tc>
      </w:tr>
      <w:tr>
        <w:trPr>
          <w:trHeight w:val="166"/>
        </w:trPr>
        <w:tc>
          <w:tcPr>
            <w:tcW w:w="2340" w:type="dxa"/>
            <w:vAlign w:val="bottom"/>
            <w:tcBorders>
              <w:left w:val="single" w:sz="8" w:color="7F7F7F"/>
            </w:tcBorders>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3"/>
                <w:szCs w:val="13"/>
                <w:color w:val="auto"/>
              </w:rPr>
              <w:t>RSUs</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1/27/2021</w:t>
            </w:r>
          </w:p>
        </w:tc>
        <w:tc>
          <w:tcPr>
            <w:tcW w:w="7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14"/>
                <w:szCs w:val="14"/>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520" w:type="dxa"/>
            <w:vAlign w:val="bottom"/>
          </w:tcPr>
          <w:p>
            <w:pPr>
              <w:jc w:val="center"/>
              <w:spacing w:after="0"/>
              <w:rPr>
                <w:sz w:val="20"/>
                <w:szCs w:val="20"/>
                <w:color w:val="auto"/>
              </w:rPr>
            </w:pPr>
            <w:r>
              <w:rPr>
                <w:rFonts w:ascii="Arial" w:cs="Arial" w:eastAsia="Arial" w:hAnsi="Arial"/>
                <w:sz w:val="13"/>
                <w:szCs w:val="13"/>
                <w:color w:val="auto"/>
              </w:rPr>
              <w:t>–</w:t>
            </w:r>
          </w:p>
        </w:tc>
        <w:tc>
          <w:tcPr>
            <w:tcW w:w="5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29,490</w:t>
            </w:r>
          </w:p>
        </w:tc>
        <w:tc>
          <w:tcPr>
            <w:tcW w:w="760" w:type="dxa"/>
            <w:vAlign w:val="bottom"/>
          </w:tcPr>
          <w:p>
            <w:pPr>
              <w:jc w:val="center"/>
              <w:spacing w:after="0"/>
              <w:rPr>
                <w:sz w:val="20"/>
                <w:szCs w:val="20"/>
                <w:color w:val="auto"/>
              </w:rPr>
            </w:pPr>
            <w:r>
              <w:rPr>
                <w:rFonts w:ascii="Arial" w:cs="Arial" w:eastAsia="Arial" w:hAnsi="Arial"/>
                <w:sz w:val="13"/>
                <w:szCs w:val="13"/>
                <w:color w:val="auto"/>
              </w:rPr>
              <w:t>–</w:t>
            </w:r>
          </w:p>
        </w:tc>
        <w:tc>
          <w:tcPr>
            <w:tcW w:w="60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7F7F7F"/>
            </w:tcBorders>
          </w:tcPr>
          <w:p>
            <w:pPr>
              <w:jc w:val="center"/>
              <w:ind w:right="17"/>
              <w:spacing w:after="0"/>
              <w:rPr>
                <w:sz w:val="20"/>
                <w:szCs w:val="20"/>
                <w:color w:val="auto"/>
              </w:rPr>
            </w:pPr>
            <w:r>
              <w:rPr>
                <w:rFonts w:ascii="Arial" w:cs="Arial" w:eastAsia="Arial" w:hAnsi="Arial"/>
                <w:sz w:val="13"/>
                <w:szCs w:val="13"/>
                <w:color w:val="auto"/>
                <w:w w:val="96"/>
              </w:rPr>
              <w:t>$ 2,601,018</w:t>
            </w:r>
          </w:p>
        </w:tc>
        <w:tc>
          <w:tcPr>
            <w:tcW w:w="0" w:type="dxa"/>
            <w:vAlign w:val="bottom"/>
          </w:tcPr>
          <w:p>
            <w:pPr>
              <w:spacing w:after="0"/>
              <w:rPr>
                <w:sz w:val="1"/>
                <w:szCs w:val="1"/>
                <w:color w:val="auto"/>
              </w:rPr>
            </w:pPr>
          </w:p>
        </w:tc>
      </w:tr>
      <w:tr>
        <w:trPr>
          <w:trHeight w:val="37"/>
        </w:trPr>
        <w:tc>
          <w:tcPr>
            <w:tcW w:w="2340" w:type="dxa"/>
            <w:vAlign w:val="bottom"/>
            <w:tcBorders>
              <w:left w:val="single" w:sz="8" w:color="7F7F7F"/>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740" w:type="dxa"/>
            <w:vAlign w:val="bottom"/>
            <w:tcBorders>
              <w:bottom w:val="single" w:sz="8" w:color="7F7F7F"/>
            </w:tcBorders>
          </w:tcPr>
          <w:p>
            <w:pPr>
              <w:spacing w:after="0"/>
              <w:rPr>
                <w:sz w:val="3"/>
                <w:szCs w:val="3"/>
                <w:color w:val="auto"/>
              </w:rPr>
            </w:pPr>
          </w:p>
        </w:tc>
        <w:tc>
          <w:tcPr>
            <w:tcW w:w="120" w:type="dxa"/>
            <w:vAlign w:val="bottom"/>
            <w:tcBorders>
              <w:bottom w:val="single" w:sz="8" w:color="7F7F7F"/>
            </w:tcBorders>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c>
          <w:tcPr>
            <w:tcW w:w="800" w:type="dxa"/>
            <w:vAlign w:val="bottom"/>
            <w:tcBorders>
              <w:bottom w:val="single" w:sz="8" w:color="7F7F7F"/>
            </w:tcBorders>
          </w:tcPr>
          <w:p>
            <w:pPr>
              <w:spacing w:after="0"/>
              <w:rPr>
                <w:sz w:val="3"/>
                <w:szCs w:val="3"/>
                <w:color w:val="auto"/>
              </w:rPr>
            </w:pPr>
          </w:p>
        </w:tc>
        <w:tc>
          <w:tcPr>
            <w:tcW w:w="520" w:type="dxa"/>
            <w:vAlign w:val="bottom"/>
            <w:tcBorders>
              <w:bottom w:val="single" w:sz="8" w:color="7F7F7F"/>
            </w:tcBorders>
          </w:tcPr>
          <w:p>
            <w:pPr>
              <w:spacing w:after="0"/>
              <w:rPr>
                <w:sz w:val="3"/>
                <w:szCs w:val="3"/>
                <w:color w:val="auto"/>
              </w:rPr>
            </w:pPr>
          </w:p>
        </w:tc>
        <w:tc>
          <w:tcPr>
            <w:tcW w:w="500" w:type="dxa"/>
            <w:vAlign w:val="bottom"/>
            <w:tcBorders>
              <w:bottom w:val="single" w:sz="8" w:color="7F7F7F"/>
            </w:tcBorders>
          </w:tcPr>
          <w:p>
            <w:pPr>
              <w:spacing w:after="0"/>
              <w:rPr>
                <w:sz w:val="3"/>
                <w:szCs w:val="3"/>
                <w:color w:val="auto"/>
              </w:rPr>
            </w:pPr>
          </w:p>
        </w:tc>
        <w:tc>
          <w:tcPr>
            <w:tcW w:w="680" w:type="dxa"/>
            <w:vAlign w:val="bottom"/>
            <w:tcBorders>
              <w:bottom w:val="single" w:sz="8" w:color="7F7F7F"/>
            </w:tcBorders>
          </w:tcPr>
          <w:p>
            <w:pPr>
              <w:spacing w:after="0"/>
              <w:rPr>
                <w:sz w:val="3"/>
                <w:szCs w:val="3"/>
                <w:color w:val="auto"/>
              </w:rPr>
            </w:pPr>
          </w:p>
        </w:tc>
        <w:tc>
          <w:tcPr>
            <w:tcW w:w="760" w:type="dxa"/>
            <w:vAlign w:val="bottom"/>
            <w:tcBorders>
              <w:bottom w:val="single" w:sz="8" w:color="7F7F7F"/>
            </w:tcBorders>
          </w:tcPr>
          <w:p>
            <w:pPr>
              <w:spacing w:after="0"/>
              <w:rPr>
                <w:sz w:val="3"/>
                <w:szCs w:val="3"/>
                <w:color w:val="auto"/>
              </w:rPr>
            </w:pPr>
          </w:p>
        </w:tc>
        <w:tc>
          <w:tcPr>
            <w:tcW w:w="600" w:type="dxa"/>
            <w:vAlign w:val="bottom"/>
            <w:tcBorders>
              <w:bottom w:val="single" w:sz="8" w:color="7F7F7F"/>
            </w:tcBorders>
          </w:tcPr>
          <w:p>
            <w:pPr>
              <w:spacing w:after="0"/>
              <w:rPr>
                <w:sz w:val="3"/>
                <w:szCs w:val="3"/>
                <w:color w:val="auto"/>
              </w:rPr>
            </w:pPr>
          </w:p>
        </w:tc>
        <w:tc>
          <w:tcPr>
            <w:tcW w:w="860" w:type="dxa"/>
            <w:vAlign w:val="bottom"/>
            <w:tcBorders>
              <w:bottom w:val="single" w:sz="8" w:color="7F7F7F"/>
              <w:right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340" w:type="dxa"/>
            <w:vAlign w:val="bottom"/>
            <w:tcBorders>
              <w:left w:val="single" w:sz="8" w:color="7F7F7F"/>
              <w:bottom w:val="single" w:sz="8" w:color="D8D8D8"/>
            </w:tcBorders>
            <w:shd w:val="clear" w:color="auto" w:fill="D8D8D8"/>
          </w:tcPr>
          <w:p>
            <w:pPr>
              <w:ind w:left="160"/>
              <w:spacing w:after="0"/>
              <w:rPr>
                <w:sz w:val="20"/>
                <w:szCs w:val="20"/>
                <w:color w:val="auto"/>
              </w:rPr>
            </w:pPr>
            <w:r>
              <w:rPr>
                <w:rFonts w:ascii="Arial" w:cs="Arial" w:eastAsia="Arial" w:hAnsi="Arial"/>
                <w:sz w:val="13"/>
                <w:szCs w:val="13"/>
                <w:color w:val="auto"/>
              </w:rPr>
              <w:t>M.A. Nelson</w:t>
            </w:r>
          </w:p>
        </w:tc>
        <w:tc>
          <w:tcPr>
            <w:tcW w:w="7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3"/>
                <w:szCs w:val="13"/>
                <w:color w:val="auto"/>
              </w:rPr>
              <w:t>CIP</w:t>
            </w:r>
          </w:p>
        </w:tc>
        <w:tc>
          <w:tcPr>
            <w:tcW w:w="840" w:type="dxa"/>
            <w:vAlign w:val="bottom"/>
            <w:tcBorders>
              <w:bottom w:val="single" w:sz="8" w:color="D8D8D8"/>
            </w:tcBorders>
            <w:shd w:val="clear" w:color="auto" w:fill="D8D8D8"/>
          </w:tcPr>
          <w:p>
            <w:pPr>
              <w:spacing w:after="0"/>
              <w:rPr>
                <w:sz w:val="15"/>
                <w:szCs w:val="15"/>
                <w:color w:val="auto"/>
              </w:rPr>
            </w:pPr>
          </w:p>
        </w:tc>
        <w:tc>
          <w:tcPr>
            <w:tcW w:w="7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82"/>
              </w:rPr>
              <w:t>–</w:t>
            </w:r>
          </w:p>
        </w:tc>
        <w:tc>
          <w:tcPr>
            <w:tcW w:w="16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8D8D8"/>
            </w:tcBorders>
            <w:shd w:val="clear" w:color="auto" w:fill="D8D8D8"/>
          </w:tcPr>
          <w:p>
            <w:pPr>
              <w:ind w:left="60"/>
              <w:spacing w:after="0"/>
              <w:rPr>
                <w:sz w:val="20"/>
                <w:szCs w:val="20"/>
                <w:color w:val="auto"/>
              </w:rPr>
            </w:pPr>
            <w:r>
              <w:rPr>
                <w:rFonts w:ascii="Arial" w:cs="Arial" w:eastAsia="Arial" w:hAnsi="Arial"/>
                <w:sz w:val="13"/>
                <w:szCs w:val="13"/>
                <w:color w:val="auto"/>
              </w:rPr>
              <w:t>1,045,000</w:t>
            </w:r>
          </w:p>
        </w:tc>
        <w:tc>
          <w:tcPr>
            <w:tcW w:w="12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D8D8D8"/>
            </w:tcBorders>
            <w:shd w:val="clear" w:color="auto" w:fill="D8D8D8"/>
          </w:tcPr>
          <w:p>
            <w:pPr>
              <w:jc w:val="right"/>
              <w:ind w:right="57"/>
              <w:spacing w:after="0"/>
              <w:rPr>
                <w:sz w:val="20"/>
                <w:szCs w:val="20"/>
                <w:color w:val="auto"/>
              </w:rPr>
            </w:pPr>
            <w:r>
              <w:rPr>
                <w:rFonts w:ascii="Arial" w:cs="Arial" w:eastAsia="Arial" w:hAnsi="Arial"/>
                <w:sz w:val="13"/>
                <w:szCs w:val="13"/>
                <w:color w:val="auto"/>
              </w:rPr>
              <w:t>2,090,000</w:t>
            </w:r>
          </w:p>
        </w:tc>
        <w:tc>
          <w:tcPr>
            <w:tcW w:w="8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D8D8D8"/>
            </w:tcBorders>
            <w:shd w:val="clear" w:color="auto" w:fill="D8D8D8"/>
          </w:tcPr>
          <w:p>
            <w:pPr>
              <w:jc w:val="right"/>
              <w:ind w:right="21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8D8D8"/>
              <w:right w:val="single" w:sz="8" w:color="7F7F7F"/>
            </w:tcBorders>
            <w:shd w:val="clear" w:color="auto" w:fill="D8D8D8"/>
          </w:tcPr>
          <w:p>
            <w:pPr>
              <w:jc w:val="center"/>
              <w:ind w:right="17"/>
              <w:spacing w:after="0"/>
              <w:rPr>
                <w:sz w:val="20"/>
                <w:szCs w:val="20"/>
                <w:color w:val="auto"/>
              </w:rPr>
            </w:pPr>
            <w:r>
              <w:rPr>
                <w:rFonts w:ascii="Arial" w:cs="Arial" w:eastAsia="Arial" w:hAnsi="Arial"/>
                <w:sz w:val="13"/>
                <w:szCs w:val="13"/>
                <w:color w:val="auto"/>
                <w:w w:val="82"/>
              </w:rPr>
              <w:t>–</w:t>
            </w:r>
          </w:p>
        </w:tc>
        <w:tc>
          <w:tcPr>
            <w:tcW w:w="0" w:type="dxa"/>
            <w:vAlign w:val="bottom"/>
          </w:tcPr>
          <w:p>
            <w:pPr>
              <w:spacing w:after="0"/>
              <w:rPr>
                <w:sz w:val="1"/>
                <w:szCs w:val="1"/>
                <w:color w:val="auto"/>
              </w:rPr>
            </w:pPr>
          </w:p>
        </w:tc>
      </w:tr>
      <w:tr>
        <w:trPr>
          <w:trHeight w:val="166"/>
        </w:trPr>
        <w:tc>
          <w:tcPr>
            <w:tcW w:w="2340" w:type="dxa"/>
            <w:vAlign w:val="bottom"/>
            <w:tcBorders>
              <w:left w:val="single" w:sz="8" w:color="7F7F7F"/>
            </w:tcBorders>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3"/>
                <w:szCs w:val="13"/>
                <w:color w:val="auto"/>
                <w:w w:val="93"/>
              </w:rPr>
              <w:t>Perf Shares</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1/27/2021</w:t>
            </w:r>
          </w:p>
        </w:tc>
        <w:tc>
          <w:tcPr>
            <w:tcW w:w="7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14"/>
                <w:szCs w:val="14"/>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800" w:type="dxa"/>
            <w:vAlign w:val="bottom"/>
          </w:tcPr>
          <w:p>
            <w:pPr>
              <w:jc w:val="center"/>
              <w:ind w:left="17"/>
              <w:spacing w:after="0"/>
              <w:rPr>
                <w:sz w:val="20"/>
                <w:szCs w:val="20"/>
                <w:color w:val="auto"/>
              </w:rPr>
            </w:pPr>
            <w:r>
              <w:rPr>
                <w:rFonts w:ascii="Arial" w:cs="Arial" w:eastAsia="Arial" w:hAnsi="Arial"/>
                <w:sz w:val="13"/>
                <w:szCs w:val="13"/>
                <w:color w:val="auto"/>
                <w:w w:val="98"/>
              </w:rPr>
              <w:t>4,878</w:t>
            </w:r>
          </w:p>
        </w:tc>
        <w:tc>
          <w:tcPr>
            <w:tcW w:w="520" w:type="dxa"/>
            <w:vAlign w:val="bottom"/>
          </w:tcPr>
          <w:p>
            <w:pPr>
              <w:jc w:val="center"/>
              <w:spacing w:after="0"/>
              <w:rPr>
                <w:sz w:val="20"/>
                <w:szCs w:val="20"/>
                <w:color w:val="auto"/>
              </w:rPr>
            </w:pPr>
            <w:r>
              <w:rPr>
                <w:rFonts w:ascii="Arial" w:cs="Arial" w:eastAsia="Arial" w:hAnsi="Arial"/>
                <w:sz w:val="13"/>
                <w:szCs w:val="13"/>
                <w:color w:val="auto"/>
              </w:rPr>
              <w:t>22,690</w:t>
            </w:r>
          </w:p>
        </w:tc>
        <w:tc>
          <w:tcPr>
            <w:tcW w:w="500" w:type="dxa"/>
            <w:vAlign w:val="bottom"/>
          </w:tcPr>
          <w:p>
            <w:pPr>
              <w:jc w:val="center"/>
              <w:spacing w:after="0"/>
              <w:rPr>
                <w:sz w:val="20"/>
                <w:szCs w:val="20"/>
                <w:color w:val="auto"/>
              </w:rPr>
            </w:pPr>
            <w:r>
              <w:rPr>
                <w:rFonts w:ascii="Arial" w:cs="Arial" w:eastAsia="Arial" w:hAnsi="Arial"/>
                <w:sz w:val="13"/>
                <w:szCs w:val="13"/>
                <w:color w:val="auto"/>
                <w:w w:val="95"/>
              </w:rPr>
              <w:t>45,380</w:t>
            </w:r>
          </w:p>
        </w:tc>
        <w:tc>
          <w:tcPr>
            <w:tcW w:w="6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60" w:type="dxa"/>
            <w:vAlign w:val="bottom"/>
          </w:tcPr>
          <w:p>
            <w:pPr>
              <w:jc w:val="center"/>
              <w:spacing w:after="0"/>
              <w:rPr>
                <w:sz w:val="20"/>
                <w:szCs w:val="20"/>
                <w:color w:val="auto"/>
              </w:rPr>
            </w:pPr>
            <w:r>
              <w:rPr>
                <w:rFonts w:ascii="Arial" w:cs="Arial" w:eastAsia="Arial" w:hAnsi="Arial"/>
                <w:sz w:val="13"/>
                <w:szCs w:val="13"/>
                <w:color w:val="auto"/>
              </w:rPr>
              <w:t>–</w:t>
            </w:r>
          </w:p>
        </w:tc>
        <w:tc>
          <w:tcPr>
            <w:tcW w:w="60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7F7F7F"/>
            </w:tcBorders>
          </w:tcPr>
          <w:p>
            <w:pPr>
              <w:jc w:val="center"/>
              <w:ind w:right="17"/>
              <w:spacing w:after="0"/>
              <w:rPr>
                <w:sz w:val="20"/>
                <w:szCs w:val="20"/>
                <w:color w:val="auto"/>
              </w:rPr>
            </w:pPr>
            <w:r>
              <w:rPr>
                <w:rFonts w:ascii="Arial" w:cs="Arial" w:eastAsia="Arial" w:hAnsi="Arial"/>
                <w:sz w:val="13"/>
                <w:szCs w:val="13"/>
                <w:color w:val="auto"/>
                <w:w w:val="96"/>
              </w:rPr>
              <w:t>$ 2,158,500</w:t>
            </w:r>
          </w:p>
        </w:tc>
        <w:tc>
          <w:tcPr>
            <w:tcW w:w="0" w:type="dxa"/>
            <w:vAlign w:val="bottom"/>
          </w:tcPr>
          <w:p>
            <w:pPr>
              <w:spacing w:after="0"/>
              <w:rPr>
                <w:sz w:val="1"/>
                <w:szCs w:val="1"/>
                <w:color w:val="auto"/>
              </w:rPr>
            </w:pPr>
          </w:p>
        </w:tc>
      </w:tr>
      <w:tr>
        <w:trPr>
          <w:trHeight w:val="37"/>
        </w:trPr>
        <w:tc>
          <w:tcPr>
            <w:tcW w:w="2340" w:type="dxa"/>
            <w:vAlign w:val="bottom"/>
            <w:tcBorders>
              <w:left w:val="single" w:sz="8" w:color="7F7F7F"/>
            </w:tcBorders>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Borders>
              <w:right w:val="single" w:sz="8" w:color="7F7F7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2340" w:type="dxa"/>
            <w:vAlign w:val="bottom"/>
            <w:tcBorders>
              <w:left w:val="single" w:sz="8" w:color="7F7F7F"/>
              <w:bottom w:val="single" w:sz="8" w:color="D8D8D8"/>
            </w:tcBorders>
            <w:shd w:val="clear" w:color="auto" w:fill="D8D8D8"/>
          </w:tcPr>
          <w:p>
            <w:pPr>
              <w:spacing w:after="0"/>
              <w:rPr>
                <w:sz w:val="15"/>
                <w:szCs w:val="15"/>
                <w:color w:val="auto"/>
              </w:rPr>
            </w:pPr>
          </w:p>
        </w:tc>
        <w:tc>
          <w:tcPr>
            <w:tcW w:w="7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3"/>
                <w:szCs w:val="13"/>
                <w:color w:val="auto"/>
              </w:rPr>
              <w:t>Options</w:t>
            </w:r>
          </w:p>
        </w:tc>
        <w:tc>
          <w:tcPr>
            <w:tcW w:w="840" w:type="dxa"/>
            <w:vAlign w:val="bottom"/>
            <w:tcBorders>
              <w:bottom w:val="single" w:sz="8" w:color="D8D8D8"/>
            </w:tcBorders>
            <w:shd w:val="clear" w:color="auto" w:fill="D8D8D8"/>
          </w:tcPr>
          <w:p>
            <w:pPr>
              <w:jc w:val="right"/>
              <w:ind w:right="117"/>
              <w:spacing w:after="0"/>
              <w:rPr>
                <w:sz w:val="20"/>
                <w:szCs w:val="20"/>
                <w:color w:val="auto"/>
              </w:rPr>
            </w:pPr>
            <w:r>
              <w:rPr>
                <w:rFonts w:ascii="Arial" w:cs="Arial" w:eastAsia="Arial" w:hAnsi="Arial"/>
                <w:sz w:val="13"/>
                <w:szCs w:val="13"/>
                <w:color w:val="auto"/>
              </w:rPr>
              <w:t>1/27/2021</w:t>
            </w:r>
          </w:p>
        </w:tc>
        <w:tc>
          <w:tcPr>
            <w:tcW w:w="7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82"/>
              </w:rPr>
              <w:t>–</w:t>
            </w:r>
          </w:p>
        </w:tc>
        <w:tc>
          <w:tcPr>
            <w:tcW w:w="160" w:type="dxa"/>
            <w:vAlign w:val="bottom"/>
            <w:tcBorders>
              <w:bottom w:val="single" w:sz="8" w:color="D8D8D8"/>
            </w:tcBorders>
            <w:shd w:val="clear" w:color="auto" w:fill="D8D8D8"/>
          </w:tcPr>
          <w:p>
            <w:pPr>
              <w:spacing w:after="0"/>
              <w:rPr>
                <w:sz w:val="15"/>
                <w:szCs w:val="15"/>
                <w:color w:val="auto"/>
              </w:rPr>
            </w:pPr>
          </w:p>
        </w:tc>
        <w:tc>
          <w:tcPr>
            <w:tcW w:w="740" w:type="dxa"/>
            <w:vAlign w:val="bottom"/>
            <w:tcBorders>
              <w:bottom w:val="single" w:sz="8" w:color="D8D8D8"/>
            </w:tcBorders>
            <w:shd w:val="clear" w:color="auto" w:fill="D8D8D8"/>
          </w:tcPr>
          <w:p>
            <w:pPr>
              <w:jc w:val="center"/>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8D8D8"/>
            </w:tcBorders>
            <w:shd w:val="clear" w:color="auto" w:fill="D8D8D8"/>
          </w:tcPr>
          <w:p>
            <w:pPr>
              <w:spacing w:after="0"/>
              <w:rPr>
                <w:sz w:val="15"/>
                <w:szCs w:val="15"/>
                <w:color w:val="auto"/>
              </w:rPr>
            </w:pPr>
          </w:p>
        </w:tc>
        <w:tc>
          <w:tcPr>
            <w:tcW w:w="720" w:type="dxa"/>
            <w:vAlign w:val="bottom"/>
            <w:tcBorders>
              <w:bottom w:val="single" w:sz="8" w:color="D8D8D8"/>
            </w:tcBorders>
            <w:shd w:val="clear" w:color="auto" w:fill="D8D8D8"/>
          </w:tcPr>
          <w:p>
            <w:pPr>
              <w:jc w:val="right"/>
              <w:ind w:right="3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D8D8D8"/>
            </w:tcBorders>
            <w:shd w:val="clear" w:color="auto" w:fill="D8D8D8"/>
          </w:tcPr>
          <w:p>
            <w:pPr>
              <w:jc w:val="right"/>
              <w:ind w:right="21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95"/>
              </w:rPr>
              <w:t>81,900</w:t>
            </w:r>
          </w:p>
        </w:tc>
        <w:tc>
          <w:tcPr>
            <w:tcW w:w="6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w w:val="95"/>
              </w:rPr>
              <w:t>$88.20</w:t>
            </w:r>
          </w:p>
        </w:tc>
        <w:tc>
          <w:tcPr>
            <w:tcW w:w="860" w:type="dxa"/>
            <w:vAlign w:val="bottom"/>
            <w:tcBorders>
              <w:bottom w:val="single" w:sz="8" w:color="D8D8D8"/>
              <w:right w:val="single" w:sz="8" w:color="7F7F7F"/>
            </w:tcBorders>
            <w:shd w:val="clear" w:color="auto" w:fill="D8D8D8"/>
          </w:tcPr>
          <w:p>
            <w:pPr>
              <w:jc w:val="center"/>
              <w:ind w:right="17"/>
              <w:spacing w:after="0"/>
              <w:rPr>
                <w:sz w:val="20"/>
                <w:szCs w:val="20"/>
                <w:color w:val="auto"/>
              </w:rPr>
            </w:pPr>
            <w:r>
              <w:rPr>
                <w:rFonts w:ascii="Arial" w:cs="Arial" w:eastAsia="Arial" w:hAnsi="Arial"/>
                <w:sz w:val="13"/>
                <w:szCs w:val="13"/>
                <w:color w:val="auto"/>
                <w:w w:val="96"/>
              </w:rPr>
              <w:t>$ 1,000,818</w:t>
            </w:r>
          </w:p>
        </w:tc>
        <w:tc>
          <w:tcPr>
            <w:tcW w:w="0" w:type="dxa"/>
            <w:vAlign w:val="bottom"/>
          </w:tcPr>
          <w:p>
            <w:pPr>
              <w:spacing w:after="0"/>
              <w:rPr>
                <w:sz w:val="1"/>
                <w:szCs w:val="1"/>
                <w:color w:val="auto"/>
              </w:rPr>
            </w:pPr>
          </w:p>
        </w:tc>
      </w:tr>
      <w:tr>
        <w:trPr>
          <w:trHeight w:val="166"/>
        </w:trPr>
        <w:tc>
          <w:tcPr>
            <w:tcW w:w="2340" w:type="dxa"/>
            <w:vAlign w:val="bottom"/>
            <w:tcBorders>
              <w:left w:val="single" w:sz="8" w:color="7F7F7F"/>
            </w:tcBorders>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3"/>
                <w:szCs w:val="13"/>
                <w:color w:val="auto"/>
              </w:rPr>
              <w:t>RSUs</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1/27/2021</w:t>
            </w:r>
          </w:p>
        </w:tc>
        <w:tc>
          <w:tcPr>
            <w:tcW w:w="7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14"/>
                <w:szCs w:val="14"/>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520" w:type="dxa"/>
            <w:vAlign w:val="bottom"/>
          </w:tcPr>
          <w:p>
            <w:pPr>
              <w:jc w:val="center"/>
              <w:spacing w:after="0"/>
              <w:rPr>
                <w:sz w:val="20"/>
                <w:szCs w:val="20"/>
                <w:color w:val="auto"/>
              </w:rPr>
            </w:pPr>
            <w:r>
              <w:rPr>
                <w:rFonts w:ascii="Arial" w:cs="Arial" w:eastAsia="Arial" w:hAnsi="Arial"/>
                <w:sz w:val="13"/>
                <w:szCs w:val="13"/>
                <w:color w:val="auto"/>
              </w:rPr>
              <w:t>–</w:t>
            </w:r>
          </w:p>
        </w:tc>
        <w:tc>
          <w:tcPr>
            <w:tcW w:w="5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11,340</w:t>
            </w:r>
          </w:p>
        </w:tc>
        <w:tc>
          <w:tcPr>
            <w:tcW w:w="760" w:type="dxa"/>
            <w:vAlign w:val="bottom"/>
          </w:tcPr>
          <w:p>
            <w:pPr>
              <w:jc w:val="center"/>
              <w:spacing w:after="0"/>
              <w:rPr>
                <w:sz w:val="20"/>
                <w:szCs w:val="20"/>
                <w:color w:val="auto"/>
              </w:rPr>
            </w:pPr>
            <w:r>
              <w:rPr>
                <w:rFonts w:ascii="Arial" w:cs="Arial" w:eastAsia="Arial" w:hAnsi="Arial"/>
                <w:sz w:val="13"/>
                <w:szCs w:val="13"/>
                <w:color w:val="auto"/>
              </w:rPr>
              <w:t>–</w:t>
            </w:r>
          </w:p>
        </w:tc>
        <w:tc>
          <w:tcPr>
            <w:tcW w:w="60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7F7F7F"/>
            </w:tcBorders>
          </w:tcPr>
          <w:p>
            <w:pPr>
              <w:jc w:val="center"/>
              <w:ind w:right="17"/>
              <w:spacing w:after="0"/>
              <w:rPr>
                <w:sz w:val="20"/>
                <w:szCs w:val="20"/>
                <w:color w:val="auto"/>
              </w:rPr>
            </w:pPr>
            <w:r>
              <w:rPr>
                <w:rFonts w:ascii="Arial" w:cs="Arial" w:eastAsia="Arial" w:hAnsi="Arial"/>
                <w:sz w:val="13"/>
                <w:szCs w:val="13"/>
                <w:color w:val="auto"/>
                <w:w w:val="96"/>
              </w:rPr>
              <w:t>$ 1,000,188</w:t>
            </w:r>
          </w:p>
        </w:tc>
        <w:tc>
          <w:tcPr>
            <w:tcW w:w="0" w:type="dxa"/>
            <w:vAlign w:val="bottom"/>
          </w:tcPr>
          <w:p>
            <w:pPr>
              <w:spacing w:after="0"/>
              <w:rPr>
                <w:sz w:val="1"/>
                <w:szCs w:val="1"/>
                <w:color w:val="auto"/>
              </w:rPr>
            </w:pPr>
          </w:p>
        </w:tc>
      </w:tr>
      <w:tr>
        <w:trPr>
          <w:trHeight w:val="37"/>
        </w:trPr>
        <w:tc>
          <w:tcPr>
            <w:tcW w:w="2340" w:type="dxa"/>
            <w:vAlign w:val="bottom"/>
            <w:tcBorders>
              <w:left w:val="single" w:sz="8" w:color="7F7F7F"/>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740" w:type="dxa"/>
            <w:vAlign w:val="bottom"/>
            <w:tcBorders>
              <w:bottom w:val="single" w:sz="8" w:color="7F7F7F"/>
            </w:tcBorders>
          </w:tcPr>
          <w:p>
            <w:pPr>
              <w:spacing w:after="0"/>
              <w:rPr>
                <w:sz w:val="3"/>
                <w:szCs w:val="3"/>
                <w:color w:val="auto"/>
              </w:rPr>
            </w:pPr>
          </w:p>
        </w:tc>
        <w:tc>
          <w:tcPr>
            <w:tcW w:w="120" w:type="dxa"/>
            <w:vAlign w:val="bottom"/>
            <w:tcBorders>
              <w:bottom w:val="single" w:sz="8" w:color="7F7F7F"/>
            </w:tcBorders>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c>
          <w:tcPr>
            <w:tcW w:w="800" w:type="dxa"/>
            <w:vAlign w:val="bottom"/>
            <w:tcBorders>
              <w:bottom w:val="single" w:sz="8" w:color="7F7F7F"/>
            </w:tcBorders>
          </w:tcPr>
          <w:p>
            <w:pPr>
              <w:spacing w:after="0"/>
              <w:rPr>
                <w:sz w:val="3"/>
                <w:szCs w:val="3"/>
                <w:color w:val="auto"/>
              </w:rPr>
            </w:pPr>
          </w:p>
        </w:tc>
        <w:tc>
          <w:tcPr>
            <w:tcW w:w="520" w:type="dxa"/>
            <w:vAlign w:val="bottom"/>
            <w:tcBorders>
              <w:bottom w:val="single" w:sz="8" w:color="7F7F7F"/>
            </w:tcBorders>
          </w:tcPr>
          <w:p>
            <w:pPr>
              <w:spacing w:after="0"/>
              <w:rPr>
                <w:sz w:val="3"/>
                <w:szCs w:val="3"/>
                <w:color w:val="auto"/>
              </w:rPr>
            </w:pPr>
          </w:p>
        </w:tc>
        <w:tc>
          <w:tcPr>
            <w:tcW w:w="500" w:type="dxa"/>
            <w:vAlign w:val="bottom"/>
            <w:tcBorders>
              <w:bottom w:val="single" w:sz="8" w:color="7F7F7F"/>
            </w:tcBorders>
          </w:tcPr>
          <w:p>
            <w:pPr>
              <w:spacing w:after="0"/>
              <w:rPr>
                <w:sz w:val="3"/>
                <w:szCs w:val="3"/>
                <w:color w:val="auto"/>
              </w:rPr>
            </w:pPr>
          </w:p>
        </w:tc>
        <w:tc>
          <w:tcPr>
            <w:tcW w:w="680" w:type="dxa"/>
            <w:vAlign w:val="bottom"/>
            <w:tcBorders>
              <w:bottom w:val="single" w:sz="8" w:color="7F7F7F"/>
            </w:tcBorders>
          </w:tcPr>
          <w:p>
            <w:pPr>
              <w:spacing w:after="0"/>
              <w:rPr>
                <w:sz w:val="3"/>
                <w:szCs w:val="3"/>
                <w:color w:val="auto"/>
              </w:rPr>
            </w:pPr>
          </w:p>
        </w:tc>
        <w:tc>
          <w:tcPr>
            <w:tcW w:w="760" w:type="dxa"/>
            <w:vAlign w:val="bottom"/>
            <w:tcBorders>
              <w:bottom w:val="single" w:sz="8" w:color="7F7F7F"/>
            </w:tcBorders>
          </w:tcPr>
          <w:p>
            <w:pPr>
              <w:spacing w:after="0"/>
              <w:rPr>
                <w:sz w:val="3"/>
                <w:szCs w:val="3"/>
                <w:color w:val="auto"/>
              </w:rPr>
            </w:pPr>
          </w:p>
        </w:tc>
        <w:tc>
          <w:tcPr>
            <w:tcW w:w="600" w:type="dxa"/>
            <w:vAlign w:val="bottom"/>
            <w:tcBorders>
              <w:bottom w:val="single" w:sz="8" w:color="7F7F7F"/>
            </w:tcBorders>
          </w:tcPr>
          <w:p>
            <w:pPr>
              <w:spacing w:after="0"/>
              <w:rPr>
                <w:sz w:val="3"/>
                <w:szCs w:val="3"/>
                <w:color w:val="auto"/>
              </w:rPr>
            </w:pPr>
          </w:p>
        </w:tc>
        <w:tc>
          <w:tcPr>
            <w:tcW w:w="860" w:type="dxa"/>
            <w:vAlign w:val="bottom"/>
            <w:tcBorders>
              <w:bottom w:val="single" w:sz="8" w:color="7F7F7F"/>
              <w:right w:val="single" w:sz="8" w:color="7F7F7F"/>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-2622550</wp:posOffset>
            </wp:positionV>
            <wp:extent cx="1482725"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482725"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-2357120</wp:posOffset>
            </wp:positionV>
            <wp:extent cx="148272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482725"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-2099945</wp:posOffset>
            </wp:positionV>
            <wp:extent cx="1482725"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482725"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-1833880</wp:posOffset>
            </wp:positionV>
            <wp:extent cx="1482725" cy="128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82725"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-1576705</wp:posOffset>
            </wp:positionV>
            <wp:extent cx="1482725"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82725"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-1311275</wp:posOffset>
            </wp:positionV>
            <wp:extent cx="1482725"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82725"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-1054100</wp:posOffset>
            </wp:positionV>
            <wp:extent cx="1482725"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82725"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-788035</wp:posOffset>
            </wp:positionV>
            <wp:extent cx="1482725"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82725"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-530860</wp:posOffset>
            </wp:positionV>
            <wp:extent cx="1482725"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82725"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1482725"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482725" cy="12890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-2871470</wp:posOffset>
            </wp:positionV>
            <wp:extent cx="27000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205" w:lineRule="exact"/>
        <w:rPr>
          <w:sz w:val="20"/>
          <w:szCs w:val="20"/>
          <w:color w:val="auto"/>
        </w:rPr>
      </w:pPr>
    </w:p>
    <w:p>
      <w:pPr>
        <w:ind w:left="540" w:right="120" w:hanging="424"/>
        <w:spacing w:after="0" w:line="233" w:lineRule="auto"/>
        <w:tabs>
          <w:tab w:leader="none" w:pos="5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CIP is an annual incentive plan that pays a cash award for performance and is paid in March following the performance year. See our “Compensation Discussion and Analysis– Compensation Discussion and Analysis in Detail–Annual Incentive Plan (Chevron Incentive Plan)” for a detailed description of CIP awards, including the criteria for determining the amounts payable.</w:t>
      </w:r>
    </w:p>
    <w:p>
      <w:pPr>
        <w:spacing w:after="0" w:line="10" w:lineRule="exact"/>
        <w:rPr>
          <w:rFonts w:ascii="Arial" w:cs="Arial" w:eastAsia="Arial" w:hAnsi="Arial"/>
          <w:sz w:val="13"/>
          <w:szCs w:val="13"/>
          <w:color w:val="auto"/>
        </w:rPr>
      </w:pPr>
    </w:p>
    <w:p>
      <w:pPr>
        <w:ind w:left="540" w:right="80"/>
        <w:spacing w:after="0" w:line="233" w:lineRule="auto"/>
        <w:rPr>
          <w:rFonts w:ascii="Arial" w:cs="Arial" w:eastAsia="Arial" w:hAnsi="Arial"/>
          <w:sz w:val="13"/>
          <w:szCs w:val="13"/>
          <w:color w:val="auto"/>
        </w:rPr>
      </w:pPr>
      <w:r>
        <w:rPr>
          <w:rFonts w:ascii="Arial" w:cs="Arial" w:eastAsia="Arial" w:hAnsi="Arial"/>
          <w:sz w:val="13"/>
          <w:szCs w:val="13"/>
          <w:color w:val="auto"/>
        </w:rPr>
        <w:t>“Target” is a dollar value based on a percentage of an NEO’s base salary set by the MCC. Actual 2021 performance-year CIP award results, which are approved in January 2022 and paid in March 2022, are reported in the “Summary Compensation Table” in the “Non-Equity Incentive Plan Compensation” column. Under the 2021 CIP, there is no threshold award. The maximum award is 200% of target for all CIP-eligible employees.</w:t>
      </w:r>
    </w:p>
    <w:p>
      <w:pPr>
        <w:spacing w:after="0" w:line="10" w:lineRule="exact"/>
        <w:rPr>
          <w:rFonts w:ascii="Arial" w:cs="Arial" w:eastAsia="Arial" w:hAnsi="Arial"/>
          <w:sz w:val="13"/>
          <w:szCs w:val="13"/>
          <w:color w:val="auto"/>
        </w:rPr>
      </w:pPr>
    </w:p>
    <w:p>
      <w:pPr>
        <w:ind w:left="540" w:hanging="424"/>
        <w:spacing w:after="0" w:line="226" w:lineRule="auto"/>
        <w:tabs>
          <w:tab w:leader="none" w:pos="5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Reflects performance shares granted under the LTIP. See our “Compensation Discussion and Analysis–Compensation Discussion and Analysis in Detail–Long-Term Incentive Plan” for a detailed description of performance share awards, including the criteria for determining the cash amounts payable. “Target” is the number of performance shares awarded in 2021. If there is a payout, “Threshold” represents the lowest possible payout (21.5% of the grant) and “Max” reflects the highest possible payout (200% of the grant). The performance shares awarded in 2021 accrue dividend equivalents and are paid out in cash, and the cash payout, if any, will occur at the end of the three-year performance period (January 2021 through December 2023). Payout is calculated in the manner described in footnote 2 to the “Option Exercises and Stock Vested in Fiscal Year 2021” table in this Proxy Statement.</w:t>
      </w:r>
    </w:p>
    <w:p>
      <w:pPr>
        <w:spacing w:after="0" w:line="11" w:lineRule="exact"/>
        <w:rPr>
          <w:rFonts w:ascii="Arial" w:cs="Arial" w:eastAsia="Arial" w:hAnsi="Arial"/>
          <w:sz w:val="13"/>
          <w:szCs w:val="13"/>
          <w:color w:val="auto"/>
        </w:rPr>
      </w:pPr>
    </w:p>
    <w:p>
      <w:pPr>
        <w:ind w:left="540" w:right="620" w:hanging="424"/>
        <w:spacing w:after="0" w:line="245" w:lineRule="auto"/>
        <w:tabs>
          <w:tab w:leader="none" w:pos="54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Reflects RSUs granted under the LTIP. See our “Compensation Discussion and Analysis–Compensation Discussion and Analysis in Detail–Long-Term Incentive Plan” for a detailed description of RSU awards. These RSUs accrue dividend equivalents and are paid in cash upon vesting on January 31 following the fifth annual anniversary of the grant date. For</w:t>
      </w:r>
    </w:p>
    <w:p>
      <w:pPr>
        <w:ind w:left="540" w:right="120"/>
        <w:spacing w:after="0" w:line="231" w:lineRule="auto"/>
        <w:rPr>
          <w:rFonts w:ascii="Arial" w:cs="Arial" w:eastAsia="Arial" w:hAnsi="Arial"/>
          <w:sz w:val="12"/>
          <w:szCs w:val="12"/>
          <w:color w:val="auto"/>
        </w:rPr>
      </w:pPr>
      <w:r>
        <w:rPr>
          <w:rFonts w:ascii="Arial" w:cs="Arial" w:eastAsia="Arial" w:hAnsi="Arial"/>
          <w:sz w:val="13"/>
          <w:szCs w:val="13"/>
          <w:color w:val="auto"/>
        </w:rPr>
        <w:t>Mr. Geagea, the 2021 amount also includes additional RSU awards. These additional RSUs accrue dividend equivalents and are paid in cash upon vesting on January 31 following the third anniversary of the grant date. Total payout will be based on the Chevron common stock closing price on the vesting date multiplied by the number of vested RSUs.</w:t>
      </w:r>
    </w:p>
    <w:p>
      <w:pPr>
        <w:spacing w:after="0" w:line="10" w:lineRule="exact"/>
        <w:rPr>
          <w:rFonts w:ascii="Arial" w:cs="Arial" w:eastAsia="Arial" w:hAnsi="Arial"/>
          <w:sz w:val="12"/>
          <w:szCs w:val="12"/>
          <w:color w:val="auto"/>
        </w:rPr>
      </w:pPr>
    </w:p>
    <w:p>
      <w:pPr>
        <w:ind w:left="540" w:right="200" w:hanging="424"/>
        <w:spacing w:after="0" w:line="229" w:lineRule="auto"/>
        <w:tabs>
          <w:tab w:leader="none" w:pos="5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Reflects nonstatutory/nonqualified stock options granted under the LTIP. See our “Compensation Discussion and Analysis–Compensation Discussion and Analysis in Detail–Long-Term Incentive Plan” for a description of stock option awards. Stock options have a 10-year term. One-third vests each January 31, starting with the January 31 that is at least one year following the grant date. The value of stock options realized upon exercise is determined by multiplying the number of stock options by the difference between the fair market value at the time of exercise and the exercise price of the stock options. Stock option awards do not accrue dividends or dividend equivalents.</w:t>
      </w:r>
    </w:p>
    <w:p>
      <w:pPr>
        <w:spacing w:after="0" w:line="9" w:lineRule="exact"/>
        <w:rPr>
          <w:rFonts w:ascii="Arial" w:cs="Arial" w:eastAsia="Arial" w:hAnsi="Arial"/>
          <w:sz w:val="13"/>
          <w:szCs w:val="13"/>
          <w:color w:val="auto"/>
        </w:rPr>
      </w:pPr>
    </w:p>
    <w:p>
      <w:pPr>
        <w:ind w:left="540" w:hanging="424"/>
        <w:spacing w:after="0"/>
        <w:tabs>
          <w:tab w:leader="none" w:pos="5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exercise price is the closing price of Chevron common stock on the grant date.</w:t>
      </w:r>
    </w:p>
    <w:p>
      <w:pPr>
        <w:spacing w:after="0" w:line="26" w:lineRule="exact"/>
        <w:rPr>
          <w:rFonts w:ascii="Arial" w:cs="Arial" w:eastAsia="Arial" w:hAnsi="Arial"/>
          <w:sz w:val="13"/>
          <w:szCs w:val="13"/>
          <w:color w:val="auto"/>
        </w:rPr>
      </w:pPr>
    </w:p>
    <w:p>
      <w:pPr>
        <w:ind w:left="540" w:hanging="424"/>
        <w:spacing w:after="0"/>
        <w:tabs>
          <w:tab w:leader="none" w:pos="54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We calculate the grant date fair value of each award in accordance with ASC Topic 718 and as described in footnotes 2 and 3 to the “Summary Compensation Table” in this Proxy Statement.</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65</w:t>
      </w:r>
    </w:p>
    <w:p>
      <w:pPr>
        <w:sectPr>
          <w:pgSz w:w="11900" w:h="16838" w:orient="portrait"/>
          <w:cols w:equalWidth="0" w:num="1">
            <w:col w:w="11140"/>
          </w:cols>
          <w:pgMar w:left="320" w:top="455" w:right="4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405890" cy="1454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405890" cy="145415"/>
                    </a:xfrm>
                    <a:prstGeom prst="rect">
                      <a:avLst/>
                    </a:prstGeom>
                    <a:noFill/>
                  </pic:spPr>
                </pic:pic>
              </a:graphicData>
            </a:graphic>
          </wp:anchor>
        </w:drawing>
      </w:r>
    </w:p>
    <w:p>
      <w:pPr>
        <w:spacing w:after="0" w:line="33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Executive compensation</w:t>
      </w:r>
    </w:p>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0B2D71"/>
        </w:rPr>
        <w:t>Outstanding equity awards at 2021 fiscal year-end</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information concerning the outstanding equity incentive awards at December 31, 2021, for each of our NEOs.</w:t>
      </w:r>
    </w:p>
    <w:p>
      <w:pPr>
        <w:spacing w:after="0" w:line="87" w:lineRule="exact"/>
        <w:rPr>
          <w:sz w:val="20"/>
          <w:szCs w:val="20"/>
          <w:color w:val="auto"/>
        </w:rPr>
      </w:pPr>
    </w:p>
    <w:tbl>
      <w:tblPr>
        <w:tblLayout w:type="fixed"/>
        <w:tblInd w:w="130" w:type="dxa"/>
        <w:tblCellMar>
          <w:top w:w="0" w:type="dxa"/>
          <w:left w:w="0" w:type="dxa"/>
          <w:bottom w:w="0" w:type="dxa"/>
          <w:right w:w="0" w:type="dxa"/>
        </w:tblCellMar>
      </w:tblPr>
      <w:tr>
        <w:trPr>
          <w:trHeight w:val="378"/>
        </w:trPr>
        <w:tc>
          <w:tcPr>
            <w:tcW w:w="1340" w:type="dxa"/>
            <w:vAlign w:val="bottom"/>
            <w:tcBorders>
              <w:left w:val="single" w:sz="8" w:color="7F7F7F"/>
            </w:tcBorders>
            <w:shd w:val="clear" w:color="auto" w:fill="0066B2"/>
          </w:tcPr>
          <w:p>
            <w:pPr>
              <w:spacing w:after="0"/>
              <w:rPr>
                <w:sz w:val="24"/>
                <w:szCs w:val="24"/>
                <w:color w:val="auto"/>
              </w:rPr>
            </w:pPr>
          </w:p>
        </w:tc>
        <w:tc>
          <w:tcPr>
            <w:tcW w:w="860" w:type="dxa"/>
            <w:vAlign w:val="bottom"/>
            <w:shd w:val="clear" w:color="auto" w:fill="0066B2"/>
          </w:tcPr>
          <w:p>
            <w:pPr>
              <w:spacing w:after="0"/>
              <w:rPr>
                <w:sz w:val="24"/>
                <w:szCs w:val="24"/>
                <w:color w:val="auto"/>
              </w:rPr>
            </w:pPr>
          </w:p>
        </w:tc>
        <w:tc>
          <w:tcPr>
            <w:tcW w:w="1060" w:type="dxa"/>
            <w:vAlign w:val="bottom"/>
            <w:shd w:val="clear" w:color="auto" w:fill="0066B2"/>
          </w:tcPr>
          <w:p>
            <w:pPr>
              <w:spacing w:after="0"/>
              <w:rPr>
                <w:sz w:val="24"/>
                <w:szCs w:val="24"/>
                <w:color w:val="auto"/>
              </w:rPr>
            </w:pPr>
          </w:p>
        </w:tc>
        <w:tc>
          <w:tcPr>
            <w:tcW w:w="1520" w:type="dxa"/>
            <w:vAlign w:val="bottom"/>
            <w:shd w:val="clear" w:color="auto" w:fill="0066B2"/>
          </w:tcPr>
          <w:p>
            <w:pPr>
              <w:jc w:val="right"/>
              <w:ind w:right="309"/>
              <w:spacing w:after="0"/>
              <w:rPr>
                <w:sz w:val="20"/>
                <w:szCs w:val="20"/>
                <w:color w:val="auto"/>
              </w:rPr>
            </w:pPr>
            <w:r>
              <w:rPr>
                <w:rFonts w:ascii="Arial" w:cs="Arial" w:eastAsia="Arial" w:hAnsi="Arial"/>
                <w:sz w:val="14"/>
                <w:szCs w:val="14"/>
                <w:b w:val="1"/>
                <w:bCs w:val="1"/>
                <w:color w:val="FFFFFF"/>
              </w:rPr>
              <w:t>Option awards</w:t>
            </w:r>
          </w:p>
        </w:tc>
        <w:tc>
          <w:tcPr>
            <w:tcW w:w="840" w:type="dxa"/>
            <w:vAlign w:val="bottom"/>
            <w:shd w:val="clear" w:color="auto" w:fill="0066B2"/>
          </w:tcPr>
          <w:p>
            <w:pPr>
              <w:spacing w:after="0"/>
              <w:rPr>
                <w:sz w:val="24"/>
                <w:szCs w:val="24"/>
                <w:color w:val="auto"/>
              </w:rPr>
            </w:pPr>
          </w:p>
        </w:tc>
        <w:tc>
          <w:tcPr>
            <w:tcW w:w="820" w:type="dxa"/>
            <w:vAlign w:val="bottom"/>
            <w:shd w:val="clear" w:color="auto" w:fill="0066B2"/>
          </w:tcPr>
          <w:p>
            <w:pPr>
              <w:spacing w:after="0"/>
              <w:rPr>
                <w:sz w:val="24"/>
                <w:szCs w:val="24"/>
                <w:color w:val="auto"/>
              </w:rPr>
            </w:pPr>
          </w:p>
        </w:tc>
        <w:tc>
          <w:tcPr>
            <w:tcW w:w="1040" w:type="dxa"/>
            <w:vAlign w:val="bottom"/>
            <w:shd w:val="clear" w:color="auto" w:fill="0066B2"/>
          </w:tcPr>
          <w:p>
            <w:pPr>
              <w:spacing w:after="0"/>
              <w:rPr>
                <w:sz w:val="24"/>
                <w:szCs w:val="24"/>
                <w:color w:val="auto"/>
              </w:rPr>
            </w:pPr>
          </w:p>
        </w:tc>
        <w:tc>
          <w:tcPr>
            <w:tcW w:w="2380" w:type="dxa"/>
            <w:vAlign w:val="bottom"/>
            <w:gridSpan w:val="2"/>
            <w:shd w:val="clear" w:color="auto" w:fill="0066B2"/>
          </w:tcPr>
          <w:p>
            <w:pPr>
              <w:jc w:val="right"/>
              <w:ind w:right="589"/>
              <w:spacing w:after="0"/>
              <w:rPr>
                <w:sz w:val="20"/>
                <w:szCs w:val="20"/>
                <w:color w:val="auto"/>
              </w:rPr>
            </w:pPr>
            <w:r>
              <w:rPr>
                <w:rFonts w:ascii="Arial" w:cs="Arial" w:eastAsia="Arial" w:hAnsi="Arial"/>
                <w:sz w:val="14"/>
                <w:szCs w:val="14"/>
                <w:b w:val="1"/>
                <w:bCs w:val="1"/>
                <w:color w:val="FFFFFF"/>
              </w:rPr>
              <w:t>Stock awards</w:t>
            </w:r>
          </w:p>
        </w:tc>
        <w:tc>
          <w:tcPr>
            <w:tcW w:w="300" w:type="dxa"/>
            <w:vAlign w:val="bottom"/>
            <w:shd w:val="clear" w:color="auto" w:fill="0066B2"/>
          </w:tcPr>
          <w:p>
            <w:pPr>
              <w:spacing w:after="0"/>
              <w:rPr>
                <w:sz w:val="24"/>
                <w:szCs w:val="24"/>
                <w:color w:val="auto"/>
              </w:rPr>
            </w:pPr>
          </w:p>
        </w:tc>
        <w:tc>
          <w:tcPr>
            <w:tcW w:w="880" w:type="dxa"/>
            <w:vAlign w:val="bottom"/>
            <w:tcBorders>
              <w:right w:val="single" w:sz="8" w:color="7F7F7F"/>
            </w:tcBorders>
            <w:vMerge w:val="restart"/>
            <w:shd w:val="clear" w:color="auto" w:fill="0066B2"/>
          </w:tcPr>
          <w:p>
            <w:pPr>
              <w:jc w:val="center"/>
              <w:ind w:right="88"/>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166"/>
        </w:trPr>
        <w:tc>
          <w:tcPr>
            <w:tcW w:w="1340" w:type="dxa"/>
            <w:vAlign w:val="bottom"/>
            <w:tcBorders>
              <w:left w:val="single" w:sz="8" w:color="7F7F7F"/>
            </w:tcBorders>
            <w:shd w:val="clear" w:color="auto" w:fill="0066B2"/>
          </w:tcPr>
          <w:p>
            <w:pPr>
              <w:spacing w:after="0"/>
              <w:rPr>
                <w:sz w:val="14"/>
                <w:szCs w:val="14"/>
                <w:color w:val="auto"/>
              </w:rPr>
            </w:pPr>
          </w:p>
        </w:tc>
        <w:tc>
          <w:tcPr>
            <w:tcW w:w="860" w:type="dxa"/>
            <w:vAlign w:val="bottom"/>
            <w:shd w:val="clear" w:color="auto" w:fill="0066B2"/>
          </w:tcPr>
          <w:p>
            <w:pPr>
              <w:spacing w:after="0"/>
              <w:rPr>
                <w:sz w:val="14"/>
                <w:szCs w:val="14"/>
                <w:color w:val="auto"/>
              </w:rPr>
            </w:pPr>
          </w:p>
        </w:tc>
        <w:tc>
          <w:tcPr>
            <w:tcW w:w="1060" w:type="dxa"/>
            <w:vAlign w:val="bottom"/>
            <w:shd w:val="clear" w:color="auto" w:fill="0066B2"/>
          </w:tcPr>
          <w:p>
            <w:pPr>
              <w:spacing w:after="0"/>
              <w:rPr>
                <w:sz w:val="14"/>
                <w:szCs w:val="14"/>
                <w:color w:val="auto"/>
              </w:rPr>
            </w:pPr>
          </w:p>
        </w:tc>
        <w:tc>
          <w:tcPr>
            <w:tcW w:w="1520" w:type="dxa"/>
            <w:vAlign w:val="bottom"/>
            <w:shd w:val="clear" w:color="auto" w:fill="0066B2"/>
          </w:tcPr>
          <w:p>
            <w:pPr>
              <w:spacing w:after="0"/>
              <w:rPr>
                <w:sz w:val="14"/>
                <w:szCs w:val="14"/>
                <w:color w:val="auto"/>
              </w:rPr>
            </w:pPr>
          </w:p>
        </w:tc>
        <w:tc>
          <w:tcPr>
            <w:tcW w:w="840" w:type="dxa"/>
            <w:vAlign w:val="bottom"/>
            <w:shd w:val="clear" w:color="auto" w:fill="0066B2"/>
          </w:tcPr>
          <w:p>
            <w:pPr>
              <w:spacing w:after="0"/>
              <w:rPr>
                <w:sz w:val="14"/>
                <w:szCs w:val="14"/>
                <w:color w:val="auto"/>
              </w:rPr>
            </w:pPr>
          </w:p>
        </w:tc>
        <w:tc>
          <w:tcPr>
            <w:tcW w:w="820" w:type="dxa"/>
            <w:vAlign w:val="bottom"/>
            <w:shd w:val="clear" w:color="auto" w:fill="0066B2"/>
          </w:tcPr>
          <w:p>
            <w:pPr>
              <w:spacing w:after="0"/>
              <w:rPr>
                <w:sz w:val="14"/>
                <w:szCs w:val="14"/>
                <w:color w:val="auto"/>
              </w:rPr>
            </w:pPr>
          </w:p>
        </w:tc>
        <w:tc>
          <w:tcPr>
            <w:tcW w:w="1040" w:type="dxa"/>
            <w:vAlign w:val="bottom"/>
            <w:shd w:val="clear" w:color="auto" w:fill="0066B2"/>
          </w:tcPr>
          <w:p>
            <w:pPr>
              <w:spacing w:after="0"/>
              <w:rPr>
                <w:sz w:val="14"/>
                <w:szCs w:val="14"/>
                <w:color w:val="auto"/>
              </w:rPr>
            </w:pPr>
          </w:p>
        </w:tc>
        <w:tc>
          <w:tcPr>
            <w:tcW w:w="1060" w:type="dxa"/>
            <w:vAlign w:val="bottom"/>
            <w:shd w:val="clear" w:color="auto" w:fill="0066B2"/>
          </w:tcPr>
          <w:p>
            <w:pPr>
              <w:spacing w:after="0"/>
              <w:rPr>
                <w:sz w:val="14"/>
                <w:szCs w:val="14"/>
                <w:color w:val="auto"/>
              </w:rPr>
            </w:pPr>
          </w:p>
        </w:tc>
        <w:tc>
          <w:tcPr>
            <w:tcW w:w="1320" w:type="dxa"/>
            <w:vAlign w:val="bottom"/>
            <w:shd w:val="clear" w:color="auto" w:fill="0066B2"/>
          </w:tcPr>
          <w:p>
            <w:pPr>
              <w:spacing w:after="0"/>
              <w:rPr>
                <w:sz w:val="14"/>
                <w:szCs w:val="14"/>
                <w:color w:val="auto"/>
              </w:rPr>
            </w:pPr>
          </w:p>
        </w:tc>
        <w:tc>
          <w:tcPr>
            <w:tcW w:w="300" w:type="dxa"/>
            <w:vAlign w:val="bottom"/>
            <w:shd w:val="clear" w:color="auto" w:fill="0066B2"/>
          </w:tcPr>
          <w:p>
            <w:pPr>
              <w:spacing w:after="0"/>
              <w:rPr>
                <w:sz w:val="14"/>
                <w:szCs w:val="14"/>
                <w:color w:val="auto"/>
              </w:rPr>
            </w:pPr>
          </w:p>
        </w:tc>
        <w:tc>
          <w:tcPr>
            <w:tcW w:w="880" w:type="dxa"/>
            <w:vAlign w:val="bottom"/>
            <w:tcBorders>
              <w:right w:val="single" w:sz="8" w:color="7F7F7F"/>
            </w:tcBorders>
            <w:vMerge w:val="continue"/>
            <w:shd w:val="clear" w:color="auto" w:fill="0066B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Borders>
              <w:left w:val="single" w:sz="8" w:color="7F7F7F"/>
            </w:tcBorders>
            <w:shd w:val="clear" w:color="auto" w:fill="0066B2"/>
          </w:tcPr>
          <w:p>
            <w:pPr>
              <w:spacing w:after="0"/>
              <w:rPr>
                <w:sz w:val="14"/>
                <w:szCs w:val="14"/>
                <w:color w:val="auto"/>
              </w:rPr>
            </w:pPr>
          </w:p>
        </w:tc>
        <w:tc>
          <w:tcPr>
            <w:tcW w:w="860" w:type="dxa"/>
            <w:vAlign w:val="bottom"/>
            <w:shd w:val="clear" w:color="auto" w:fill="0066B2"/>
          </w:tcPr>
          <w:p>
            <w:pPr>
              <w:spacing w:after="0"/>
              <w:rPr>
                <w:sz w:val="14"/>
                <w:szCs w:val="14"/>
                <w:color w:val="auto"/>
              </w:rPr>
            </w:pPr>
          </w:p>
        </w:tc>
        <w:tc>
          <w:tcPr>
            <w:tcW w:w="1060" w:type="dxa"/>
            <w:vAlign w:val="bottom"/>
            <w:shd w:val="clear" w:color="auto" w:fill="0066B2"/>
          </w:tcPr>
          <w:p>
            <w:pPr>
              <w:spacing w:after="0"/>
              <w:rPr>
                <w:sz w:val="14"/>
                <w:szCs w:val="14"/>
                <w:color w:val="auto"/>
              </w:rPr>
            </w:pPr>
          </w:p>
        </w:tc>
        <w:tc>
          <w:tcPr>
            <w:tcW w:w="1520" w:type="dxa"/>
            <w:vAlign w:val="bottom"/>
            <w:shd w:val="clear" w:color="auto" w:fill="0066B2"/>
          </w:tcPr>
          <w:p>
            <w:pPr>
              <w:spacing w:after="0"/>
              <w:rPr>
                <w:sz w:val="14"/>
                <w:szCs w:val="14"/>
                <w:color w:val="auto"/>
              </w:rPr>
            </w:pPr>
          </w:p>
        </w:tc>
        <w:tc>
          <w:tcPr>
            <w:tcW w:w="840" w:type="dxa"/>
            <w:vAlign w:val="bottom"/>
            <w:shd w:val="clear" w:color="auto" w:fill="0066B2"/>
          </w:tcPr>
          <w:p>
            <w:pPr>
              <w:spacing w:after="0"/>
              <w:rPr>
                <w:sz w:val="14"/>
                <w:szCs w:val="14"/>
                <w:color w:val="auto"/>
              </w:rPr>
            </w:pPr>
          </w:p>
        </w:tc>
        <w:tc>
          <w:tcPr>
            <w:tcW w:w="820" w:type="dxa"/>
            <w:vAlign w:val="bottom"/>
            <w:shd w:val="clear" w:color="auto" w:fill="0066B2"/>
          </w:tcPr>
          <w:p>
            <w:pPr>
              <w:spacing w:after="0"/>
              <w:rPr>
                <w:sz w:val="14"/>
                <w:szCs w:val="14"/>
                <w:color w:val="auto"/>
              </w:rPr>
            </w:pPr>
          </w:p>
        </w:tc>
        <w:tc>
          <w:tcPr>
            <w:tcW w:w="1040" w:type="dxa"/>
            <w:vAlign w:val="bottom"/>
            <w:shd w:val="clear" w:color="auto" w:fill="0066B2"/>
          </w:tcPr>
          <w:p>
            <w:pPr>
              <w:spacing w:after="0"/>
              <w:rPr>
                <w:sz w:val="14"/>
                <w:szCs w:val="14"/>
                <w:color w:val="auto"/>
              </w:rPr>
            </w:pPr>
          </w:p>
        </w:tc>
        <w:tc>
          <w:tcPr>
            <w:tcW w:w="1060" w:type="dxa"/>
            <w:vAlign w:val="bottom"/>
            <w:shd w:val="clear" w:color="auto" w:fill="0066B2"/>
          </w:tcPr>
          <w:p>
            <w:pPr>
              <w:spacing w:after="0"/>
              <w:rPr>
                <w:sz w:val="14"/>
                <w:szCs w:val="14"/>
                <w:color w:val="auto"/>
              </w:rPr>
            </w:pPr>
          </w:p>
        </w:tc>
        <w:tc>
          <w:tcPr>
            <w:tcW w:w="132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Equity</w:t>
            </w:r>
          </w:p>
        </w:tc>
        <w:tc>
          <w:tcPr>
            <w:tcW w:w="300" w:type="dxa"/>
            <w:vAlign w:val="bottom"/>
            <w:shd w:val="clear" w:color="auto" w:fill="0066B2"/>
          </w:tcPr>
          <w:p>
            <w:pPr>
              <w:spacing w:after="0"/>
              <w:rPr>
                <w:sz w:val="14"/>
                <w:szCs w:val="14"/>
                <w:color w:val="auto"/>
              </w:rPr>
            </w:pPr>
          </w:p>
        </w:tc>
        <w:tc>
          <w:tcPr>
            <w:tcW w:w="880" w:type="dxa"/>
            <w:vAlign w:val="bottom"/>
            <w:tcBorders>
              <w:right w:val="single" w:sz="8" w:color="7F7F7F"/>
            </w:tcBorders>
            <w:shd w:val="clear" w:color="auto" w:fill="0066B2"/>
          </w:tcPr>
          <w:p>
            <w:pPr>
              <w:jc w:val="center"/>
              <w:ind w:right="68"/>
              <w:spacing w:after="0"/>
              <w:rPr>
                <w:sz w:val="20"/>
                <w:szCs w:val="20"/>
                <w:color w:val="auto"/>
              </w:rPr>
            </w:pPr>
            <w:r>
              <w:rPr>
                <w:rFonts w:ascii="Arial" w:cs="Arial" w:eastAsia="Arial" w:hAnsi="Arial"/>
                <w:sz w:val="14"/>
                <w:szCs w:val="14"/>
                <w:b w:val="1"/>
                <w:bCs w:val="1"/>
                <w:color w:val="FFFFFF"/>
              </w:rPr>
              <w:t>incentive</w:t>
            </w:r>
          </w:p>
        </w:tc>
        <w:tc>
          <w:tcPr>
            <w:tcW w:w="0" w:type="dxa"/>
            <w:vAlign w:val="bottom"/>
          </w:tcPr>
          <w:p>
            <w:pPr>
              <w:spacing w:after="0"/>
              <w:rPr>
                <w:sz w:val="1"/>
                <w:szCs w:val="1"/>
                <w:color w:val="auto"/>
              </w:rPr>
            </w:pPr>
          </w:p>
        </w:tc>
      </w:tr>
      <w:tr>
        <w:trPr>
          <w:trHeight w:val="162"/>
        </w:trPr>
        <w:tc>
          <w:tcPr>
            <w:tcW w:w="1340" w:type="dxa"/>
            <w:vAlign w:val="bottom"/>
            <w:tcBorders>
              <w:left w:val="single" w:sz="8" w:color="7F7F7F"/>
            </w:tcBorders>
            <w:shd w:val="clear" w:color="auto" w:fill="0066B2"/>
          </w:tcPr>
          <w:p>
            <w:pPr>
              <w:spacing w:after="0"/>
              <w:rPr>
                <w:sz w:val="14"/>
                <w:szCs w:val="14"/>
                <w:color w:val="auto"/>
              </w:rPr>
            </w:pPr>
          </w:p>
        </w:tc>
        <w:tc>
          <w:tcPr>
            <w:tcW w:w="860" w:type="dxa"/>
            <w:vAlign w:val="bottom"/>
            <w:shd w:val="clear" w:color="auto" w:fill="0066B2"/>
          </w:tcPr>
          <w:p>
            <w:pPr>
              <w:spacing w:after="0"/>
              <w:rPr>
                <w:sz w:val="14"/>
                <w:szCs w:val="14"/>
                <w:color w:val="auto"/>
              </w:rPr>
            </w:pPr>
          </w:p>
        </w:tc>
        <w:tc>
          <w:tcPr>
            <w:tcW w:w="1060" w:type="dxa"/>
            <w:vAlign w:val="bottom"/>
            <w:shd w:val="clear" w:color="auto" w:fill="0066B2"/>
          </w:tcPr>
          <w:p>
            <w:pPr>
              <w:spacing w:after="0"/>
              <w:rPr>
                <w:sz w:val="14"/>
                <w:szCs w:val="14"/>
                <w:color w:val="auto"/>
              </w:rPr>
            </w:pPr>
          </w:p>
        </w:tc>
        <w:tc>
          <w:tcPr>
            <w:tcW w:w="1520" w:type="dxa"/>
            <w:vAlign w:val="bottom"/>
            <w:shd w:val="clear" w:color="auto" w:fill="0066B2"/>
          </w:tcPr>
          <w:p>
            <w:pPr>
              <w:spacing w:after="0"/>
              <w:rPr>
                <w:sz w:val="14"/>
                <w:szCs w:val="14"/>
                <w:color w:val="auto"/>
              </w:rPr>
            </w:pPr>
          </w:p>
        </w:tc>
        <w:tc>
          <w:tcPr>
            <w:tcW w:w="840" w:type="dxa"/>
            <w:vAlign w:val="bottom"/>
            <w:shd w:val="clear" w:color="auto" w:fill="0066B2"/>
          </w:tcPr>
          <w:p>
            <w:pPr>
              <w:spacing w:after="0"/>
              <w:rPr>
                <w:sz w:val="14"/>
                <w:szCs w:val="14"/>
                <w:color w:val="auto"/>
              </w:rPr>
            </w:pPr>
          </w:p>
        </w:tc>
        <w:tc>
          <w:tcPr>
            <w:tcW w:w="820" w:type="dxa"/>
            <w:vAlign w:val="bottom"/>
            <w:shd w:val="clear" w:color="auto" w:fill="0066B2"/>
          </w:tcPr>
          <w:p>
            <w:pPr>
              <w:spacing w:after="0"/>
              <w:rPr>
                <w:sz w:val="14"/>
                <w:szCs w:val="14"/>
                <w:color w:val="auto"/>
              </w:rPr>
            </w:pPr>
          </w:p>
        </w:tc>
        <w:tc>
          <w:tcPr>
            <w:tcW w:w="1040" w:type="dxa"/>
            <w:vAlign w:val="bottom"/>
            <w:shd w:val="clear" w:color="auto" w:fill="0066B2"/>
          </w:tcPr>
          <w:p>
            <w:pPr>
              <w:spacing w:after="0"/>
              <w:rPr>
                <w:sz w:val="14"/>
                <w:szCs w:val="14"/>
                <w:color w:val="auto"/>
              </w:rPr>
            </w:pPr>
          </w:p>
        </w:tc>
        <w:tc>
          <w:tcPr>
            <w:tcW w:w="1060" w:type="dxa"/>
            <w:vAlign w:val="bottom"/>
            <w:shd w:val="clear" w:color="auto" w:fill="0066B2"/>
          </w:tcPr>
          <w:p>
            <w:pPr>
              <w:spacing w:after="0"/>
              <w:rPr>
                <w:sz w:val="14"/>
                <w:szCs w:val="14"/>
                <w:color w:val="auto"/>
              </w:rPr>
            </w:pPr>
          </w:p>
        </w:tc>
        <w:tc>
          <w:tcPr>
            <w:tcW w:w="132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incentive</w:t>
            </w:r>
          </w:p>
        </w:tc>
        <w:tc>
          <w:tcPr>
            <w:tcW w:w="1180" w:type="dxa"/>
            <w:vAlign w:val="bottom"/>
            <w:tcBorders>
              <w:right w:val="single" w:sz="8" w:color="7F7F7F"/>
            </w:tcBorders>
            <w:gridSpan w:val="2"/>
            <w:shd w:val="clear" w:color="auto" w:fill="0066B2"/>
          </w:tcPr>
          <w:p>
            <w:pPr>
              <w:ind w:left="220"/>
              <w:spacing w:after="0"/>
              <w:rPr>
                <w:sz w:val="20"/>
                <w:szCs w:val="20"/>
                <w:color w:val="auto"/>
              </w:rPr>
            </w:pPr>
            <w:r>
              <w:rPr>
                <w:rFonts w:ascii="Arial" w:cs="Arial" w:eastAsia="Arial" w:hAnsi="Arial"/>
                <w:sz w:val="14"/>
                <w:szCs w:val="14"/>
                <w:b w:val="1"/>
                <w:bCs w:val="1"/>
                <w:color w:val="FFFFFF"/>
              </w:rPr>
              <w:t>plan awards:</w:t>
            </w:r>
          </w:p>
        </w:tc>
        <w:tc>
          <w:tcPr>
            <w:tcW w:w="0" w:type="dxa"/>
            <w:vAlign w:val="bottom"/>
          </w:tcPr>
          <w:p>
            <w:pPr>
              <w:spacing w:after="0"/>
              <w:rPr>
                <w:sz w:val="1"/>
                <w:szCs w:val="1"/>
                <w:color w:val="auto"/>
              </w:rPr>
            </w:pPr>
          </w:p>
        </w:tc>
      </w:tr>
      <w:tr>
        <w:trPr>
          <w:trHeight w:val="162"/>
        </w:trPr>
        <w:tc>
          <w:tcPr>
            <w:tcW w:w="1340" w:type="dxa"/>
            <w:vAlign w:val="bottom"/>
            <w:tcBorders>
              <w:left w:val="single" w:sz="8" w:color="7F7F7F"/>
            </w:tcBorders>
            <w:shd w:val="clear" w:color="auto" w:fill="0066B2"/>
          </w:tcPr>
          <w:p>
            <w:pPr>
              <w:spacing w:after="0"/>
              <w:rPr>
                <w:sz w:val="14"/>
                <w:szCs w:val="14"/>
                <w:color w:val="auto"/>
              </w:rPr>
            </w:pPr>
          </w:p>
        </w:tc>
        <w:tc>
          <w:tcPr>
            <w:tcW w:w="860" w:type="dxa"/>
            <w:vAlign w:val="bottom"/>
            <w:shd w:val="clear" w:color="auto" w:fill="0066B2"/>
          </w:tcPr>
          <w:p>
            <w:pPr>
              <w:spacing w:after="0"/>
              <w:rPr>
                <w:sz w:val="14"/>
                <w:szCs w:val="14"/>
                <w:color w:val="auto"/>
              </w:rPr>
            </w:pPr>
          </w:p>
        </w:tc>
        <w:tc>
          <w:tcPr>
            <w:tcW w:w="1060" w:type="dxa"/>
            <w:vAlign w:val="bottom"/>
            <w:shd w:val="clear" w:color="auto" w:fill="0066B2"/>
          </w:tcPr>
          <w:p>
            <w:pPr>
              <w:spacing w:after="0"/>
              <w:rPr>
                <w:sz w:val="14"/>
                <w:szCs w:val="14"/>
                <w:color w:val="auto"/>
              </w:rPr>
            </w:pPr>
          </w:p>
        </w:tc>
        <w:tc>
          <w:tcPr>
            <w:tcW w:w="1520" w:type="dxa"/>
            <w:vAlign w:val="bottom"/>
            <w:shd w:val="clear" w:color="auto" w:fill="0066B2"/>
          </w:tcPr>
          <w:p>
            <w:pPr>
              <w:spacing w:after="0"/>
              <w:rPr>
                <w:sz w:val="14"/>
                <w:szCs w:val="14"/>
                <w:color w:val="auto"/>
              </w:rPr>
            </w:pPr>
          </w:p>
        </w:tc>
        <w:tc>
          <w:tcPr>
            <w:tcW w:w="840" w:type="dxa"/>
            <w:vAlign w:val="bottom"/>
            <w:shd w:val="clear" w:color="auto" w:fill="0066B2"/>
          </w:tcPr>
          <w:p>
            <w:pPr>
              <w:spacing w:after="0"/>
              <w:rPr>
                <w:sz w:val="14"/>
                <w:szCs w:val="14"/>
                <w:color w:val="auto"/>
              </w:rPr>
            </w:pPr>
          </w:p>
        </w:tc>
        <w:tc>
          <w:tcPr>
            <w:tcW w:w="820" w:type="dxa"/>
            <w:vAlign w:val="bottom"/>
            <w:shd w:val="clear" w:color="auto" w:fill="0066B2"/>
          </w:tcPr>
          <w:p>
            <w:pPr>
              <w:spacing w:after="0"/>
              <w:rPr>
                <w:sz w:val="14"/>
                <w:szCs w:val="14"/>
                <w:color w:val="auto"/>
              </w:rPr>
            </w:pPr>
          </w:p>
        </w:tc>
        <w:tc>
          <w:tcPr>
            <w:tcW w:w="1040" w:type="dxa"/>
            <w:vAlign w:val="bottom"/>
            <w:shd w:val="clear" w:color="auto" w:fill="0066B2"/>
          </w:tcPr>
          <w:p>
            <w:pPr>
              <w:spacing w:after="0"/>
              <w:rPr>
                <w:sz w:val="14"/>
                <w:szCs w:val="14"/>
                <w:color w:val="auto"/>
              </w:rPr>
            </w:pPr>
          </w:p>
        </w:tc>
        <w:tc>
          <w:tcPr>
            <w:tcW w:w="1060" w:type="dxa"/>
            <w:vAlign w:val="bottom"/>
            <w:shd w:val="clear" w:color="auto" w:fill="0066B2"/>
          </w:tcPr>
          <w:p>
            <w:pPr>
              <w:jc w:val="center"/>
              <w:ind w:right="69"/>
              <w:spacing w:after="0"/>
              <w:rPr>
                <w:sz w:val="20"/>
                <w:szCs w:val="20"/>
                <w:color w:val="auto"/>
              </w:rPr>
            </w:pPr>
            <w:r>
              <w:rPr>
                <w:rFonts w:ascii="Arial" w:cs="Arial" w:eastAsia="Arial" w:hAnsi="Arial"/>
                <w:sz w:val="14"/>
                <w:szCs w:val="14"/>
                <w:b w:val="1"/>
                <w:bCs w:val="1"/>
                <w:color w:val="FFFFFF"/>
              </w:rPr>
              <w:t>Market</w:t>
            </w:r>
          </w:p>
        </w:tc>
        <w:tc>
          <w:tcPr>
            <w:tcW w:w="132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plan awards:</w:t>
            </w:r>
          </w:p>
        </w:tc>
        <w:tc>
          <w:tcPr>
            <w:tcW w:w="300" w:type="dxa"/>
            <w:vAlign w:val="bottom"/>
            <w:shd w:val="clear" w:color="auto" w:fill="0066B2"/>
          </w:tcPr>
          <w:p>
            <w:pPr>
              <w:spacing w:after="0"/>
              <w:rPr>
                <w:sz w:val="14"/>
                <w:szCs w:val="14"/>
                <w:color w:val="auto"/>
              </w:rPr>
            </w:pPr>
          </w:p>
        </w:tc>
        <w:tc>
          <w:tcPr>
            <w:tcW w:w="880" w:type="dxa"/>
            <w:vAlign w:val="bottom"/>
            <w:tcBorders>
              <w:right w:val="single" w:sz="8" w:color="7F7F7F"/>
            </w:tcBorders>
            <w:shd w:val="clear" w:color="auto" w:fill="0066B2"/>
          </w:tcPr>
          <w:p>
            <w:pPr>
              <w:jc w:val="center"/>
              <w:ind w:right="88"/>
              <w:spacing w:after="0"/>
              <w:rPr>
                <w:sz w:val="20"/>
                <w:szCs w:val="20"/>
                <w:color w:val="auto"/>
              </w:rPr>
            </w:pPr>
            <w:r>
              <w:rPr>
                <w:rFonts w:ascii="Arial" w:cs="Arial" w:eastAsia="Arial" w:hAnsi="Arial"/>
                <w:sz w:val="14"/>
                <w:szCs w:val="14"/>
                <w:b w:val="1"/>
                <w:bCs w:val="1"/>
                <w:color w:val="FFFFFF"/>
              </w:rPr>
              <w:t>Market or</w:t>
            </w:r>
          </w:p>
        </w:tc>
        <w:tc>
          <w:tcPr>
            <w:tcW w:w="0" w:type="dxa"/>
            <w:vAlign w:val="bottom"/>
          </w:tcPr>
          <w:p>
            <w:pPr>
              <w:spacing w:after="0"/>
              <w:rPr>
                <w:sz w:val="1"/>
                <w:szCs w:val="1"/>
                <w:color w:val="auto"/>
              </w:rPr>
            </w:pPr>
          </w:p>
        </w:tc>
      </w:tr>
      <w:tr>
        <w:trPr>
          <w:trHeight w:val="162"/>
        </w:trPr>
        <w:tc>
          <w:tcPr>
            <w:tcW w:w="1340" w:type="dxa"/>
            <w:vAlign w:val="bottom"/>
            <w:tcBorders>
              <w:left w:val="single" w:sz="8" w:color="7F7F7F"/>
            </w:tcBorders>
            <w:shd w:val="clear" w:color="auto" w:fill="0066B2"/>
          </w:tcPr>
          <w:p>
            <w:pPr>
              <w:spacing w:after="0"/>
              <w:rPr>
                <w:sz w:val="14"/>
                <w:szCs w:val="14"/>
                <w:color w:val="auto"/>
              </w:rPr>
            </w:pPr>
          </w:p>
        </w:tc>
        <w:tc>
          <w:tcPr>
            <w:tcW w:w="860" w:type="dxa"/>
            <w:vAlign w:val="bottom"/>
            <w:shd w:val="clear" w:color="auto" w:fill="0066B2"/>
          </w:tcPr>
          <w:p>
            <w:pPr>
              <w:spacing w:after="0"/>
              <w:rPr>
                <w:sz w:val="14"/>
                <w:szCs w:val="14"/>
                <w:color w:val="auto"/>
              </w:rPr>
            </w:pPr>
          </w:p>
        </w:tc>
        <w:tc>
          <w:tcPr>
            <w:tcW w:w="1060" w:type="dxa"/>
            <w:vAlign w:val="bottom"/>
            <w:shd w:val="clear" w:color="auto" w:fill="0066B2"/>
          </w:tcPr>
          <w:p>
            <w:pPr>
              <w:spacing w:after="0"/>
              <w:rPr>
                <w:sz w:val="14"/>
                <w:szCs w:val="14"/>
                <w:color w:val="auto"/>
              </w:rPr>
            </w:pPr>
          </w:p>
        </w:tc>
        <w:tc>
          <w:tcPr>
            <w:tcW w:w="1520" w:type="dxa"/>
            <w:vAlign w:val="bottom"/>
            <w:shd w:val="clear" w:color="auto" w:fill="0066B2"/>
          </w:tcPr>
          <w:p>
            <w:pPr>
              <w:spacing w:after="0"/>
              <w:rPr>
                <w:sz w:val="14"/>
                <w:szCs w:val="14"/>
                <w:color w:val="auto"/>
              </w:rPr>
            </w:pPr>
          </w:p>
        </w:tc>
        <w:tc>
          <w:tcPr>
            <w:tcW w:w="840" w:type="dxa"/>
            <w:vAlign w:val="bottom"/>
            <w:shd w:val="clear" w:color="auto" w:fill="0066B2"/>
          </w:tcPr>
          <w:p>
            <w:pPr>
              <w:spacing w:after="0"/>
              <w:rPr>
                <w:sz w:val="14"/>
                <w:szCs w:val="14"/>
                <w:color w:val="auto"/>
              </w:rPr>
            </w:pPr>
          </w:p>
        </w:tc>
        <w:tc>
          <w:tcPr>
            <w:tcW w:w="820" w:type="dxa"/>
            <w:vAlign w:val="bottom"/>
            <w:shd w:val="clear" w:color="auto" w:fill="0066B2"/>
          </w:tcPr>
          <w:p>
            <w:pPr>
              <w:spacing w:after="0"/>
              <w:rPr>
                <w:sz w:val="14"/>
                <w:szCs w:val="14"/>
                <w:color w:val="auto"/>
              </w:rPr>
            </w:pPr>
          </w:p>
        </w:tc>
        <w:tc>
          <w:tcPr>
            <w:tcW w:w="1040" w:type="dxa"/>
            <w:vAlign w:val="bottom"/>
            <w:shd w:val="clear" w:color="auto" w:fill="0066B2"/>
          </w:tcPr>
          <w:p>
            <w:pPr>
              <w:spacing w:after="0"/>
              <w:rPr>
                <w:sz w:val="14"/>
                <w:szCs w:val="14"/>
                <w:color w:val="auto"/>
              </w:rPr>
            </w:pPr>
          </w:p>
        </w:tc>
        <w:tc>
          <w:tcPr>
            <w:tcW w:w="1060" w:type="dxa"/>
            <w:vAlign w:val="bottom"/>
            <w:shd w:val="clear" w:color="auto" w:fill="0066B2"/>
          </w:tcPr>
          <w:p>
            <w:pPr>
              <w:jc w:val="center"/>
              <w:ind w:right="69"/>
              <w:spacing w:after="0"/>
              <w:rPr>
                <w:sz w:val="20"/>
                <w:szCs w:val="20"/>
                <w:color w:val="auto"/>
              </w:rPr>
            </w:pPr>
            <w:r>
              <w:rPr>
                <w:rFonts w:ascii="Arial" w:cs="Arial" w:eastAsia="Arial" w:hAnsi="Arial"/>
                <w:sz w:val="14"/>
                <w:szCs w:val="14"/>
                <w:b w:val="1"/>
                <w:bCs w:val="1"/>
                <w:color w:val="FFFFFF"/>
              </w:rPr>
              <w:t>value of</w:t>
            </w:r>
          </w:p>
        </w:tc>
        <w:tc>
          <w:tcPr>
            <w:tcW w:w="132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Number of</w:t>
            </w:r>
          </w:p>
        </w:tc>
        <w:tc>
          <w:tcPr>
            <w:tcW w:w="1180" w:type="dxa"/>
            <w:vAlign w:val="bottom"/>
            <w:tcBorders>
              <w:right w:val="single" w:sz="8" w:color="7F7F7F"/>
            </w:tcBorders>
            <w:gridSpan w:val="2"/>
            <w:shd w:val="clear" w:color="auto" w:fill="0066B2"/>
          </w:tcPr>
          <w:p>
            <w:pPr>
              <w:ind w:left="220"/>
              <w:spacing w:after="0"/>
              <w:rPr>
                <w:sz w:val="20"/>
                <w:szCs w:val="20"/>
                <w:color w:val="auto"/>
              </w:rPr>
            </w:pPr>
            <w:r>
              <w:rPr>
                <w:rFonts w:ascii="Arial" w:cs="Arial" w:eastAsia="Arial" w:hAnsi="Arial"/>
                <w:sz w:val="14"/>
                <w:szCs w:val="14"/>
                <w:b w:val="1"/>
                <w:bCs w:val="1"/>
                <w:color w:val="FFFFFF"/>
              </w:rPr>
              <w:t>payout value</w:t>
            </w:r>
          </w:p>
        </w:tc>
        <w:tc>
          <w:tcPr>
            <w:tcW w:w="0" w:type="dxa"/>
            <w:vAlign w:val="bottom"/>
          </w:tcPr>
          <w:p>
            <w:pPr>
              <w:spacing w:after="0"/>
              <w:rPr>
                <w:sz w:val="1"/>
                <w:szCs w:val="1"/>
                <w:color w:val="auto"/>
              </w:rPr>
            </w:pPr>
          </w:p>
        </w:tc>
      </w:tr>
      <w:tr>
        <w:trPr>
          <w:trHeight w:val="162"/>
        </w:trPr>
        <w:tc>
          <w:tcPr>
            <w:tcW w:w="1340" w:type="dxa"/>
            <w:vAlign w:val="bottom"/>
            <w:tcBorders>
              <w:left w:val="single" w:sz="8" w:color="7F7F7F"/>
            </w:tcBorders>
            <w:shd w:val="clear" w:color="auto" w:fill="0066B2"/>
          </w:tcPr>
          <w:p>
            <w:pPr>
              <w:spacing w:after="0"/>
              <w:rPr>
                <w:sz w:val="14"/>
                <w:szCs w:val="14"/>
                <w:color w:val="auto"/>
              </w:rPr>
            </w:pPr>
          </w:p>
        </w:tc>
        <w:tc>
          <w:tcPr>
            <w:tcW w:w="860" w:type="dxa"/>
            <w:vAlign w:val="bottom"/>
            <w:shd w:val="clear" w:color="auto" w:fill="0066B2"/>
          </w:tcPr>
          <w:p>
            <w:pPr>
              <w:spacing w:after="0"/>
              <w:rPr>
                <w:sz w:val="14"/>
                <w:szCs w:val="14"/>
                <w:color w:val="auto"/>
              </w:rPr>
            </w:pPr>
          </w:p>
        </w:tc>
        <w:tc>
          <w:tcPr>
            <w:tcW w:w="1060" w:type="dxa"/>
            <w:vAlign w:val="bottom"/>
            <w:shd w:val="clear" w:color="auto" w:fill="0066B2"/>
          </w:tcPr>
          <w:p>
            <w:pPr>
              <w:jc w:val="center"/>
              <w:ind w:right="28"/>
              <w:spacing w:after="0"/>
              <w:rPr>
                <w:sz w:val="20"/>
                <w:szCs w:val="20"/>
                <w:color w:val="auto"/>
              </w:rPr>
            </w:pPr>
            <w:r>
              <w:rPr>
                <w:rFonts w:ascii="Arial" w:cs="Arial" w:eastAsia="Arial" w:hAnsi="Arial"/>
                <w:sz w:val="14"/>
                <w:szCs w:val="14"/>
                <w:b w:val="1"/>
                <w:bCs w:val="1"/>
                <w:color w:val="FFFFFF"/>
              </w:rPr>
              <w:t>Number of</w:t>
            </w:r>
          </w:p>
        </w:tc>
        <w:tc>
          <w:tcPr>
            <w:tcW w:w="152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Number of</w:t>
            </w:r>
          </w:p>
        </w:tc>
        <w:tc>
          <w:tcPr>
            <w:tcW w:w="840" w:type="dxa"/>
            <w:vAlign w:val="bottom"/>
            <w:shd w:val="clear" w:color="auto" w:fill="0066B2"/>
          </w:tcPr>
          <w:p>
            <w:pPr>
              <w:spacing w:after="0"/>
              <w:rPr>
                <w:sz w:val="14"/>
                <w:szCs w:val="14"/>
                <w:color w:val="auto"/>
              </w:rPr>
            </w:pPr>
          </w:p>
        </w:tc>
        <w:tc>
          <w:tcPr>
            <w:tcW w:w="820" w:type="dxa"/>
            <w:vAlign w:val="bottom"/>
            <w:shd w:val="clear" w:color="auto" w:fill="0066B2"/>
          </w:tcPr>
          <w:p>
            <w:pPr>
              <w:spacing w:after="0"/>
              <w:rPr>
                <w:sz w:val="14"/>
                <w:szCs w:val="14"/>
                <w:color w:val="auto"/>
              </w:rPr>
            </w:pPr>
          </w:p>
        </w:tc>
        <w:tc>
          <w:tcPr>
            <w:tcW w:w="1040" w:type="dxa"/>
            <w:vAlign w:val="bottom"/>
            <w:vMerge w:val="restart"/>
            <w:shd w:val="clear" w:color="auto" w:fill="0066B2"/>
          </w:tcPr>
          <w:p>
            <w:pPr>
              <w:jc w:val="center"/>
              <w:spacing w:after="0"/>
              <w:rPr>
                <w:sz w:val="20"/>
                <w:szCs w:val="20"/>
                <w:color w:val="auto"/>
              </w:rPr>
            </w:pPr>
            <w:r>
              <w:rPr>
                <w:rFonts w:ascii="Arial" w:cs="Arial" w:eastAsia="Arial" w:hAnsi="Arial"/>
                <w:sz w:val="14"/>
                <w:szCs w:val="14"/>
                <w:b w:val="1"/>
                <w:bCs w:val="1"/>
                <w:color w:val="FFFFFF"/>
              </w:rPr>
              <w:t>Number</w:t>
            </w:r>
          </w:p>
        </w:tc>
        <w:tc>
          <w:tcPr>
            <w:tcW w:w="1060" w:type="dxa"/>
            <w:vAlign w:val="bottom"/>
            <w:shd w:val="clear" w:color="auto" w:fill="0066B2"/>
          </w:tcPr>
          <w:p>
            <w:pPr>
              <w:jc w:val="center"/>
              <w:ind w:right="69"/>
              <w:spacing w:after="0"/>
              <w:rPr>
                <w:sz w:val="20"/>
                <w:szCs w:val="20"/>
                <w:color w:val="auto"/>
              </w:rPr>
            </w:pPr>
            <w:r>
              <w:rPr>
                <w:rFonts w:ascii="Arial" w:cs="Arial" w:eastAsia="Arial" w:hAnsi="Arial"/>
                <w:sz w:val="14"/>
                <w:szCs w:val="14"/>
                <w:b w:val="1"/>
                <w:bCs w:val="1"/>
                <w:color w:val="FFFFFF"/>
              </w:rPr>
              <w:t>shares or</w:t>
            </w:r>
          </w:p>
        </w:tc>
        <w:tc>
          <w:tcPr>
            <w:tcW w:w="132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unearned</w:t>
            </w:r>
          </w:p>
        </w:tc>
        <w:tc>
          <w:tcPr>
            <w:tcW w:w="1180" w:type="dxa"/>
            <w:vAlign w:val="bottom"/>
            <w:tcBorders>
              <w:right w:val="single" w:sz="8" w:color="7F7F7F"/>
            </w:tcBorders>
            <w:gridSpan w:val="2"/>
            <w:shd w:val="clear" w:color="auto" w:fill="0066B2"/>
          </w:tcPr>
          <w:p>
            <w:pPr>
              <w:jc w:val="center"/>
              <w:ind w:left="89"/>
              <w:spacing w:after="0"/>
              <w:rPr>
                <w:sz w:val="20"/>
                <w:szCs w:val="20"/>
                <w:color w:val="auto"/>
              </w:rPr>
            </w:pPr>
            <w:r>
              <w:rPr>
                <w:rFonts w:ascii="Arial" w:cs="Arial" w:eastAsia="Arial" w:hAnsi="Arial"/>
                <w:sz w:val="14"/>
                <w:szCs w:val="14"/>
                <w:b w:val="1"/>
                <w:bCs w:val="1"/>
                <w:color w:val="FFFFFF"/>
              </w:rPr>
              <w:t>of unearned</w:t>
            </w:r>
          </w:p>
        </w:tc>
        <w:tc>
          <w:tcPr>
            <w:tcW w:w="0" w:type="dxa"/>
            <w:vAlign w:val="bottom"/>
          </w:tcPr>
          <w:p>
            <w:pPr>
              <w:spacing w:after="0"/>
              <w:rPr>
                <w:sz w:val="1"/>
                <w:szCs w:val="1"/>
                <w:color w:val="auto"/>
              </w:rPr>
            </w:pPr>
          </w:p>
        </w:tc>
      </w:tr>
      <w:tr>
        <w:trPr>
          <w:trHeight w:val="148"/>
        </w:trPr>
        <w:tc>
          <w:tcPr>
            <w:tcW w:w="1340" w:type="dxa"/>
            <w:vAlign w:val="bottom"/>
            <w:tcBorders>
              <w:left w:val="single" w:sz="8" w:color="7F7F7F"/>
            </w:tcBorders>
            <w:shd w:val="clear" w:color="auto" w:fill="0066B2"/>
          </w:tcPr>
          <w:p>
            <w:pPr>
              <w:spacing w:after="0"/>
              <w:rPr>
                <w:sz w:val="12"/>
                <w:szCs w:val="12"/>
                <w:color w:val="auto"/>
              </w:rPr>
            </w:pPr>
          </w:p>
        </w:tc>
        <w:tc>
          <w:tcPr>
            <w:tcW w:w="860" w:type="dxa"/>
            <w:vAlign w:val="bottom"/>
            <w:shd w:val="clear" w:color="auto" w:fill="0066B2"/>
          </w:tcPr>
          <w:p>
            <w:pPr>
              <w:spacing w:after="0"/>
              <w:rPr>
                <w:sz w:val="12"/>
                <w:szCs w:val="12"/>
                <w:color w:val="auto"/>
              </w:rPr>
            </w:pPr>
          </w:p>
        </w:tc>
        <w:tc>
          <w:tcPr>
            <w:tcW w:w="1060" w:type="dxa"/>
            <w:vAlign w:val="bottom"/>
            <w:shd w:val="clear" w:color="auto" w:fill="0066B2"/>
          </w:tcPr>
          <w:p>
            <w:pPr>
              <w:jc w:val="center"/>
              <w:ind w:right="28"/>
              <w:spacing w:after="0" w:line="149" w:lineRule="exact"/>
              <w:rPr>
                <w:sz w:val="20"/>
                <w:szCs w:val="20"/>
                <w:color w:val="auto"/>
              </w:rPr>
            </w:pPr>
            <w:r>
              <w:rPr>
                <w:rFonts w:ascii="Arial" w:cs="Arial" w:eastAsia="Arial" w:hAnsi="Arial"/>
                <w:sz w:val="14"/>
                <w:szCs w:val="14"/>
                <w:b w:val="1"/>
                <w:bCs w:val="1"/>
                <w:color w:val="FFFFFF"/>
              </w:rPr>
              <w:t>securities</w:t>
            </w:r>
          </w:p>
        </w:tc>
        <w:tc>
          <w:tcPr>
            <w:tcW w:w="1520" w:type="dxa"/>
            <w:vAlign w:val="bottom"/>
            <w:shd w:val="clear" w:color="auto" w:fill="0066B2"/>
          </w:tcPr>
          <w:p>
            <w:pPr>
              <w:jc w:val="center"/>
              <w:spacing w:after="0" w:line="149" w:lineRule="exact"/>
              <w:rPr>
                <w:sz w:val="20"/>
                <w:szCs w:val="20"/>
                <w:color w:val="auto"/>
              </w:rPr>
            </w:pPr>
            <w:r>
              <w:rPr>
                <w:rFonts w:ascii="Arial" w:cs="Arial" w:eastAsia="Arial" w:hAnsi="Arial"/>
                <w:sz w:val="14"/>
                <w:szCs w:val="14"/>
                <w:b w:val="1"/>
                <w:bCs w:val="1"/>
                <w:color w:val="FFFFFF"/>
              </w:rPr>
              <w:t>securities</w:t>
            </w:r>
          </w:p>
        </w:tc>
        <w:tc>
          <w:tcPr>
            <w:tcW w:w="840" w:type="dxa"/>
            <w:vAlign w:val="bottom"/>
            <w:shd w:val="clear" w:color="auto" w:fill="0066B2"/>
          </w:tcPr>
          <w:p>
            <w:pPr>
              <w:spacing w:after="0"/>
              <w:rPr>
                <w:sz w:val="12"/>
                <w:szCs w:val="12"/>
                <w:color w:val="auto"/>
              </w:rPr>
            </w:pPr>
          </w:p>
        </w:tc>
        <w:tc>
          <w:tcPr>
            <w:tcW w:w="820" w:type="dxa"/>
            <w:vAlign w:val="bottom"/>
            <w:shd w:val="clear" w:color="auto" w:fill="0066B2"/>
          </w:tcPr>
          <w:p>
            <w:pPr>
              <w:spacing w:after="0"/>
              <w:rPr>
                <w:sz w:val="12"/>
                <w:szCs w:val="12"/>
                <w:color w:val="auto"/>
              </w:rPr>
            </w:pPr>
          </w:p>
        </w:tc>
        <w:tc>
          <w:tcPr>
            <w:tcW w:w="1040" w:type="dxa"/>
            <w:vAlign w:val="bottom"/>
            <w:vMerge w:val="continue"/>
            <w:shd w:val="clear" w:color="auto" w:fill="0066B2"/>
          </w:tcPr>
          <w:p>
            <w:pPr>
              <w:spacing w:after="0"/>
              <w:rPr>
                <w:sz w:val="12"/>
                <w:szCs w:val="12"/>
                <w:color w:val="auto"/>
              </w:rPr>
            </w:pPr>
          </w:p>
        </w:tc>
        <w:tc>
          <w:tcPr>
            <w:tcW w:w="1060" w:type="dxa"/>
            <w:vAlign w:val="bottom"/>
            <w:shd w:val="clear" w:color="auto" w:fill="0066B2"/>
          </w:tcPr>
          <w:p>
            <w:pPr>
              <w:jc w:val="center"/>
              <w:ind w:right="69"/>
              <w:spacing w:after="0" w:line="149" w:lineRule="exact"/>
              <w:rPr>
                <w:sz w:val="20"/>
                <w:szCs w:val="20"/>
                <w:color w:val="auto"/>
              </w:rPr>
            </w:pPr>
            <w:r>
              <w:rPr>
                <w:rFonts w:ascii="Arial" w:cs="Arial" w:eastAsia="Arial" w:hAnsi="Arial"/>
                <w:sz w:val="14"/>
                <w:szCs w:val="14"/>
                <w:b w:val="1"/>
                <w:bCs w:val="1"/>
                <w:color w:val="FFFFFF"/>
              </w:rPr>
              <w:t>units of</w:t>
            </w:r>
          </w:p>
        </w:tc>
        <w:tc>
          <w:tcPr>
            <w:tcW w:w="1320" w:type="dxa"/>
            <w:vAlign w:val="bottom"/>
            <w:shd w:val="clear" w:color="auto" w:fill="0066B2"/>
          </w:tcPr>
          <w:p>
            <w:pPr>
              <w:jc w:val="center"/>
              <w:spacing w:after="0" w:line="149" w:lineRule="exact"/>
              <w:rPr>
                <w:sz w:val="20"/>
                <w:szCs w:val="20"/>
                <w:color w:val="auto"/>
              </w:rPr>
            </w:pPr>
            <w:r>
              <w:rPr>
                <w:rFonts w:ascii="Arial" w:cs="Arial" w:eastAsia="Arial" w:hAnsi="Arial"/>
                <w:sz w:val="14"/>
                <w:szCs w:val="14"/>
                <w:b w:val="1"/>
                <w:bCs w:val="1"/>
                <w:color w:val="FFFFFF"/>
              </w:rPr>
              <w:t>shares, units,</w:t>
            </w:r>
          </w:p>
        </w:tc>
        <w:tc>
          <w:tcPr>
            <w:tcW w:w="1180" w:type="dxa"/>
            <w:vAlign w:val="bottom"/>
            <w:tcBorders>
              <w:right w:val="single" w:sz="8" w:color="7F7F7F"/>
            </w:tcBorders>
            <w:gridSpan w:val="2"/>
            <w:shd w:val="clear" w:color="auto" w:fill="0066B2"/>
          </w:tcPr>
          <w:p>
            <w:pPr>
              <w:jc w:val="center"/>
              <w:ind w:left="69"/>
              <w:spacing w:after="0" w:line="149" w:lineRule="exact"/>
              <w:rPr>
                <w:sz w:val="20"/>
                <w:szCs w:val="20"/>
                <w:color w:val="auto"/>
              </w:rPr>
            </w:pPr>
            <w:r>
              <w:rPr>
                <w:rFonts w:ascii="Arial" w:cs="Arial" w:eastAsia="Arial" w:hAnsi="Arial"/>
                <w:sz w:val="14"/>
                <w:szCs w:val="14"/>
                <w:b w:val="1"/>
                <w:bCs w:val="1"/>
                <w:color w:val="FFFFFF"/>
              </w:rPr>
              <w:t>shares, units,</w:t>
            </w:r>
          </w:p>
        </w:tc>
        <w:tc>
          <w:tcPr>
            <w:tcW w:w="0" w:type="dxa"/>
            <w:vAlign w:val="bottom"/>
          </w:tcPr>
          <w:p>
            <w:pPr>
              <w:spacing w:after="0"/>
              <w:rPr>
                <w:sz w:val="1"/>
                <w:szCs w:val="1"/>
                <w:color w:val="auto"/>
              </w:rPr>
            </w:pPr>
          </w:p>
        </w:tc>
      </w:tr>
      <w:tr>
        <w:trPr>
          <w:trHeight w:val="162"/>
        </w:trPr>
        <w:tc>
          <w:tcPr>
            <w:tcW w:w="1340" w:type="dxa"/>
            <w:vAlign w:val="bottom"/>
            <w:tcBorders>
              <w:left w:val="single" w:sz="8" w:color="7F7F7F"/>
            </w:tcBorders>
            <w:shd w:val="clear" w:color="auto" w:fill="0066B2"/>
          </w:tcPr>
          <w:p>
            <w:pPr>
              <w:spacing w:after="0"/>
              <w:rPr>
                <w:sz w:val="14"/>
                <w:szCs w:val="14"/>
                <w:color w:val="auto"/>
              </w:rPr>
            </w:pPr>
          </w:p>
        </w:tc>
        <w:tc>
          <w:tcPr>
            <w:tcW w:w="860" w:type="dxa"/>
            <w:vAlign w:val="bottom"/>
            <w:shd w:val="clear" w:color="auto" w:fill="0066B2"/>
          </w:tcPr>
          <w:p>
            <w:pPr>
              <w:spacing w:after="0"/>
              <w:rPr>
                <w:sz w:val="14"/>
                <w:szCs w:val="14"/>
                <w:color w:val="auto"/>
              </w:rPr>
            </w:pPr>
          </w:p>
        </w:tc>
        <w:tc>
          <w:tcPr>
            <w:tcW w:w="1060" w:type="dxa"/>
            <w:vAlign w:val="bottom"/>
            <w:shd w:val="clear" w:color="auto" w:fill="0066B2"/>
          </w:tcPr>
          <w:p>
            <w:pPr>
              <w:jc w:val="center"/>
              <w:ind w:right="48"/>
              <w:spacing w:after="0"/>
              <w:rPr>
                <w:sz w:val="20"/>
                <w:szCs w:val="20"/>
                <w:color w:val="auto"/>
              </w:rPr>
            </w:pPr>
            <w:r>
              <w:rPr>
                <w:rFonts w:ascii="Arial" w:cs="Arial" w:eastAsia="Arial" w:hAnsi="Arial"/>
                <w:sz w:val="14"/>
                <w:szCs w:val="14"/>
                <w:b w:val="1"/>
                <w:bCs w:val="1"/>
                <w:color w:val="FFFFFF"/>
              </w:rPr>
              <w:t>underlying</w:t>
            </w:r>
          </w:p>
        </w:tc>
        <w:tc>
          <w:tcPr>
            <w:tcW w:w="152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underlying</w:t>
            </w:r>
          </w:p>
        </w:tc>
        <w:tc>
          <w:tcPr>
            <w:tcW w:w="840" w:type="dxa"/>
            <w:vAlign w:val="bottom"/>
            <w:shd w:val="clear" w:color="auto" w:fill="0066B2"/>
          </w:tcPr>
          <w:p>
            <w:pPr>
              <w:jc w:val="center"/>
              <w:ind w:left="48"/>
              <w:spacing w:after="0"/>
              <w:rPr>
                <w:sz w:val="20"/>
                <w:szCs w:val="20"/>
                <w:color w:val="auto"/>
              </w:rPr>
            </w:pPr>
            <w:r>
              <w:rPr>
                <w:rFonts w:ascii="Arial" w:cs="Arial" w:eastAsia="Arial" w:hAnsi="Arial"/>
                <w:sz w:val="14"/>
                <w:szCs w:val="14"/>
                <w:b w:val="1"/>
                <w:bCs w:val="1"/>
                <w:color w:val="FFFFFF"/>
              </w:rPr>
              <w:t>Option</w:t>
            </w:r>
          </w:p>
        </w:tc>
        <w:tc>
          <w:tcPr>
            <w:tcW w:w="820" w:type="dxa"/>
            <w:vAlign w:val="bottom"/>
            <w:shd w:val="clear" w:color="auto" w:fill="0066B2"/>
          </w:tcPr>
          <w:p>
            <w:pPr>
              <w:spacing w:after="0"/>
              <w:rPr>
                <w:sz w:val="14"/>
                <w:szCs w:val="14"/>
                <w:color w:val="auto"/>
              </w:rPr>
            </w:pPr>
          </w:p>
        </w:tc>
        <w:tc>
          <w:tcPr>
            <w:tcW w:w="104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of shares or</w:t>
            </w:r>
          </w:p>
        </w:tc>
        <w:tc>
          <w:tcPr>
            <w:tcW w:w="1060" w:type="dxa"/>
            <w:vAlign w:val="bottom"/>
            <w:shd w:val="clear" w:color="auto" w:fill="0066B2"/>
          </w:tcPr>
          <w:p>
            <w:pPr>
              <w:jc w:val="center"/>
              <w:ind w:right="69"/>
              <w:spacing w:after="0"/>
              <w:rPr>
                <w:sz w:val="20"/>
                <w:szCs w:val="20"/>
                <w:color w:val="auto"/>
              </w:rPr>
            </w:pPr>
            <w:r>
              <w:rPr>
                <w:rFonts w:ascii="Arial" w:cs="Arial" w:eastAsia="Arial" w:hAnsi="Arial"/>
                <w:sz w:val="14"/>
                <w:szCs w:val="14"/>
                <w:b w:val="1"/>
                <w:bCs w:val="1"/>
                <w:color w:val="FFFFFF"/>
              </w:rPr>
              <w:t>stock that</w:t>
            </w:r>
          </w:p>
        </w:tc>
        <w:tc>
          <w:tcPr>
            <w:tcW w:w="132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or other</w:t>
            </w:r>
          </w:p>
        </w:tc>
        <w:tc>
          <w:tcPr>
            <w:tcW w:w="300" w:type="dxa"/>
            <w:vAlign w:val="bottom"/>
            <w:shd w:val="clear" w:color="auto" w:fill="0066B2"/>
          </w:tcPr>
          <w:p>
            <w:pPr>
              <w:spacing w:after="0"/>
              <w:rPr>
                <w:sz w:val="14"/>
                <w:szCs w:val="14"/>
                <w:color w:val="auto"/>
              </w:rPr>
            </w:pPr>
          </w:p>
        </w:tc>
        <w:tc>
          <w:tcPr>
            <w:tcW w:w="880" w:type="dxa"/>
            <w:vAlign w:val="bottom"/>
            <w:tcBorders>
              <w:right w:val="single" w:sz="8" w:color="7F7F7F"/>
            </w:tcBorders>
            <w:shd w:val="clear" w:color="auto" w:fill="0066B2"/>
          </w:tcPr>
          <w:p>
            <w:pPr>
              <w:jc w:val="center"/>
              <w:ind w:right="68"/>
              <w:spacing w:after="0"/>
              <w:rPr>
                <w:sz w:val="20"/>
                <w:szCs w:val="20"/>
                <w:color w:val="auto"/>
              </w:rPr>
            </w:pPr>
            <w:r>
              <w:rPr>
                <w:rFonts w:ascii="Arial" w:cs="Arial" w:eastAsia="Arial" w:hAnsi="Arial"/>
                <w:sz w:val="14"/>
                <w:szCs w:val="14"/>
                <w:b w:val="1"/>
                <w:bCs w:val="1"/>
                <w:color w:val="FFFFFF"/>
              </w:rPr>
              <w:t>or other</w:t>
            </w:r>
          </w:p>
        </w:tc>
        <w:tc>
          <w:tcPr>
            <w:tcW w:w="0" w:type="dxa"/>
            <w:vAlign w:val="bottom"/>
          </w:tcPr>
          <w:p>
            <w:pPr>
              <w:spacing w:after="0"/>
              <w:rPr>
                <w:sz w:val="1"/>
                <w:szCs w:val="1"/>
                <w:color w:val="auto"/>
              </w:rPr>
            </w:pPr>
          </w:p>
        </w:tc>
      </w:tr>
      <w:tr>
        <w:trPr>
          <w:trHeight w:val="162"/>
        </w:trPr>
        <w:tc>
          <w:tcPr>
            <w:tcW w:w="1340" w:type="dxa"/>
            <w:vAlign w:val="bottom"/>
            <w:tcBorders>
              <w:left w:val="single" w:sz="8" w:color="7F7F7F"/>
            </w:tcBorders>
            <w:shd w:val="clear" w:color="auto" w:fill="0066B2"/>
          </w:tcPr>
          <w:p>
            <w:pPr>
              <w:spacing w:after="0"/>
              <w:rPr>
                <w:sz w:val="14"/>
                <w:szCs w:val="14"/>
                <w:color w:val="auto"/>
              </w:rPr>
            </w:pPr>
          </w:p>
        </w:tc>
        <w:tc>
          <w:tcPr>
            <w:tcW w:w="86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Grant</w:t>
            </w:r>
          </w:p>
        </w:tc>
        <w:tc>
          <w:tcPr>
            <w:tcW w:w="1060" w:type="dxa"/>
            <w:vAlign w:val="bottom"/>
            <w:shd w:val="clear" w:color="auto" w:fill="0066B2"/>
          </w:tcPr>
          <w:p>
            <w:pPr>
              <w:jc w:val="center"/>
              <w:ind w:right="28"/>
              <w:spacing w:after="0"/>
              <w:rPr>
                <w:sz w:val="20"/>
                <w:szCs w:val="20"/>
                <w:color w:val="auto"/>
              </w:rPr>
            </w:pPr>
            <w:r>
              <w:rPr>
                <w:rFonts w:ascii="Arial" w:cs="Arial" w:eastAsia="Arial" w:hAnsi="Arial"/>
                <w:sz w:val="14"/>
                <w:szCs w:val="14"/>
                <w:b w:val="1"/>
                <w:bCs w:val="1"/>
                <w:color w:val="FFFFFF"/>
              </w:rPr>
              <w:t>unexercised</w:t>
            </w:r>
          </w:p>
        </w:tc>
        <w:tc>
          <w:tcPr>
            <w:tcW w:w="152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unexercised</w:t>
            </w:r>
          </w:p>
        </w:tc>
        <w:tc>
          <w:tcPr>
            <w:tcW w:w="840" w:type="dxa"/>
            <w:vAlign w:val="bottom"/>
            <w:shd w:val="clear" w:color="auto" w:fill="0066B2"/>
          </w:tcPr>
          <w:p>
            <w:pPr>
              <w:jc w:val="center"/>
              <w:ind w:left="48"/>
              <w:spacing w:after="0"/>
              <w:rPr>
                <w:sz w:val="20"/>
                <w:szCs w:val="20"/>
                <w:color w:val="auto"/>
              </w:rPr>
            </w:pPr>
            <w:r>
              <w:rPr>
                <w:rFonts w:ascii="Arial" w:cs="Arial" w:eastAsia="Arial" w:hAnsi="Arial"/>
                <w:sz w:val="14"/>
                <w:szCs w:val="14"/>
                <w:b w:val="1"/>
                <w:bCs w:val="1"/>
                <w:color w:val="FFFFFF"/>
                <w:w w:val="99"/>
              </w:rPr>
              <w:t>exercise</w:t>
            </w:r>
          </w:p>
        </w:tc>
        <w:tc>
          <w:tcPr>
            <w:tcW w:w="82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Option</w:t>
            </w:r>
          </w:p>
        </w:tc>
        <w:tc>
          <w:tcPr>
            <w:tcW w:w="104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units of stock</w:t>
            </w:r>
          </w:p>
        </w:tc>
        <w:tc>
          <w:tcPr>
            <w:tcW w:w="1060" w:type="dxa"/>
            <w:vAlign w:val="bottom"/>
            <w:shd w:val="clear" w:color="auto" w:fill="0066B2"/>
          </w:tcPr>
          <w:p>
            <w:pPr>
              <w:jc w:val="center"/>
              <w:ind w:right="69"/>
              <w:spacing w:after="0"/>
              <w:rPr>
                <w:sz w:val="20"/>
                <w:szCs w:val="20"/>
                <w:color w:val="auto"/>
              </w:rPr>
            </w:pPr>
            <w:r>
              <w:rPr>
                <w:rFonts w:ascii="Arial" w:cs="Arial" w:eastAsia="Arial" w:hAnsi="Arial"/>
                <w:sz w:val="14"/>
                <w:szCs w:val="14"/>
                <w:b w:val="1"/>
                <w:bCs w:val="1"/>
                <w:color w:val="FFFFFF"/>
              </w:rPr>
              <w:t>have not</w:t>
            </w:r>
          </w:p>
        </w:tc>
        <w:tc>
          <w:tcPr>
            <w:tcW w:w="132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rights that</w:t>
            </w:r>
          </w:p>
        </w:tc>
        <w:tc>
          <w:tcPr>
            <w:tcW w:w="300" w:type="dxa"/>
            <w:vAlign w:val="bottom"/>
            <w:shd w:val="clear" w:color="auto" w:fill="0066B2"/>
          </w:tcPr>
          <w:p>
            <w:pPr>
              <w:spacing w:after="0"/>
              <w:rPr>
                <w:sz w:val="14"/>
                <w:szCs w:val="14"/>
                <w:color w:val="auto"/>
              </w:rPr>
            </w:pPr>
          </w:p>
        </w:tc>
        <w:tc>
          <w:tcPr>
            <w:tcW w:w="880" w:type="dxa"/>
            <w:vAlign w:val="bottom"/>
            <w:tcBorders>
              <w:right w:val="single" w:sz="8" w:color="7F7F7F"/>
            </w:tcBorders>
            <w:shd w:val="clear" w:color="auto" w:fill="0066B2"/>
          </w:tcPr>
          <w:p>
            <w:pPr>
              <w:jc w:val="center"/>
              <w:ind w:right="68"/>
              <w:spacing w:after="0"/>
              <w:rPr>
                <w:sz w:val="20"/>
                <w:szCs w:val="20"/>
                <w:color w:val="auto"/>
              </w:rPr>
            </w:pPr>
            <w:r>
              <w:rPr>
                <w:rFonts w:ascii="Arial" w:cs="Arial" w:eastAsia="Arial" w:hAnsi="Arial"/>
                <w:sz w:val="14"/>
                <w:szCs w:val="14"/>
                <w:b w:val="1"/>
                <w:bCs w:val="1"/>
                <w:color w:val="FFFFFF"/>
              </w:rPr>
              <w:t>rights that</w:t>
            </w:r>
          </w:p>
        </w:tc>
        <w:tc>
          <w:tcPr>
            <w:tcW w:w="0" w:type="dxa"/>
            <w:vAlign w:val="bottom"/>
          </w:tcPr>
          <w:p>
            <w:pPr>
              <w:spacing w:after="0"/>
              <w:rPr>
                <w:sz w:val="1"/>
                <w:szCs w:val="1"/>
                <w:color w:val="auto"/>
              </w:rPr>
            </w:pPr>
          </w:p>
        </w:tc>
      </w:tr>
      <w:tr>
        <w:trPr>
          <w:trHeight w:val="158"/>
        </w:trPr>
        <w:tc>
          <w:tcPr>
            <w:tcW w:w="1340" w:type="dxa"/>
            <w:vAlign w:val="bottom"/>
            <w:tcBorders>
              <w:left w:val="single" w:sz="8" w:color="7F7F7F"/>
            </w:tcBorders>
            <w:shd w:val="clear" w:color="auto" w:fill="0066B2"/>
          </w:tcPr>
          <w:p>
            <w:pPr>
              <w:spacing w:after="0"/>
              <w:rPr>
                <w:sz w:val="13"/>
                <w:szCs w:val="13"/>
                <w:color w:val="auto"/>
              </w:rPr>
            </w:pPr>
          </w:p>
        </w:tc>
        <w:tc>
          <w:tcPr>
            <w:tcW w:w="860" w:type="dxa"/>
            <w:vAlign w:val="bottom"/>
            <w:shd w:val="clear" w:color="auto" w:fill="0066B2"/>
          </w:tcPr>
          <w:p>
            <w:pPr>
              <w:jc w:val="center"/>
              <w:spacing w:after="0" w:line="158" w:lineRule="exact"/>
              <w:rPr>
                <w:sz w:val="20"/>
                <w:szCs w:val="20"/>
                <w:color w:val="auto"/>
              </w:rPr>
            </w:pPr>
            <w:r>
              <w:rPr>
                <w:rFonts w:ascii="Arial" w:cs="Arial" w:eastAsia="Arial" w:hAnsi="Arial"/>
                <w:sz w:val="14"/>
                <w:szCs w:val="14"/>
                <w:b w:val="1"/>
                <w:bCs w:val="1"/>
                <w:color w:val="FFFFFF"/>
              </w:rPr>
              <w:t>date of</w:t>
            </w:r>
          </w:p>
        </w:tc>
        <w:tc>
          <w:tcPr>
            <w:tcW w:w="1060" w:type="dxa"/>
            <w:vAlign w:val="bottom"/>
            <w:shd w:val="clear" w:color="auto" w:fill="0066B2"/>
          </w:tcPr>
          <w:p>
            <w:pPr>
              <w:jc w:val="center"/>
              <w:ind w:right="48"/>
              <w:spacing w:after="0" w:line="158" w:lineRule="exact"/>
              <w:rPr>
                <w:sz w:val="20"/>
                <w:szCs w:val="20"/>
                <w:color w:val="auto"/>
              </w:rPr>
            </w:pPr>
            <w:r>
              <w:rPr>
                <w:rFonts w:ascii="Arial" w:cs="Arial" w:eastAsia="Arial" w:hAnsi="Arial"/>
                <w:sz w:val="14"/>
                <w:szCs w:val="14"/>
                <w:b w:val="1"/>
                <w:bCs w:val="1"/>
                <w:color w:val="FFFFFF"/>
              </w:rPr>
              <w:t>options (#)</w:t>
            </w:r>
          </w:p>
        </w:tc>
        <w:tc>
          <w:tcPr>
            <w:tcW w:w="1520" w:type="dxa"/>
            <w:vAlign w:val="bottom"/>
            <w:shd w:val="clear" w:color="auto" w:fill="0066B2"/>
          </w:tcPr>
          <w:p>
            <w:pPr>
              <w:jc w:val="center"/>
              <w:spacing w:after="0" w:line="158" w:lineRule="exact"/>
              <w:rPr>
                <w:sz w:val="20"/>
                <w:szCs w:val="20"/>
                <w:color w:val="auto"/>
              </w:rPr>
            </w:pPr>
            <w:r>
              <w:rPr>
                <w:rFonts w:ascii="Arial" w:cs="Arial" w:eastAsia="Arial" w:hAnsi="Arial"/>
                <w:sz w:val="14"/>
                <w:szCs w:val="14"/>
                <w:b w:val="1"/>
                <w:bCs w:val="1"/>
                <w:color w:val="FFFFFF"/>
              </w:rPr>
              <w:t>options (#)</w:t>
            </w:r>
          </w:p>
        </w:tc>
        <w:tc>
          <w:tcPr>
            <w:tcW w:w="840" w:type="dxa"/>
            <w:vAlign w:val="bottom"/>
            <w:shd w:val="clear" w:color="auto" w:fill="0066B2"/>
          </w:tcPr>
          <w:p>
            <w:pPr>
              <w:jc w:val="center"/>
              <w:ind w:left="48"/>
              <w:spacing w:after="0" w:line="158" w:lineRule="exact"/>
              <w:rPr>
                <w:sz w:val="20"/>
                <w:szCs w:val="20"/>
                <w:color w:val="auto"/>
              </w:rPr>
            </w:pPr>
            <w:r>
              <w:rPr>
                <w:rFonts w:ascii="Arial" w:cs="Arial" w:eastAsia="Arial" w:hAnsi="Arial"/>
                <w:sz w:val="14"/>
                <w:szCs w:val="14"/>
                <w:b w:val="1"/>
                <w:bCs w:val="1"/>
                <w:color w:val="FFFFFF"/>
              </w:rPr>
              <w:t>price</w:t>
            </w:r>
          </w:p>
        </w:tc>
        <w:tc>
          <w:tcPr>
            <w:tcW w:w="820" w:type="dxa"/>
            <w:vAlign w:val="bottom"/>
            <w:shd w:val="clear" w:color="auto" w:fill="0066B2"/>
          </w:tcPr>
          <w:p>
            <w:pPr>
              <w:jc w:val="center"/>
              <w:spacing w:after="0" w:line="158" w:lineRule="exact"/>
              <w:rPr>
                <w:sz w:val="20"/>
                <w:szCs w:val="20"/>
                <w:color w:val="auto"/>
              </w:rPr>
            </w:pPr>
            <w:r>
              <w:rPr>
                <w:rFonts w:ascii="Arial" w:cs="Arial" w:eastAsia="Arial" w:hAnsi="Arial"/>
                <w:sz w:val="14"/>
                <w:szCs w:val="14"/>
                <w:b w:val="1"/>
                <w:bCs w:val="1"/>
                <w:color w:val="FFFFFF"/>
              </w:rPr>
              <w:t>expiration</w:t>
            </w:r>
          </w:p>
        </w:tc>
        <w:tc>
          <w:tcPr>
            <w:tcW w:w="1040" w:type="dxa"/>
            <w:vAlign w:val="bottom"/>
            <w:shd w:val="clear" w:color="auto" w:fill="0066B2"/>
          </w:tcPr>
          <w:p>
            <w:pPr>
              <w:jc w:val="center"/>
              <w:spacing w:after="0" w:line="158" w:lineRule="exact"/>
              <w:rPr>
                <w:sz w:val="20"/>
                <w:szCs w:val="20"/>
                <w:color w:val="auto"/>
              </w:rPr>
            </w:pPr>
            <w:r>
              <w:rPr>
                <w:rFonts w:ascii="Arial" w:cs="Arial" w:eastAsia="Arial" w:hAnsi="Arial"/>
                <w:sz w:val="14"/>
                <w:szCs w:val="14"/>
                <w:b w:val="1"/>
                <w:bCs w:val="1"/>
                <w:color w:val="FFFFFF"/>
              </w:rPr>
              <w:t>that have not</w:t>
            </w:r>
          </w:p>
        </w:tc>
        <w:tc>
          <w:tcPr>
            <w:tcW w:w="1060" w:type="dxa"/>
            <w:vAlign w:val="bottom"/>
            <w:shd w:val="clear" w:color="auto" w:fill="0066B2"/>
          </w:tcPr>
          <w:p>
            <w:pPr>
              <w:jc w:val="center"/>
              <w:ind w:right="69"/>
              <w:spacing w:after="0" w:line="158" w:lineRule="exact"/>
              <w:rPr>
                <w:sz w:val="20"/>
                <w:szCs w:val="20"/>
                <w:color w:val="auto"/>
              </w:rPr>
            </w:pPr>
            <w:r>
              <w:rPr>
                <w:rFonts w:ascii="Arial" w:cs="Arial" w:eastAsia="Arial" w:hAnsi="Arial"/>
                <w:sz w:val="14"/>
                <w:szCs w:val="14"/>
                <w:b w:val="1"/>
                <w:bCs w:val="1"/>
                <w:color w:val="FFFFFF"/>
                <w:w w:val="99"/>
              </w:rPr>
              <w:t>vested</w:t>
            </w:r>
          </w:p>
        </w:tc>
        <w:tc>
          <w:tcPr>
            <w:tcW w:w="1320" w:type="dxa"/>
            <w:vAlign w:val="bottom"/>
            <w:shd w:val="clear" w:color="auto" w:fill="0066B2"/>
          </w:tcPr>
          <w:p>
            <w:pPr>
              <w:jc w:val="center"/>
              <w:spacing w:after="0" w:line="158" w:lineRule="exact"/>
              <w:rPr>
                <w:sz w:val="20"/>
                <w:szCs w:val="20"/>
                <w:color w:val="auto"/>
              </w:rPr>
            </w:pPr>
            <w:r>
              <w:rPr>
                <w:rFonts w:ascii="Arial" w:cs="Arial" w:eastAsia="Arial" w:hAnsi="Arial"/>
                <w:sz w:val="14"/>
                <w:szCs w:val="14"/>
                <w:b w:val="1"/>
                <w:bCs w:val="1"/>
                <w:color w:val="FFFFFF"/>
              </w:rPr>
              <w:t>have not</w:t>
            </w:r>
          </w:p>
        </w:tc>
        <w:tc>
          <w:tcPr>
            <w:tcW w:w="300" w:type="dxa"/>
            <w:vAlign w:val="bottom"/>
            <w:shd w:val="clear" w:color="auto" w:fill="0066B2"/>
          </w:tcPr>
          <w:p>
            <w:pPr>
              <w:spacing w:after="0"/>
              <w:rPr>
                <w:sz w:val="13"/>
                <w:szCs w:val="13"/>
                <w:color w:val="auto"/>
              </w:rPr>
            </w:pPr>
          </w:p>
        </w:tc>
        <w:tc>
          <w:tcPr>
            <w:tcW w:w="880" w:type="dxa"/>
            <w:vAlign w:val="bottom"/>
            <w:tcBorders>
              <w:right w:val="single" w:sz="8" w:color="7F7F7F"/>
            </w:tcBorders>
            <w:shd w:val="clear" w:color="auto" w:fill="0066B2"/>
          </w:tcPr>
          <w:p>
            <w:pPr>
              <w:jc w:val="center"/>
              <w:ind w:right="68"/>
              <w:spacing w:after="0" w:line="158" w:lineRule="exact"/>
              <w:rPr>
                <w:sz w:val="20"/>
                <w:szCs w:val="20"/>
                <w:color w:val="auto"/>
              </w:rPr>
            </w:pPr>
            <w:r>
              <w:rPr>
                <w:rFonts w:ascii="Arial" w:cs="Arial" w:eastAsia="Arial" w:hAnsi="Arial"/>
                <w:sz w:val="14"/>
                <w:szCs w:val="14"/>
                <w:b w:val="1"/>
                <w:bCs w:val="1"/>
                <w:color w:val="FFFFFF"/>
              </w:rPr>
              <w:t>have not</w:t>
            </w:r>
          </w:p>
        </w:tc>
        <w:tc>
          <w:tcPr>
            <w:tcW w:w="0" w:type="dxa"/>
            <w:vAlign w:val="bottom"/>
          </w:tcPr>
          <w:p>
            <w:pPr>
              <w:spacing w:after="0"/>
              <w:rPr>
                <w:sz w:val="1"/>
                <w:szCs w:val="1"/>
                <w:color w:val="auto"/>
              </w:rPr>
            </w:pPr>
          </w:p>
        </w:tc>
      </w:tr>
      <w:tr>
        <w:trPr>
          <w:trHeight w:val="189"/>
        </w:trPr>
        <w:tc>
          <w:tcPr>
            <w:tcW w:w="1340" w:type="dxa"/>
            <w:vAlign w:val="bottom"/>
            <w:tcBorders>
              <w:left w:val="single" w:sz="8" w:color="7F7F7F"/>
            </w:tcBorders>
            <w:shd w:val="clear" w:color="auto" w:fill="0066B2"/>
          </w:tcPr>
          <w:p>
            <w:pPr>
              <w:ind w:left="160"/>
              <w:spacing w:after="0" w:line="189" w:lineRule="exact"/>
              <w:rPr>
                <w:sz w:val="20"/>
                <w:szCs w:val="20"/>
                <w:color w:val="auto"/>
              </w:rPr>
            </w:pPr>
            <w:r>
              <w:rPr>
                <w:rFonts w:ascii="Arial" w:cs="Arial" w:eastAsia="Arial" w:hAnsi="Arial"/>
                <w:sz w:val="13"/>
                <w:szCs w:val="13"/>
                <w:b w:val="1"/>
                <w:bCs w:val="1"/>
                <w:color w:val="FFFFFF"/>
              </w:rPr>
              <w:t>Name</w:t>
            </w:r>
            <w:r>
              <w:rPr>
                <w:rFonts w:ascii="Arial" w:cs="Arial" w:eastAsia="Arial" w:hAnsi="Arial"/>
                <w:sz w:val="21"/>
                <w:szCs w:val="21"/>
                <w:b w:val="1"/>
                <w:bCs w:val="1"/>
                <w:color w:val="FFFFFF"/>
                <w:vertAlign w:val="superscript"/>
              </w:rPr>
              <w:t>(1)</w:t>
            </w:r>
          </w:p>
        </w:tc>
        <w:tc>
          <w:tcPr>
            <w:tcW w:w="86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awards</w:t>
            </w:r>
          </w:p>
        </w:tc>
        <w:tc>
          <w:tcPr>
            <w:tcW w:w="1060" w:type="dxa"/>
            <w:vAlign w:val="bottom"/>
            <w:shd w:val="clear" w:color="auto" w:fill="0066B2"/>
          </w:tcPr>
          <w:p>
            <w:pPr>
              <w:jc w:val="center"/>
              <w:ind w:right="48"/>
              <w:spacing w:after="0"/>
              <w:rPr>
                <w:sz w:val="20"/>
                <w:szCs w:val="20"/>
                <w:color w:val="auto"/>
              </w:rPr>
            </w:pPr>
            <w:r>
              <w:rPr>
                <w:rFonts w:ascii="Arial" w:cs="Arial" w:eastAsia="Arial" w:hAnsi="Arial"/>
                <w:sz w:val="14"/>
                <w:szCs w:val="14"/>
                <w:b w:val="1"/>
                <w:bCs w:val="1"/>
                <w:color w:val="FFFFFF"/>
              </w:rPr>
              <w:t>exercisable</w:t>
            </w:r>
          </w:p>
        </w:tc>
        <w:tc>
          <w:tcPr>
            <w:tcW w:w="1520" w:type="dxa"/>
            <w:vAlign w:val="bottom"/>
            <w:shd w:val="clear" w:color="auto" w:fill="0066B2"/>
          </w:tcPr>
          <w:p>
            <w:pPr>
              <w:jc w:val="center"/>
              <w:spacing w:after="0" w:line="189" w:lineRule="exact"/>
              <w:rPr>
                <w:sz w:val="20"/>
                <w:szCs w:val="20"/>
                <w:color w:val="auto"/>
              </w:rPr>
            </w:pPr>
            <w:r>
              <w:rPr>
                <w:rFonts w:ascii="Arial" w:cs="Arial" w:eastAsia="Arial" w:hAnsi="Arial"/>
                <w:sz w:val="13"/>
                <w:szCs w:val="13"/>
                <w:b w:val="1"/>
                <w:bCs w:val="1"/>
                <w:color w:val="FFFFFF"/>
              </w:rPr>
              <w:t>unexercisable</w:t>
            </w:r>
            <w:r>
              <w:rPr>
                <w:rFonts w:ascii="Arial" w:cs="Arial" w:eastAsia="Arial" w:hAnsi="Arial"/>
                <w:sz w:val="21"/>
                <w:szCs w:val="21"/>
                <w:b w:val="1"/>
                <w:bCs w:val="1"/>
                <w:color w:val="FFFFFF"/>
                <w:vertAlign w:val="superscript"/>
              </w:rPr>
              <w:t>(2)</w:t>
            </w:r>
          </w:p>
        </w:tc>
        <w:tc>
          <w:tcPr>
            <w:tcW w:w="840" w:type="dxa"/>
            <w:vAlign w:val="bottom"/>
            <w:shd w:val="clear" w:color="auto" w:fill="0066B2"/>
          </w:tcPr>
          <w:p>
            <w:pPr>
              <w:jc w:val="center"/>
              <w:ind w:left="48"/>
              <w:spacing w:after="0"/>
              <w:rPr>
                <w:sz w:val="20"/>
                <w:szCs w:val="20"/>
                <w:color w:val="auto"/>
              </w:rPr>
            </w:pPr>
            <w:r>
              <w:rPr>
                <w:rFonts w:ascii="Arial" w:cs="Arial" w:eastAsia="Arial" w:hAnsi="Arial"/>
                <w:sz w:val="14"/>
                <w:szCs w:val="14"/>
                <w:b w:val="1"/>
                <w:bCs w:val="1"/>
                <w:color w:val="FFFFFF"/>
                <w:w w:val="93"/>
              </w:rPr>
              <w:t>($)</w:t>
            </w:r>
          </w:p>
        </w:tc>
        <w:tc>
          <w:tcPr>
            <w:tcW w:w="82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date</w:t>
            </w:r>
          </w:p>
        </w:tc>
        <w:tc>
          <w:tcPr>
            <w:tcW w:w="1040" w:type="dxa"/>
            <w:vAlign w:val="bottom"/>
            <w:shd w:val="clear" w:color="auto" w:fill="0066B2"/>
          </w:tcPr>
          <w:p>
            <w:pPr>
              <w:jc w:val="center"/>
              <w:spacing w:after="0" w:line="189" w:lineRule="exact"/>
              <w:rPr>
                <w:sz w:val="20"/>
                <w:szCs w:val="20"/>
                <w:color w:val="auto"/>
              </w:rPr>
            </w:pPr>
            <w:r>
              <w:rPr>
                <w:rFonts w:ascii="Arial" w:cs="Arial" w:eastAsia="Arial" w:hAnsi="Arial"/>
                <w:sz w:val="13"/>
                <w:szCs w:val="13"/>
                <w:b w:val="1"/>
                <w:bCs w:val="1"/>
                <w:color w:val="FFFFFF"/>
              </w:rPr>
              <w:t>vested (#)</w:t>
            </w:r>
            <w:r>
              <w:rPr>
                <w:rFonts w:ascii="Arial" w:cs="Arial" w:eastAsia="Arial" w:hAnsi="Arial"/>
                <w:sz w:val="21"/>
                <w:szCs w:val="21"/>
                <w:b w:val="1"/>
                <w:bCs w:val="1"/>
                <w:color w:val="FFFFFF"/>
                <w:vertAlign w:val="superscript"/>
              </w:rPr>
              <w:t>(3)</w:t>
            </w:r>
          </w:p>
        </w:tc>
        <w:tc>
          <w:tcPr>
            <w:tcW w:w="1060" w:type="dxa"/>
            <w:vAlign w:val="bottom"/>
            <w:shd w:val="clear" w:color="auto" w:fill="0066B2"/>
          </w:tcPr>
          <w:p>
            <w:pPr>
              <w:jc w:val="center"/>
              <w:ind w:right="69"/>
              <w:spacing w:after="0" w:line="189" w:lineRule="exact"/>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10"/>
                <w:szCs w:val="10"/>
                <w:b w:val="1"/>
                <w:bCs w:val="1"/>
                <w:color w:val="FFFFFF"/>
              </w:rPr>
              <w:t>(4)</w:t>
            </w:r>
          </w:p>
        </w:tc>
        <w:tc>
          <w:tcPr>
            <w:tcW w:w="1320" w:type="dxa"/>
            <w:vAlign w:val="bottom"/>
            <w:shd w:val="clear" w:color="auto" w:fill="0066B2"/>
          </w:tcPr>
          <w:p>
            <w:pPr>
              <w:jc w:val="center"/>
              <w:spacing w:after="0" w:line="189" w:lineRule="exact"/>
              <w:rPr>
                <w:sz w:val="20"/>
                <w:szCs w:val="20"/>
                <w:color w:val="auto"/>
              </w:rPr>
            </w:pPr>
            <w:r>
              <w:rPr>
                <w:rFonts w:ascii="Arial" w:cs="Arial" w:eastAsia="Arial" w:hAnsi="Arial"/>
                <w:sz w:val="13"/>
                <w:szCs w:val="13"/>
                <w:b w:val="1"/>
                <w:bCs w:val="1"/>
                <w:color w:val="FFFFFF"/>
              </w:rPr>
              <w:t>vested (#)</w:t>
            </w:r>
            <w:r>
              <w:rPr>
                <w:rFonts w:ascii="Arial" w:cs="Arial" w:eastAsia="Arial" w:hAnsi="Arial"/>
                <w:sz w:val="21"/>
                <w:szCs w:val="21"/>
                <w:b w:val="1"/>
                <w:bCs w:val="1"/>
                <w:color w:val="FFFFFF"/>
                <w:vertAlign w:val="superscript"/>
              </w:rPr>
              <w:t>(5)</w:t>
            </w:r>
          </w:p>
        </w:tc>
        <w:tc>
          <w:tcPr>
            <w:tcW w:w="1180" w:type="dxa"/>
            <w:vAlign w:val="bottom"/>
            <w:tcBorders>
              <w:right w:val="single" w:sz="8" w:color="7F7F7F"/>
            </w:tcBorders>
            <w:gridSpan w:val="2"/>
            <w:shd w:val="clear" w:color="auto" w:fill="0066B2"/>
          </w:tcPr>
          <w:p>
            <w:pPr>
              <w:jc w:val="center"/>
              <w:ind w:left="89"/>
              <w:spacing w:after="0" w:line="189" w:lineRule="exact"/>
              <w:rPr>
                <w:sz w:val="20"/>
                <w:szCs w:val="20"/>
                <w:color w:val="auto"/>
              </w:rPr>
            </w:pPr>
            <w:r>
              <w:rPr>
                <w:rFonts w:ascii="Arial" w:cs="Arial" w:eastAsia="Arial" w:hAnsi="Arial"/>
                <w:sz w:val="13"/>
                <w:szCs w:val="13"/>
                <w:b w:val="1"/>
                <w:bCs w:val="1"/>
                <w:color w:val="FFFFFF"/>
              </w:rPr>
              <w:t>vested ($)</w:t>
            </w:r>
            <w:r>
              <w:rPr>
                <w:rFonts w:ascii="Arial" w:cs="Arial" w:eastAsia="Arial" w:hAnsi="Arial"/>
                <w:sz w:val="21"/>
                <w:szCs w:val="21"/>
                <w:b w:val="1"/>
                <w:bCs w:val="1"/>
                <w:color w:val="FFFFFF"/>
                <w:vertAlign w:val="superscript"/>
              </w:rPr>
              <w:t>(6)</w:t>
            </w:r>
          </w:p>
        </w:tc>
        <w:tc>
          <w:tcPr>
            <w:tcW w:w="0" w:type="dxa"/>
            <w:vAlign w:val="bottom"/>
          </w:tcPr>
          <w:p>
            <w:pPr>
              <w:spacing w:after="0"/>
              <w:rPr>
                <w:sz w:val="1"/>
                <w:szCs w:val="1"/>
                <w:color w:val="auto"/>
              </w:rPr>
            </w:pPr>
          </w:p>
        </w:tc>
      </w:tr>
      <w:tr>
        <w:trPr>
          <w:trHeight w:val="208"/>
        </w:trPr>
        <w:tc>
          <w:tcPr>
            <w:tcW w:w="1340" w:type="dxa"/>
            <w:vAlign w:val="bottom"/>
            <w:tcBorders>
              <w:left w:val="single" w:sz="8" w:color="7F7F7F"/>
            </w:tcBorders>
          </w:tcPr>
          <w:p>
            <w:pPr>
              <w:ind w:left="160"/>
              <w:spacing w:after="0"/>
              <w:rPr>
                <w:sz w:val="20"/>
                <w:szCs w:val="20"/>
                <w:color w:val="auto"/>
              </w:rPr>
            </w:pPr>
            <w:r>
              <w:rPr>
                <w:rFonts w:ascii="Arial" w:cs="Arial" w:eastAsia="Arial" w:hAnsi="Arial"/>
                <w:sz w:val="14"/>
                <w:szCs w:val="14"/>
                <w:color w:val="auto"/>
              </w:rPr>
              <w:t>M.K. Wirth</w:t>
            </w:r>
          </w:p>
        </w:tc>
        <w:tc>
          <w:tcPr>
            <w:tcW w:w="86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1/27/2021</w:t>
            </w:r>
          </w:p>
        </w:tc>
        <w:tc>
          <w:tcPr>
            <w:tcW w:w="1060" w:type="dxa"/>
            <w:vAlign w:val="bottom"/>
            <w:vMerge w:val="restart"/>
            <w:shd w:val="clear" w:color="auto" w:fill="D8D8D8"/>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vMerge w:val="restart"/>
            <w:shd w:val="clear" w:color="auto" w:fill="D8D8D8"/>
          </w:tcPr>
          <w:p>
            <w:pPr>
              <w:jc w:val="right"/>
              <w:ind w:right="389"/>
              <w:spacing w:after="0"/>
              <w:rPr>
                <w:sz w:val="20"/>
                <w:szCs w:val="20"/>
                <w:color w:val="auto"/>
              </w:rPr>
            </w:pPr>
            <w:r>
              <w:rPr>
                <w:rFonts w:ascii="Arial" w:cs="Arial" w:eastAsia="Arial" w:hAnsi="Arial"/>
                <w:sz w:val="14"/>
                <w:szCs w:val="14"/>
                <w:color w:val="auto"/>
              </w:rPr>
              <w:t>317,100</w:t>
            </w:r>
          </w:p>
        </w:tc>
        <w:tc>
          <w:tcPr>
            <w:tcW w:w="84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  88.20</w:t>
            </w:r>
          </w:p>
        </w:tc>
        <w:tc>
          <w:tcPr>
            <w:tcW w:w="82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1/27/2031</w:t>
            </w:r>
          </w:p>
        </w:tc>
        <w:tc>
          <w:tcPr>
            <w:tcW w:w="1040" w:type="dxa"/>
            <w:vAlign w:val="bottom"/>
            <w:vMerge w:val="restart"/>
            <w:shd w:val="clear" w:color="auto" w:fill="D8D8D8"/>
          </w:tcPr>
          <w:p>
            <w:pPr>
              <w:jc w:val="right"/>
              <w:ind w:right="128"/>
              <w:spacing w:after="0"/>
              <w:rPr>
                <w:sz w:val="20"/>
                <w:szCs w:val="20"/>
                <w:color w:val="auto"/>
              </w:rPr>
            </w:pPr>
            <w:r>
              <w:rPr>
                <w:rFonts w:ascii="Arial" w:cs="Arial" w:eastAsia="Arial" w:hAnsi="Arial"/>
                <w:sz w:val="14"/>
                <w:szCs w:val="14"/>
                <w:color w:val="auto"/>
              </w:rPr>
              <w:t>46,132</w:t>
            </w:r>
          </w:p>
        </w:tc>
        <w:tc>
          <w:tcPr>
            <w:tcW w:w="1060" w:type="dxa"/>
            <w:vAlign w:val="bottom"/>
            <w:vMerge w:val="restart"/>
            <w:shd w:val="clear" w:color="auto" w:fill="D8D8D8"/>
          </w:tcPr>
          <w:p>
            <w:pPr>
              <w:jc w:val="center"/>
              <w:ind w:right="69"/>
              <w:spacing w:after="0"/>
              <w:rPr>
                <w:sz w:val="20"/>
                <w:szCs w:val="20"/>
                <w:color w:val="auto"/>
              </w:rPr>
            </w:pPr>
            <w:r>
              <w:rPr>
                <w:rFonts w:ascii="Arial" w:cs="Arial" w:eastAsia="Arial" w:hAnsi="Arial"/>
                <w:sz w:val="14"/>
                <w:szCs w:val="14"/>
                <w:color w:val="auto"/>
              </w:rPr>
              <w:t>$ 5,413,608</w:t>
            </w:r>
          </w:p>
        </w:tc>
        <w:tc>
          <w:tcPr>
            <w:tcW w:w="1320" w:type="dxa"/>
            <w:vAlign w:val="bottom"/>
            <w:vMerge w:val="restart"/>
            <w:shd w:val="clear" w:color="auto" w:fill="D8D8D8"/>
          </w:tcPr>
          <w:p>
            <w:pPr>
              <w:jc w:val="right"/>
              <w:ind w:right="309"/>
              <w:spacing w:after="0"/>
              <w:rPr>
                <w:sz w:val="20"/>
                <w:szCs w:val="20"/>
                <w:color w:val="auto"/>
              </w:rPr>
            </w:pPr>
            <w:r>
              <w:rPr>
                <w:rFonts w:ascii="Arial" w:cs="Arial" w:eastAsia="Arial" w:hAnsi="Arial"/>
                <w:sz w:val="14"/>
                <w:szCs w:val="14"/>
                <w:color w:val="auto"/>
              </w:rPr>
              <w:t>184,550</w:t>
            </w:r>
          </w:p>
        </w:tc>
        <w:tc>
          <w:tcPr>
            <w:tcW w:w="1180" w:type="dxa"/>
            <w:vAlign w:val="bottom"/>
            <w:tcBorders>
              <w:right w:val="single" w:sz="8" w:color="7F7F7F"/>
            </w:tcBorders>
            <w:gridSpan w:val="2"/>
            <w:vMerge w:val="restart"/>
            <w:shd w:val="clear" w:color="auto" w:fill="D8D8D8"/>
          </w:tcPr>
          <w:p>
            <w:pPr>
              <w:jc w:val="right"/>
              <w:ind w:right="28"/>
              <w:spacing w:after="0"/>
              <w:rPr>
                <w:sz w:val="20"/>
                <w:szCs w:val="20"/>
                <w:color w:val="auto"/>
              </w:rPr>
            </w:pPr>
            <w:r>
              <w:rPr>
                <w:rFonts w:ascii="Arial" w:cs="Arial" w:eastAsia="Arial" w:hAnsi="Arial"/>
                <w:sz w:val="14"/>
                <w:szCs w:val="14"/>
                <w:color w:val="auto"/>
              </w:rPr>
              <w:t>$ 21,656,895</w:t>
            </w:r>
          </w:p>
        </w:tc>
        <w:tc>
          <w:tcPr>
            <w:tcW w:w="0" w:type="dxa"/>
            <w:vAlign w:val="bottom"/>
          </w:tcPr>
          <w:p>
            <w:pPr>
              <w:spacing w:after="0"/>
              <w:rPr>
                <w:sz w:val="1"/>
                <w:szCs w:val="1"/>
                <w:color w:val="auto"/>
              </w:rPr>
            </w:pPr>
          </w:p>
        </w:tc>
      </w:tr>
      <w:tr>
        <w:trPr>
          <w:trHeight w:val="54"/>
        </w:trPr>
        <w:tc>
          <w:tcPr>
            <w:tcW w:w="1340" w:type="dxa"/>
            <w:vAlign w:val="bottom"/>
            <w:tcBorders>
              <w:left w:val="single" w:sz="8" w:color="7F7F7F"/>
            </w:tcBorders>
          </w:tcPr>
          <w:p>
            <w:pPr>
              <w:spacing w:after="0"/>
              <w:rPr>
                <w:sz w:val="4"/>
                <w:szCs w:val="4"/>
                <w:color w:val="auto"/>
              </w:rPr>
            </w:pPr>
          </w:p>
        </w:tc>
        <w:tc>
          <w:tcPr>
            <w:tcW w:w="860" w:type="dxa"/>
            <w:vAlign w:val="bottom"/>
            <w:vMerge w:val="continue"/>
            <w:shd w:val="clear" w:color="auto" w:fill="D8D8D8"/>
          </w:tcPr>
          <w:p>
            <w:pPr>
              <w:spacing w:after="0"/>
              <w:rPr>
                <w:sz w:val="4"/>
                <w:szCs w:val="4"/>
                <w:color w:val="auto"/>
              </w:rPr>
            </w:pPr>
          </w:p>
        </w:tc>
        <w:tc>
          <w:tcPr>
            <w:tcW w:w="1060" w:type="dxa"/>
            <w:vAlign w:val="bottom"/>
            <w:vMerge w:val="continue"/>
            <w:shd w:val="clear" w:color="auto" w:fill="D8D8D8"/>
          </w:tcPr>
          <w:p>
            <w:pPr>
              <w:spacing w:after="0"/>
              <w:rPr>
                <w:sz w:val="4"/>
                <w:szCs w:val="4"/>
                <w:color w:val="auto"/>
              </w:rPr>
            </w:pPr>
          </w:p>
        </w:tc>
        <w:tc>
          <w:tcPr>
            <w:tcW w:w="1520" w:type="dxa"/>
            <w:vAlign w:val="bottom"/>
            <w:vMerge w:val="continue"/>
            <w:shd w:val="clear" w:color="auto" w:fill="D8D8D8"/>
          </w:tcPr>
          <w:p>
            <w:pPr>
              <w:spacing w:after="0"/>
              <w:rPr>
                <w:sz w:val="4"/>
                <w:szCs w:val="4"/>
                <w:color w:val="auto"/>
              </w:rPr>
            </w:pPr>
          </w:p>
        </w:tc>
        <w:tc>
          <w:tcPr>
            <w:tcW w:w="840" w:type="dxa"/>
            <w:vAlign w:val="bottom"/>
            <w:vMerge w:val="continue"/>
            <w:shd w:val="clear" w:color="auto" w:fill="D8D8D8"/>
          </w:tcPr>
          <w:p>
            <w:pPr>
              <w:spacing w:after="0"/>
              <w:rPr>
                <w:sz w:val="4"/>
                <w:szCs w:val="4"/>
                <w:color w:val="auto"/>
              </w:rPr>
            </w:pPr>
          </w:p>
        </w:tc>
        <w:tc>
          <w:tcPr>
            <w:tcW w:w="820" w:type="dxa"/>
            <w:vAlign w:val="bottom"/>
            <w:vMerge w:val="continue"/>
            <w:shd w:val="clear" w:color="auto" w:fill="D8D8D8"/>
          </w:tcPr>
          <w:p>
            <w:pPr>
              <w:spacing w:after="0"/>
              <w:rPr>
                <w:sz w:val="4"/>
                <w:szCs w:val="4"/>
                <w:color w:val="auto"/>
              </w:rPr>
            </w:pPr>
          </w:p>
        </w:tc>
        <w:tc>
          <w:tcPr>
            <w:tcW w:w="1040" w:type="dxa"/>
            <w:vAlign w:val="bottom"/>
            <w:vMerge w:val="continue"/>
            <w:shd w:val="clear" w:color="auto" w:fill="D8D8D8"/>
          </w:tcPr>
          <w:p>
            <w:pPr>
              <w:spacing w:after="0"/>
              <w:rPr>
                <w:sz w:val="4"/>
                <w:szCs w:val="4"/>
                <w:color w:val="auto"/>
              </w:rPr>
            </w:pPr>
          </w:p>
        </w:tc>
        <w:tc>
          <w:tcPr>
            <w:tcW w:w="1060" w:type="dxa"/>
            <w:vAlign w:val="bottom"/>
            <w:vMerge w:val="continue"/>
            <w:shd w:val="clear" w:color="auto" w:fill="D8D8D8"/>
          </w:tcPr>
          <w:p>
            <w:pPr>
              <w:spacing w:after="0"/>
              <w:rPr>
                <w:sz w:val="4"/>
                <w:szCs w:val="4"/>
                <w:color w:val="auto"/>
              </w:rPr>
            </w:pPr>
          </w:p>
        </w:tc>
        <w:tc>
          <w:tcPr>
            <w:tcW w:w="1320" w:type="dxa"/>
            <w:vAlign w:val="bottom"/>
            <w:vMerge w:val="continue"/>
            <w:shd w:val="clear" w:color="auto" w:fill="D8D8D8"/>
          </w:tcPr>
          <w:p>
            <w:pPr>
              <w:spacing w:after="0"/>
              <w:rPr>
                <w:sz w:val="4"/>
                <w:szCs w:val="4"/>
                <w:color w:val="auto"/>
              </w:rPr>
            </w:pPr>
          </w:p>
        </w:tc>
        <w:tc>
          <w:tcPr>
            <w:tcW w:w="1180" w:type="dxa"/>
            <w:vAlign w:val="bottom"/>
            <w:tcBorders>
              <w:right w:val="single" w:sz="8" w:color="7F7F7F"/>
            </w:tcBorders>
            <w:gridSpan w:val="2"/>
            <w:vMerge w:val="continue"/>
            <w:shd w:val="clear" w:color="auto" w:fill="D8D8D8"/>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1340" w:type="dxa"/>
            <w:vAlign w:val="bottom"/>
            <w:tcBorders>
              <w:left w:val="single" w:sz="8" w:color="7F7F7F"/>
            </w:tcBorders>
          </w:tcPr>
          <w:p>
            <w:pPr>
              <w:spacing w:after="0"/>
              <w:rPr>
                <w:sz w:val="7"/>
                <w:szCs w:val="7"/>
                <w:color w:val="auto"/>
              </w:rPr>
            </w:pPr>
          </w:p>
        </w:tc>
        <w:tc>
          <w:tcPr>
            <w:tcW w:w="860" w:type="dxa"/>
            <w:vAlign w:val="bottom"/>
            <w:shd w:val="clear" w:color="auto" w:fill="D8D8D8"/>
          </w:tcPr>
          <w:p>
            <w:pPr>
              <w:spacing w:after="0"/>
              <w:rPr>
                <w:sz w:val="7"/>
                <w:szCs w:val="7"/>
                <w:color w:val="auto"/>
              </w:rPr>
            </w:pPr>
          </w:p>
        </w:tc>
        <w:tc>
          <w:tcPr>
            <w:tcW w:w="1060" w:type="dxa"/>
            <w:vAlign w:val="bottom"/>
            <w:shd w:val="clear" w:color="auto" w:fill="D8D8D8"/>
          </w:tcPr>
          <w:p>
            <w:pPr>
              <w:spacing w:after="0"/>
              <w:rPr>
                <w:sz w:val="7"/>
                <w:szCs w:val="7"/>
                <w:color w:val="auto"/>
              </w:rPr>
            </w:pPr>
          </w:p>
        </w:tc>
        <w:tc>
          <w:tcPr>
            <w:tcW w:w="1520" w:type="dxa"/>
            <w:vAlign w:val="bottom"/>
            <w:shd w:val="clear" w:color="auto" w:fill="D8D8D8"/>
          </w:tcPr>
          <w:p>
            <w:pPr>
              <w:spacing w:after="0"/>
              <w:rPr>
                <w:sz w:val="7"/>
                <w:szCs w:val="7"/>
                <w:color w:val="auto"/>
              </w:rPr>
            </w:pPr>
          </w:p>
        </w:tc>
        <w:tc>
          <w:tcPr>
            <w:tcW w:w="840" w:type="dxa"/>
            <w:vAlign w:val="bottom"/>
            <w:shd w:val="clear" w:color="auto" w:fill="D8D8D8"/>
          </w:tcPr>
          <w:p>
            <w:pPr>
              <w:spacing w:after="0"/>
              <w:rPr>
                <w:sz w:val="7"/>
                <w:szCs w:val="7"/>
                <w:color w:val="auto"/>
              </w:rPr>
            </w:pPr>
          </w:p>
        </w:tc>
        <w:tc>
          <w:tcPr>
            <w:tcW w:w="820" w:type="dxa"/>
            <w:vAlign w:val="bottom"/>
            <w:shd w:val="clear" w:color="auto" w:fill="D8D8D8"/>
          </w:tcPr>
          <w:p>
            <w:pPr>
              <w:spacing w:after="0"/>
              <w:rPr>
                <w:sz w:val="7"/>
                <w:szCs w:val="7"/>
                <w:color w:val="auto"/>
              </w:rPr>
            </w:pPr>
          </w:p>
        </w:tc>
        <w:tc>
          <w:tcPr>
            <w:tcW w:w="1040" w:type="dxa"/>
            <w:vAlign w:val="bottom"/>
            <w:shd w:val="clear" w:color="auto" w:fill="D8D8D8"/>
          </w:tcPr>
          <w:p>
            <w:pPr>
              <w:spacing w:after="0"/>
              <w:rPr>
                <w:sz w:val="7"/>
                <w:szCs w:val="7"/>
                <w:color w:val="auto"/>
              </w:rPr>
            </w:pPr>
          </w:p>
        </w:tc>
        <w:tc>
          <w:tcPr>
            <w:tcW w:w="1060" w:type="dxa"/>
            <w:vAlign w:val="bottom"/>
            <w:shd w:val="clear" w:color="auto" w:fill="D8D8D8"/>
          </w:tcPr>
          <w:p>
            <w:pPr>
              <w:spacing w:after="0"/>
              <w:rPr>
                <w:sz w:val="7"/>
                <w:szCs w:val="7"/>
                <w:color w:val="auto"/>
              </w:rPr>
            </w:pPr>
          </w:p>
        </w:tc>
        <w:tc>
          <w:tcPr>
            <w:tcW w:w="1320" w:type="dxa"/>
            <w:vAlign w:val="bottom"/>
            <w:shd w:val="clear" w:color="auto" w:fill="D8D8D8"/>
          </w:tcPr>
          <w:p>
            <w:pPr>
              <w:spacing w:after="0"/>
              <w:rPr>
                <w:sz w:val="7"/>
                <w:szCs w:val="7"/>
                <w:color w:val="auto"/>
              </w:rPr>
            </w:pPr>
          </w:p>
        </w:tc>
        <w:tc>
          <w:tcPr>
            <w:tcW w:w="1180" w:type="dxa"/>
            <w:vAlign w:val="bottom"/>
            <w:tcBorders>
              <w:right w:val="single" w:sz="8" w:color="7F7F7F"/>
            </w:tcBorders>
            <w:gridSpan w:val="2"/>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340" w:type="dxa"/>
            <w:vAlign w:val="bottom"/>
            <w:tcBorders>
              <w:left w:val="single" w:sz="8" w:color="7F7F7F"/>
            </w:tcBorders>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1/29/2020</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99,366</w:t>
            </w:r>
          </w:p>
        </w:tc>
        <w:tc>
          <w:tcPr>
            <w:tcW w:w="1520" w:type="dxa"/>
            <w:vAlign w:val="bottom"/>
          </w:tcPr>
          <w:p>
            <w:pPr>
              <w:jc w:val="right"/>
              <w:ind w:right="389"/>
              <w:spacing w:after="0"/>
              <w:rPr>
                <w:sz w:val="20"/>
                <w:szCs w:val="20"/>
                <w:color w:val="auto"/>
              </w:rPr>
            </w:pPr>
            <w:r>
              <w:rPr>
                <w:rFonts w:ascii="Arial" w:cs="Arial" w:eastAsia="Arial" w:hAnsi="Arial"/>
                <w:sz w:val="14"/>
                <w:szCs w:val="14"/>
                <w:color w:val="auto"/>
              </w:rPr>
              <w:t>198,734</w:t>
            </w:r>
          </w:p>
        </w:tc>
        <w:tc>
          <w:tcPr>
            <w:tcW w:w="840" w:type="dxa"/>
            <w:vAlign w:val="bottom"/>
          </w:tcPr>
          <w:p>
            <w:pPr>
              <w:jc w:val="right"/>
              <w:spacing w:after="0"/>
              <w:rPr>
                <w:sz w:val="20"/>
                <w:szCs w:val="20"/>
                <w:color w:val="auto"/>
              </w:rPr>
            </w:pPr>
            <w:r>
              <w:rPr>
                <w:rFonts w:ascii="Arial" w:cs="Arial" w:eastAsia="Arial" w:hAnsi="Arial"/>
                <w:sz w:val="14"/>
                <w:szCs w:val="14"/>
                <w:color w:val="auto"/>
              </w:rPr>
              <w:t>$ 110.37</w:t>
            </w:r>
          </w:p>
        </w:tc>
        <w:tc>
          <w:tcPr>
            <w:tcW w:w="820" w:type="dxa"/>
            <w:vAlign w:val="bottom"/>
          </w:tcPr>
          <w:p>
            <w:pPr>
              <w:jc w:val="right"/>
              <w:spacing w:after="0"/>
              <w:rPr>
                <w:sz w:val="20"/>
                <w:szCs w:val="20"/>
                <w:color w:val="auto"/>
              </w:rPr>
            </w:pPr>
            <w:r>
              <w:rPr>
                <w:rFonts w:ascii="Arial" w:cs="Arial" w:eastAsia="Arial" w:hAnsi="Arial"/>
                <w:sz w:val="14"/>
                <w:szCs w:val="14"/>
                <w:color w:val="auto"/>
              </w:rPr>
              <w:t>1/29/2030</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37,343</w:t>
            </w:r>
          </w:p>
        </w:tc>
        <w:tc>
          <w:tcPr>
            <w:tcW w:w="1060" w:type="dxa"/>
            <w:vAlign w:val="bottom"/>
          </w:tcPr>
          <w:p>
            <w:pPr>
              <w:jc w:val="center"/>
              <w:ind w:right="69"/>
              <w:spacing w:after="0"/>
              <w:rPr>
                <w:sz w:val="20"/>
                <w:szCs w:val="20"/>
                <w:color w:val="auto"/>
              </w:rPr>
            </w:pPr>
            <w:r>
              <w:rPr>
                <w:rFonts w:ascii="Arial" w:cs="Arial" w:eastAsia="Arial" w:hAnsi="Arial"/>
                <w:sz w:val="14"/>
                <w:szCs w:val="14"/>
                <w:color w:val="auto"/>
              </w:rPr>
              <w:t>$ 4,382,174</w:t>
            </w:r>
          </w:p>
        </w:tc>
        <w:tc>
          <w:tcPr>
            <w:tcW w:w="1320" w:type="dxa"/>
            <w:vAlign w:val="bottom"/>
          </w:tcPr>
          <w:p>
            <w:pPr>
              <w:jc w:val="right"/>
              <w:ind w:right="309"/>
              <w:spacing w:after="0"/>
              <w:rPr>
                <w:sz w:val="20"/>
                <w:szCs w:val="20"/>
                <w:color w:val="auto"/>
              </w:rPr>
            </w:pPr>
            <w:r>
              <w:rPr>
                <w:rFonts w:ascii="Arial" w:cs="Arial" w:eastAsia="Arial" w:hAnsi="Arial"/>
                <w:sz w:val="14"/>
                <w:szCs w:val="14"/>
                <w:color w:val="auto"/>
              </w:rPr>
              <w:t>125,066</w:t>
            </w:r>
          </w:p>
        </w:tc>
        <w:tc>
          <w:tcPr>
            <w:tcW w:w="1180" w:type="dxa"/>
            <w:vAlign w:val="bottom"/>
            <w:tcBorders>
              <w:right w:val="single" w:sz="8" w:color="7F7F7F"/>
            </w:tcBorders>
            <w:gridSpan w:val="2"/>
          </w:tcPr>
          <w:p>
            <w:pPr>
              <w:jc w:val="right"/>
              <w:ind w:right="28"/>
              <w:spacing w:after="0"/>
              <w:rPr>
                <w:sz w:val="20"/>
                <w:szCs w:val="20"/>
                <w:color w:val="auto"/>
              </w:rPr>
            </w:pPr>
            <w:r>
              <w:rPr>
                <w:rFonts w:ascii="Arial" w:cs="Arial" w:eastAsia="Arial" w:hAnsi="Arial"/>
                <w:sz w:val="14"/>
                <w:szCs w:val="14"/>
                <w:color w:val="auto"/>
              </w:rPr>
              <w:t>$ 14,676,545</w:t>
            </w:r>
          </w:p>
        </w:tc>
        <w:tc>
          <w:tcPr>
            <w:tcW w:w="0" w:type="dxa"/>
            <w:vAlign w:val="bottom"/>
          </w:tcPr>
          <w:p>
            <w:pPr>
              <w:spacing w:after="0"/>
              <w:rPr>
                <w:sz w:val="1"/>
                <w:szCs w:val="1"/>
                <w:color w:val="auto"/>
              </w:rPr>
            </w:pPr>
          </w:p>
        </w:tc>
      </w:tr>
      <w:tr>
        <w:trPr>
          <w:trHeight w:val="35"/>
        </w:trPr>
        <w:tc>
          <w:tcPr>
            <w:tcW w:w="1340" w:type="dxa"/>
            <w:vAlign w:val="bottom"/>
            <w:tcBorders>
              <w:left w:val="single" w:sz="8" w:color="7F7F7F"/>
            </w:tcBorders>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Borders>
              <w:right w:val="single" w:sz="8" w:color="7F7F7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1340" w:type="dxa"/>
            <w:vAlign w:val="bottom"/>
            <w:tcBorders>
              <w:left w:val="single" w:sz="8" w:color="7F7F7F"/>
            </w:tcBorders>
          </w:tcPr>
          <w:p>
            <w:pPr>
              <w:spacing w:after="0"/>
              <w:rPr>
                <w:sz w:val="21"/>
                <w:szCs w:val="21"/>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1/30/2019</w:t>
            </w:r>
          </w:p>
        </w:tc>
        <w:tc>
          <w:tcPr>
            <w:tcW w:w="1060" w:type="dxa"/>
            <w:vAlign w:val="bottom"/>
            <w:shd w:val="clear" w:color="auto" w:fill="D8D8D8"/>
          </w:tcPr>
          <w:p>
            <w:pPr>
              <w:jc w:val="right"/>
              <w:ind w:right="108"/>
              <w:spacing w:after="0"/>
              <w:rPr>
                <w:sz w:val="20"/>
                <w:szCs w:val="20"/>
                <w:color w:val="auto"/>
              </w:rPr>
            </w:pPr>
            <w:r>
              <w:rPr>
                <w:rFonts w:ascii="Arial" w:cs="Arial" w:eastAsia="Arial" w:hAnsi="Arial"/>
                <w:sz w:val="14"/>
                <w:szCs w:val="14"/>
                <w:color w:val="auto"/>
              </w:rPr>
              <w:t>157,933</w:t>
            </w:r>
          </w:p>
        </w:tc>
        <w:tc>
          <w:tcPr>
            <w:tcW w:w="1520" w:type="dxa"/>
            <w:vAlign w:val="bottom"/>
            <w:shd w:val="clear" w:color="auto" w:fill="D8D8D8"/>
          </w:tcPr>
          <w:p>
            <w:pPr>
              <w:jc w:val="right"/>
              <w:ind w:right="389"/>
              <w:spacing w:after="0"/>
              <w:rPr>
                <w:sz w:val="20"/>
                <w:szCs w:val="20"/>
                <w:color w:val="auto"/>
              </w:rPr>
            </w:pPr>
            <w:r>
              <w:rPr>
                <w:rFonts w:ascii="Arial" w:cs="Arial" w:eastAsia="Arial" w:hAnsi="Arial"/>
                <w:sz w:val="14"/>
                <w:szCs w:val="14"/>
                <w:color w:val="auto"/>
              </w:rPr>
              <w:t>78,967</w:t>
            </w:r>
          </w:p>
        </w:tc>
        <w:tc>
          <w:tcPr>
            <w:tcW w:w="8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$ 113.01</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1/30/2029</w:t>
            </w:r>
          </w:p>
        </w:tc>
        <w:tc>
          <w:tcPr>
            <w:tcW w:w="104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rPr>
              <w:t>36,695</w:t>
            </w:r>
          </w:p>
        </w:tc>
        <w:tc>
          <w:tcPr>
            <w:tcW w:w="1060" w:type="dxa"/>
            <w:vAlign w:val="bottom"/>
            <w:shd w:val="clear" w:color="auto" w:fill="D8D8D8"/>
          </w:tcPr>
          <w:p>
            <w:pPr>
              <w:jc w:val="center"/>
              <w:ind w:right="69"/>
              <w:spacing w:after="0"/>
              <w:rPr>
                <w:sz w:val="20"/>
                <w:szCs w:val="20"/>
                <w:color w:val="auto"/>
              </w:rPr>
            </w:pPr>
            <w:r>
              <w:rPr>
                <w:rFonts w:ascii="Arial" w:cs="Arial" w:eastAsia="Arial" w:hAnsi="Arial"/>
                <w:sz w:val="14"/>
                <w:szCs w:val="14"/>
                <w:color w:val="auto"/>
              </w:rPr>
              <w:t>$ 4,306,100</w:t>
            </w:r>
          </w:p>
        </w:tc>
        <w:tc>
          <w:tcPr>
            <w:tcW w:w="1320" w:type="dxa"/>
            <w:vAlign w:val="bottom"/>
            <w:shd w:val="clear" w:color="auto" w:fill="D8D8D8"/>
          </w:tcPr>
          <w:p>
            <w:pPr>
              <w:spacing w:after="0"/>
              <w:rPr>
                <w:sz w:val="21"/>
                <w:szCs w:val="21"/>
                <w:color w:val="auto"/>
              </w:rPr>
            </w:pPr>
          </w:p>
        </w:tc>
        <w:tc>
          <w:tcPr>
            <w:tcW w:w="300" w:type="dxa"/>
            <w:vAlign w:val="bottom"/>
            <w:shd w:val="clear" w:color="auto" w:fill="D8D8D8"/>
          </w:tcPr>
          <w:p>
            <w:pPr>
              <w:spacing w:after="0"/>
              <w:rPr>
                <w:sz w:val="21"/>
                <w:szCs w:val="21"/>
                <w:color w:val="auto"/>
              </w:rPr>
            </w:pPr>
          </w:p>
        </w:tc>
        <w:tc>
          <w:tcPr>
            <w:tcW w:w="880" w:type="dxa"/>
            <w:vAlign w:val="bottom"/>
            <w:tcBorders>
              <w:right w:val="single" w:sz="8" w:color="7F7F7F"/>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1340" w:type="dxa"/>
            <w:vAlign w:val="bottom"/>
            <w:tcBorders>
              <w:left w:val="single" w:sz="8" w:color="7F7F7F"/>
            </w:tcBorders>
          </w:tcPr>
          <w:p>
            <w:pPr>
              <w:spacing w:after="0"/>
              <w:rPr>
                <w:sz w:val="7"/>
                <w:szCs w:val="7"/>
                <w:color w:val="auto"/>
              </w:rPr>
            </w:pPr>
          </w:p>
        </w:tc>
        <w:tc>
          <w:tcPr>
            <w:tcW w:w="860" w:type="dxa"/>
            <w:vAlign w:val="bottom"/>
            <w:shd w:val="clear" w:color="auto" w:fill="D8D8D8"/>
          </w:tcPr>
          <w:p>
            <w:pPr>
              <w:spacing w:after="0"/>
              <w:rPr>
                <w:sz w:val="7"/>
                <w:szCs w:val="7"/>
                <w:color w:val="auto"/>
              </w:rPr>
            </w:pPr>
          </w:p>
        </w:tc>
        <w:tc>
          <w:tcPr>
            <w:tcW w:w="1060" w:type="dxa"/>
            <w:vAlign w:val="bottom"/>
            <w:shd w:val="clear" w:color="auto" w:fill="D8D8D8"/>
          </w:tcPr>
          <w:p>
            <w:pPr>
              <w:spacing w:after="0"/>
              <w:rPr>
                <w:sz w:val="7"/>
                <w:szCs w:val="7"/>
                <w:color w:val="auto"/>
              </w:rPr>
            </w:pPr>
          </w:p>
        </w:tc>
        <w:tc>
          <w:tcPr>
            <w:tcW w:w="1520" w:type="dxa"/>
            <w:vAlign w:val="bottom"/>
            <w:shd w:val="clear" w:color="auto" w:fill="D8D8D8"/>
          </w:tcPr>
          <w:p>
            <w:pPr>
              <w:spacing w:after="0"/>
              <w:rPr>
                <w:sz w:val="7"/>
                <w:szCs w:val="7"/>
                <w:color w:val="auto"/>
              </w:rPr>
            </w:pPr>
          </w:p>
        </w:tc>
        <w:tc>
          <w:tcPr>
            <w:tcW w:w="840" w:type="dxa"/>
            <w:vAlign w:val="bottom"/>
            <w:shd w:val="clear" w:color="auto" w:fill="D8D8D8"/>
          </w:tcPr>
          <w:p>
            <w:pPr>
              <w:spacing w:after="0"/>
              <w:rPr>
                <w:sz w:val="7"/>
                <w:szCs w:val="7"/>
                <w:color w:val="auto"/>
              </w:rPr>
            </w:pPr>
          </w:p>
        </w:tc>
        <w:tc>
          <w:tcPr>
            <w:tcW w:w="820" w:type="dxa"/>
            <w:vAlign w:val="bottom"/>
            <w:shd w:val="clear" w:color="auto" w:fill="D8D8D8"/>
          </w:tcPr>
          <w:p>
            <w:pPr>
              <w:spacing w:after="0"/>
              <w:rPr>
                <w:sz w:val="7"/>
                <w:szCs w:val="7"/>
                <w:color w:val="auto"/>
              </w:rPr>
            </w:pPr>
          </w:p>
        </w:tc>
        <w:tc>
          <w:tcPr>
            <w:tcW w:w="1040" w:type="dxa"/>
            <w:vAlign w:val="bottom"/>
            <w:shd w:val="clear" w:color="auto" w:fill="D8D8D8"/>
          </w:tcPr>
          <w:p>
            <w:pPr>
              <w:spacing w:after="0"/>
              <w:rPr>
                <w:sz w:val="7"/>
                <w:szCs w:val="7"/>
                <w:color w:val="auto"/>
              </w:rPr>
            </w:pPr>
          </w:p>
        </w:tc>
        <w:tc>
          <w:tcPr>
            <w:tcW w:w="1060" w:type="dxa"/>
            <w:vAlign w:val="bottom"/>
            <w:shd w:val="clear" w:color="auto" w:fill="D8D8D8"/>
          </w:tcPr>
          <w:p>
            <w:pPr>
              <w:spacing w:after="0"/>
              <w:rPr>
                <w:sz w:val="7"/>
                <w:szCs w:val="7"/>
                <w:color w:val="auto"/>
              </w:rPr>
            </w:pPr>
          </w:p>
        </w:tc>
        <w:tc>
          <w:tcPr>
            <w:tcW w:w="1320" w:type="dxa"/>
            <w:vAlign w:val="bottom"/>
            <w:shd w:val="clear" w:color="auto" w:fill="D8D8D8"/>
          </w:tcPr>
          <w:p>
            <w:pPr>
              <w:spacing w:after="0"/>
              <w:rPr>
                <w:sz w:val="7"/>
                <w:szCs w:val="7"/>
                <w:color w:val="auto"/>
              </w:rPr>
            </w:pPr>
          </w:p>
        </w:tc>
        <w:tc>
          <w:tcPr>
            <w:tcW w:w="300" w:type="dxa"/>
            <w:vAlign w:val="bottom"/>
            <w:shd w:val="clear" w:color="auto" w:fill="D8D8D8"/>
          </w:tcPr>
          <w:p>
            <w:pPr>
              <w:spacing w:after="0"/>
              <w:rPr>
                <w:sz w:val="7"/>
                <w:szCs w:val="7"/>
                <w:color w:val="auto"/>
              </w:rPr>
            </w:pPr>
          </w:p>
        </w:tc>
        <w:tc>
          <w:tcPr>
            <w:tcW w:w="880" w:type="dxa"/>
            <w:vAlign w:val="bottom"/>
            <w:tcBorders>
              <w:right w:val="single" w:sz="8" w:color="7F7F7F"/>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340" w:type="dxa"/>
            <w:vAlign w:val="bottom"/>
            <w:tcBorders>
              <w:left w:val="single" w:sz="8" w:color="7F7F7F"/>
            </w:tcBorders>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1/31/2018</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182,100</w:t>
            </w:r>
          </w:p>
        </w:tc>
        <w:tc>
          <w:tcPr>
            <w:tcW w:w="1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$ 125.35</w:t>
            </w:r>
          </w:p>
        </w:tc>
        <w:tc>
          <w:tcPr>
            <w:tcW w:w="820" w:type="dxa"/>
            <w:vAlign w:val="bottom"/>
          </w:tcPr>
          <w:p>
            <w:pPr>
              <w:jc w:val="right"/>
              <w:spacing w:after="0"/>
              <w:rPr>
                <w:sz w:val="20"/>
                <w:szCs w:val="20"/>
                <w:color w:val="auto"/>
              </w:rPr>
            </w:pPr>
            <w:r>
              <w:rPr>
                <w:rFonts w:ascii="Arial" w:cs="Arial" w:eastAsia="Arial" w:hAnsi="Arial"/>
                <w:sz w:val="14"/>
                <w:szCs w:val="14"/>
                <w:color w:val="auto"/>
              </w:rPr>
              <w:t>1/31/2028</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30,353</w:t>
            </w:r>
          </w:p>
        </w:tc>
        <w:tc>
          <w:tcPr>
            <w:tcW w:w="1060" w:type="dxa"/>
            <w:vAlign w:val="bottom"/>
          </w:tcPr>
          <w:p>
            <w:pPr>
              <w:jc w:val="center"/>
              <w:ind w:right="69"/>
              <w:spacing w:after="0"/>
              <w:rPr>
                <w:sz w:val="20"/>
                <w:szCs w:val="20"/>
                <w:color w:val="auto"/>
              </w:rPr>
            </w:pPr>
            <w:r>
              <w:rPr>
                <w:rFonts w:ascii="Arial" w:cs="Arial" w:eastAsia="Arial" w:hAnsi="Arial"/>
                <w:sz w:val="14"/>
                <w:szCs w:val="14"/>
                <w:color w:val="auto"/>
              </w:rPr>
              <w:t>$ 3,561,935</w:t>
            </w: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Borders>
              <w:right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340" w:type="dxa"/>
            <w:vAlign w:val="bottom"/>
            <w:tcBorders>
              <w:left w:val="single" w:sz="8" w:color="7F7F7F"/>
            </w:tcBorders>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Borders>
              <w:right w:val="single" w:sz="8" w:color="7F7F7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1340" w:type="dxa"/>
            <w:vAlign w:val="bottom"/>
            <w:tcBorders>
              <w:left w:val="single" w:sz="8" w:color="7F7F7F"/>
            </w:tcBorders>
          </w:tcPr>
          <w:p>
            <w:pPr>
              <w:spacing w:after="0"/>
              <w:rPr>
                <w:sz w:val="21"/>
                <w:szCs w:val="21"/>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1/25/2017</w:t>
            </w:r>
          </w:p>
        </w:tc>
        <w:tc>
          <w:tcPr>
            <w:tcW w:w="1060" w:type="dxa"/>
            <w:vAlign w:val="bottom"/>
            <w:shd w:val="clear" w:color="auto" w:fill="D8D8D8"/>
          </w:tcPr>
          <w:p>
            <w:pPr>
              <w:jc w:val="right"/>
              <w:ind w:right="108"/>
              <w:spacing w:after="0"/>
              <w:rPr>
                <w:sz w:val="20"/>
                <w:szCs w:val="20"/>
                <w:color w:val="auto"/>
              </w:rPr>
            </w:pPr>
            <w:r>
              <w:rPr>
                <w:rFonts w:ascii="Arial" w:cs="Arial" w:eastAsia="Arial" w:hAnsi="Arial"/>
                <w:sz w:val="14"/>
                <w:szCs w:val="14"/>
                <w:color w:val="auto"/>
              </w:rPr>
              <w:t>80,800</w:t>
            </w:r>
          </w:p>
        </w:tc>
        <w:tc>
          <w:tcPr>
            <w:tcW w:w="1520" w:type="dxa"/>
            <w:vAlign w:val="bottom"/>
            <w:shd w:val="clear" w:color="auto" w:fill="D8D8D8"/>
          </w:tcPr>
          <w:p>
            <w:pPr>
              <w:spacing w:after="0"/>
              <w:rPr>
                <w:sz w:val="21"/>
                <w:szCs w:val="21"/>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$ 117.24</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1/25/2027</w:t>
            </w:r>
          </w:p>
        </w:tc>
        <w:tc>
          <w:tcPr>
            <w:tcW w:w="104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rPr>
              <w:t>12,599</w:t>
            </w:r>
          </w:p>
        </w:tc>
        <w:tc>
          <w:tcPr>
            <w:tcW w:w="1060" w:type="dxa"/>
            <w:vAlign w:val="bottom"/>
            <w:shd w:val="clear" w:color="auto" w:fill="D8D8D8"/>
          </w:tcPr>
          <w:p>
            <w:pPr>
              <w:jc w:val="center"/>
              <w:ind w:right="69"/>
              <w:spacing w:after="0"/>
              <w:rPr>
                <w:sz w:val="20"/>
                <w:szCs w:val="20"/>
                <w:color w:val="auto"/>
              </w:rPr>
            </w:pPr>
            <w:r>
              <w:rPr>
                <w:rFonts w:ascii="Arial" w:cs="Arial" w:eastAsia="Arial" w:hAnsi="Arial"/>
                <w:sz w:val="14"/>
                <w:szCs w:val="14"/>
                <w:color w:val="auto"/>
              </w:rPr>
              <w:t>$ 1,478,491</w:t>
            </w:r>
          </w:p>
        </w:tc>
        <w:tc>
          <w:tcPr>
            <w:tcW w:w="1320" w:type="dxa"/>
            <w:vAlign w:val="bottom"/>
            <w:shd w:val="clear" w:color="auto" w:fill="D8D8D8"/>
          </w:tcPr>
          <w:p>
            <w:pPr>
              <w:spacing w:after="0"/>
              <w:rPr>
                <w:sz w:val="21"/>
                <w:szCs w:val="21"/>
                <w:color w:val="auto"/>
              </w:rPr>
            </w:pPr>
          </w:p>
        </w:tc>
        <w:tc>
          <w:tcPr>
            <w:tcW w:w="300" w:type="dxa"/>
            <w:vAlign w:val="bottom"/>
            <w:shd w:val="clear" w:color="auto" w:fill="D8D8D8"/>
          </w:tcPr>
          <w:p>
            <w:pPr>
              <w:spacing w:after="0"/>
              <w:rPr>
                <w:sz w:val="21"/>
                <w:szCs w:val="21"/>
                <w:color w:val="auto"/>
              </w:rPr>
            </w:pPr>
          </w:p>
        </w:tc>
        <w:tc>
          <w:tcPr>
            <w:tcW w:w="880" w:type="dxa"/>
            <w:vAlign w:val="bottom"/>
            <w:tcBorders>
              <w:right w:val="single" w:sz="8" w:color="7F7F7F"/>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1340" w:type="dxa"/>
            <w:vAlign w:val="bottom"/>
            <w:tcBorders>
              <w:left w:val="single" w:sz="8" w:color="7F7F7F"/>
            </w:tcBorders>
          </w:tcPr>
          <w:p>
            <w:pPr>
              <w:spacing w:after="0"/>
              <w:rPr>
                <w:sz w:val="7"/>
                <w:szCs w:val="7"/>
                <w:color w:val="auto"/>
              </w:rPr>
            </w:pPr>
          </w:p>
        </w:tc>
        <w:tc>
          <w:tcPr>
            <w:tcW w:w="860" w:type="dxa"/>
            <w:vAlign w:val="bottom"/>
            <w:shd w:val="clear" w:color="auto" w:fill="D8D8D8"/>
          </w:tcPr>
          <w:p>
            <w:pPr>
              <w:spacing w:after="0"/>
              <w:rPr>
                <w:sz w:val="7"/>
                <w:szCs w:val="7"/>
                <w:color w:val="auto"/>
              </w:rPr>
            </w:pPr>
          </w:p>
        </w:tc>
        <w:tc>
          <w:tcPr>
            <w:tcW w:w="1060" w:type="dxa"/>
            <w:vAlign w:val="bottom"/>
            <w:shd w:val="clear" w:color="auto" w:fill="D8D8D8"/>
          </w:tcPr>
          <w:p>
            <w:pPr>
              <w:spacing w:after="0"/>
              <w:rPr>
                <w:sz w:val="7"/>
                <w:szCs w:val="7"/>
                <w:color w:val="auto"/>
              </w:rPr>
            </w:pPr>
          </w:p>
        </w:tc>
        <w:tc>
          <w:tcPr>
            <w:tcW w:w="1520" w:type="dxa"/>
            <w:vAlign w:val="bottom"/>
            <w:shd w:val="clear" w:color="auto" w:fill="D8D8D8"/>
          </w:tcPr>
          <w:p>
            <w:pPr>
              <w:spacing w:after="0"/>
              <w:rPr>
                <w:sz w:val="7"/>
                <w:szCs w:val="7"/>
                <w:color w:val="auto"/>
              </w:rPr>
            </w:pPr>
          </w:p>
        </w:tc>
        <w:tc>
          <w:tcPr>
            <w:tcW w:w="840" w:type="dxa"/>
            <w:vAlign w:val="bottom"/>
            <w:shd w:val="clear" w:color="auto" w:fill="D8D8D8"/>
          </w:tcPr>
          <w:p>
            <w:pPr>
              <w:spacing w:after="0"/>
              <w:rPr>
                <w:sz w:val="7"/>
                <w:szCs w:val="7"/>
                <w:color w:val="auto"/>
              </w:rPr>
            </w:pPr>
          </w:p>
        </w:tc>
        <w:tc>
          <w:tcPr>
            <w:tcW w:w="820" w:type="dxa"/>
            <w:vAlign w:val="bottom"/>
            <w:shd w:val="clear" w:color="auto" w:fill="D8D8D8"/>
          </w:tcPr>
          <w:p>
            <w:pPr>
              <w:spacing w:after="0"/>
              <w:rPr>
                <w:sz w:val="7"/>
                <w:szCs w:val="7"/>
                <w:color w:val="auto"/>
              </w:rPr>
            </w:pPr>
          </w:p>
        </w:tc>
        <w:tc>
          <w:tcPr>
            <w:tcW w:w="1040" w:type="dxa"/>
            <w:vAlign w:val="bottom"/>
            <w:shd w:val="clear" w:color="auto" w:fill="D8D8D8"/>
          </w:tcPr>
          <w:p>
            <w:pPr>
              <w:spacing w:after="0"/>
              <w:rPr>
                <w:sz w:val="7"/>
                <w:szCs w:val="7"/>
                <w:color w:val="auto"/>
              </w:rPr>
            </w:pPr>
          </w:p>
        </w:tc>
        <w:tc>
          <w:tcPr>
            <w:tcW w:w="1060" w:type="dxa"/>
            <w:vAlign w:val="bottom"/>
            <w:shd w:val="clear" w:color="auto" w:fill="D8D8D8"/>
          </w:tcPr>
          <w:p>
            <w:pPr>
              <w:spacing w:after="0"/>
              <w:rPr>
                <w:sz w:val="7"/>
                <w:szCs w:val="7"/>
                <w:color w:val="auto"/>
              </w:rPr>
            </w:pPr>
          </w:p>
        </w:tc>
        <w:tc>
          <w:tcPr>
            <w:tcW w:w="1320" w:type="dxa"/>
            <w:vAlign w:val="bottom"/>
            <w:shd w:val="clear" w:color="auto" w:fill="D8D8D8"/>
          </w:tcPr>
          <w:p>
            <w:pPr>
              <w:spacing w:after="0"/>
              <w:rPr>
                <w:sz w:val="7"/>
                <w:szCs w:val="7"/>
                <w:color w:val="auto"/>
              </w:rPr>
            </w:pPr>
          </w:p>
        </w:tc>
        <w:tc>
          <w:tcPr>
            <w:tcW w:w="300" w:type="dxa"/>
            <w:vAlign w:val="bottom"/>
            <w:shd w:val="clear" w:color="auto" w:fill="D8D8D8"/>
          </w:tcPr>
          <w:p>
            <w:pPr>
              <w:spacing w:after="0"/>
              <w:rPr>
                <w:sz w:val="7"/>
                <w:szCs w:val="7"/>
                <w:color w:val="auto"/>
              </w:rPr>
            </w:pPr>
          </w:p>
        </w:tc>
        <w:tc>
          <w:tcPr>
            <w:tcW w:w="880" w:type="dxa"/>
            <w:vAlign w:val="bottom"/>
            <w:tcBorders>
              <w:right w:val="single" w:sz="8" w:color="7F7F7F"/>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340" w:type="dxa"/>
            <w:vAlign w:val="bottom"/>
            <w:tcBorders>
              <w:left w:val="single" w:sz="8" w:color="7F7F7F"/>
            </w:tcBorders>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1/27/2016</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239,900</w:t>
            </w:r>
          </w:p>
        </w:tc>
        <w:tc>
          <w:tcPr>
            <w:tcW w:w="1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  83.29</w:t>
            </w:r>
          </w:p>
        </w:tc>
        <w:tc>
          <w:tcPr>
            <w:tcW w:w="820" w:type="dxa"/>
            <w:vAlign w:val="bottom"/>
          </w:tcPr>
          <w:p>
            <w:pPr>
              <w:jc w:val="right"/>
              <w:spacing w:after="0"/>
              <w:rPr>
                <w:sz w:val="20"/>
                <w:szCs w:val="20"/>
                <w:color w:val="auto"/>
              </w:rPr>
            </w:pPr>
            <w:r>
              <w:rPr>
                <w:rFonts w:ascii="Arial" w:cs="Arial" w:eastAsia="Arial" w:hAnsi="Arial"/>
                <w:sz w:val="14"/>
                <w:szCs w:val="14"/>
                <w:color w:val="auto"/>
              </w:rPr>
              <w:t>1/27/2026</w:t>
            </w: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Borders>
              <w:right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340" w:type="dxa"/>
            <w:vAlign w:val="bottom"/>
            <w:tcBorders>
              <w:left w:val="single" w:sz="8" w:color="7F7F7F"/>
            </w:tcBorders>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Borders>
              <w:right w:val="single" w:sz="8" w:color="7F7F7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1340" w:type="dxa"/>
            <w:vAlign w:val="bottom"/>
            <w:tcBorders>
              <w:left w:val="single" w:sz="8" w:color="7F7F7F"/>
            </w:tcBorders>
          </w:tcPr>
          <w:p>
            <w:pPr>
              <w:spacing w:after="0"/>
              <w:rPr>
                <w:sz w:val="21"/>
                <w:szCs w:val="21"/>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1/28/2015</w:t>
            </w:r>
          </w:p>
        </w:tc>
        <w:tc>
          <w:tcPr>
            <w:tcW w:w="1060" w:type="dxa"/>
            <w:vAlign w:val="bottom"/>
            <w:shd w:val="clear" w:color="auto" w:fill="D8D8D8"/>
          </w:tcPr>
          <w:p>
            <w:pPr>
              <w:jc w:val="right"/>
              <w:ind w:right="108"/>
              <w:spacing w:after="0"/>
              <w:rPr>
                <w:sz w:val="20"/>
                <w:szCs w:val="20"/>
                <w:color w:val="auto"/>
              </w:rPr>
            </w:pPr>
            <w:r>
              <w:rPr>
                <w:rFonts w:ascii="Arial" w:cs="Arial" w:eastAsia="Arial" w:hAnsi="Arial"/>
                <w:sz w:val="14"/>
                <w:szCs w:val="14"/>
                <w:color w:val="auto"/>
              </w:rPr>
              <w:t>164,600</w:t>
            </w:r>
          </w:p>
        </w:tc>
        <w:tc>
          <w:tcPr>
            <w:tcW w:w="1520" w:type="dxa"/>
            <w:vAlign w:val="bottom"/>
            <w:shd w:val="clear" w:color="auto" w:fill="D8D8D8"/>
          </w:tcPr>
          <w:p>
            <w:pPr>
              <w:spacing w:after="0"/>
              <w:rPr>
                <w:sz w:val="21"/>
                <w:szCs w:val="21"/>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$ 103.71</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1/28/2025</w:t>
            </w:r>
          </w:p>
        </w:tc>
        <w:tc>
          <w:tcPr>
            <w:tcW w:w="1040" w:type="dxa"/>
            <w:vAlign w:val="bottom"/>
            <w:shd w:val="clear" w:color="auto" w:fill="D8D8D8"/>
          </w:tcPr>
          <w:p>
            <w:pPr>
              <w:spacing w:after="0"/>
              <w:rPr>
                <w:sz w:val="21"/>
                <w:szCs w:val="21"/>
                <w:color w:val="auto"/>
              </w:rPr>
            </w:pPr>
          </w:p>
        </w:tc>
        <w:tc>
          <w:tcPr>
            <w:tcW w:w="1060" w:type="dxa"/>
            <w:vAlign w:val="bottom"/>
            <w:shd w:val="clear" w:color="auto" w:fill="D8D8D8"/>
          </w:tcPr>
          <w:p>
            <w:pPr>
              <w:spacing w:after="0"/>
              <w:rPr>
                <w:sz w:val="21"/>
                <w:szCs w:val="21"/>
                <w:color w:val="auto"/>
              </w:rPr>
            </w:pPr>
          </w:p>
        </w:tc>
        <w:tc>
          <w:tcPr>
            <w:tcW w:w="1320" w:type="dxa"/>
            <w:vAlign w:val="bottom"/>
            <w:shd w:val="clear" w:color="auto" w:fill="D8D8D8"/>
          </w:tcPr>
          <w:p>
            <w:pPr>
              <w:spacing w:after="0"/>
              <w:rPr>
                <w:sz w:val="21"/>
                <w:szCs w:val="21"/>
                <w:color w:val="auto"/>
              </w:rPr>
            </w:pPr>
          </w:p>
        </w:tc>
        <w:tc>
          <w:tcPr>
            <w:tcW w:w="300" w:type="dxa"/>
            <w:vAlign w:val="bottom"/>
            <w:shd w:val="clear" w:color="auto" w:fill="D8D8D8"/>
          </w:tcPr>
          <w:p>
            <w:pPr>
              <w:spacing w:after="0"/>
              <w:rPr>
                <w:sz w:val="21"/>
                <w:szCs w:val="21"/>
                <w:color w:val="auto"/>
              </w:rPr>
            </w:pPr>
          </w:p>
        </w:tc>
        <w:tc>
          <w:tcPr>
            <w:tcW w:w="880" w:type="dxa"/>
            <w:vAlign w:val="bottom"/>
            <w:tcBorders>
              <w:right w:val="single" w:sz="8" w:color="7F7F7F"/>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1340" w:type="dxa"/>
            <w:vAlign w:val="bottom"/>
            <w:tcBorders>
              <w:left w:val="single" w:sz="8" w:color="7F7F7F"/>
            </w:tcBorders>
          </w:tcPr>
          <w:p>
            <w:pPr>
              <w:spacing w:after="0"/>
              <w:rPr>
                <w:sz w:val="7"/>
                <w:szCs w:val="7"/>
                <w:color w:val="auto"/>
              </w:rPr>
            </w:pPr>
          </w:p>
        </w:tc>
        <w:tc>
          <w:tcPr>
            <w:tcW w:w="860" w:type="dxa"/>
            <w:vAlign w:val="bottom"/>
            <w:shd w:val="clear" w:color="auto" w:fill="D8D8D8"/>
          </w:tcPr>
          <w:p>
            <w:pPr>
              <w:spacing w:after="0"/>
              <w:rPr>
                <w:sz w:val="7"/>
                <w:szCs w:val="7"/>
                <w:color w:val="auto"/>
              </w:rPr>
            </w:pPr>
          </w:p>
        </w:tc>
        <w:tc>
          <w:tcPr>
            <w:tcW w:w="1060" w:type="dxa"/>
            <w:vAlign w:val="bottom"/>
            <w:shd w:val="clear" w:color="auto" w:fill="D8D8D8"/>
          </w:tcPr>
          <w:p>
            <w:pPr>
              <w:spacing w:after="0"/>
              <w:rPr>
                <w:sz w:val="7"/>
                <w:szCs w:val="7"/>
                <w:color w:val="auto"/>
              </w:rPr>
            </w:pPr>
          </w:p>
        </w:tc>
        <w:tc>
          <w:tcPr>
            <w:tcW w:w="1520" w:type="dxa"/>
            <w:vAlign w:val="bottom"/>
            <w:shd w:val="clear" w:color="auto" w:fill="D8D8D8"/>
          </w:tcPr>
          <w:p>
            <w:pPr>
              <w:spacing w:after="0"/>
              <w:rPr>
                <w:sz w:val="7"/>
                <w:szCs w:val="7"/>
                <w:color w:val="auto"/>
              </w:rPr>
            </w:pPr>
          </w:p>
        </w:tc>
        <w:tc>
          <w:tcPr>
            <w:tcW w:w="840" w:type="dxa"/>
            <w:vAlign w:val="bottom"/>
            <w:shd w:val="clear" w:color="auto" w:fill="D8D8D8"/>
          </w:tcPr>
          <w:p>
            <w:pPr>
              <w:spacing w:after="0"/>
              <w:rPr>
                <w:sz w:val="7"/>
                <w:szCs w:val="7"/>
                <w:color w:val="auto"/>
              </w:rPr>
            </w:pPr>
          </w:p>
        </w:tc>
        <w:tc>
          <w:tcPr>
            <w:tcW w:w="820" w:type="dxa"/>
            <w:vAlign w:val="bottom"/>
            <w:shd w:val="clear" w:color="auto" w:fill="D8D8D8"/>
          </w:tcPr>
          <w:p>
            <w:pPr>
              <w:spacing w:after="0"/>
              <w:rPr>
                <w:sz w:val="7"/>
                <w:szCs w:val="7"/>
                <w:color w:val="auto"/>
              </w:rPr>
            </w:pPr>
          </w:p>
        </w:tc>
        <w:tc>
          <w:tcPr>
            <w:tcW w:w="1040" w:type="dxa"/>
            <w:vAlign w:val="bottom"/>
            <w:shd w:val="clear" w:color="auto" w:fill="D8D8D8"/>
          </w:tcPr>
          <w:p>
            <w:pPr>
              <w:spacing w:after="0"/>
              <w:rPr>
                <w:sz w:val="7"/>
                <w:szCs w:val="7"/>
                <w:color w:val="auto"/>
              </w:rPr>
            </w:pPr>
          </w:p>
        </w:tc>
        <w:tc>
          <w:tcPr>
            <w:tcW w:w="1060" w:type="dxa"/>
            <w:vAlign w:val="bottom"/>
            <w:shd w:val="clear" w:color="auto" w:fill="D8D8D8"/>
          </w:tcPr>
          <w:p>
            <w:pPr>
              <w:spacing w:after="0"/>
              <w:rPr>
                <w:sz w:val="7"/>
                <w:szCs w:val="7"/>
                <w:color w:val="auto"/>
              </w:rPr>
            </w:pPr>
          </w:p>
        </w:tc>
        <w:tc>
          <w:tcPr>
            <w:tcW w:w="1320" w:type="dxa"/>
            <w:vAlign w:val="bottom"/>
            <w:shd w:val="clear" w:color="auto" w:fill="D8D8D8"/>
          </w:tcPr>
          <w:p>
            <w:pPr>
              <w:spacing w:after="0"/>
              <w:rPr>
                <w:sz w:val="7"/>
                <w:szCs w:val="7"/>
                <w:color w:val="auto"/>
              </w:rPr>
            </w:pPr>
          </w:p>
        </w:tc>
        <w:tc>
          <w:tcPr>
            <w:tcW w:w="300" w:type="dxa"/>
            <w:vAlign w:val="bottom"/>
            <w:shd w:val="clear" w:color="auto" w:fill="D8D8D8"/>
          </w:tcPr>
          <w:p>
            <w:pPr>
              <w:spacing w:after="0"/>
              <w:rPr>
                <w:sz w:val="7"/>
                <w:szCs w:val="7"/>
                <w:color w:val="auto"/>
              </w:rPr>
            </w:pPr>
          </w:p>
        </w:tc>
        <w:tc>
          <w:tcPr>
            <w:tcW w:w="880" w:type="dxa"/>
            <w:vAlign w:val="bottom"/>
            <w:tcBorders>
              <w:right w:val="single" w:sz="8" w:color="7F7F7F"/>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340" w:type="dxa"/>
            <w:vAlign w:val="bottom"/>
            <w:tcBorders>
              <w:left w:val="single" w:sz="8" w:color="7F7F7F"/>
            </w:tcBorders>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1/29/2014</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90,000</w:t>
            </w:r>
          </w:p>
        </w:tc>
        <w:tc>
          <w:tcPr>
            <w:tcW w:w="1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$ 116.00</w:t>
            </w:r>
          </w:p>
        </w:tc>
        <w:tc>
          <w:tcPr>
            <w:tcW w:w="820" w:type="dxa"/>
            <w:vAlign w:val="bottom"/>
          </w:tcPr>
          <w:p>
            <w:pPr>
              <w:jc w:val="right"/>
              <w:spacing w:after="0"/>
              <w:rPr>
                <w:sz w:val="20"/>
                <w:szCs w:val="20"/>
                <w:color w:val="auto"/>
              </w:rPr>
            </w:pPr>
            <w:r>
              <w:rPr>
                <w:rFonts w:ascii="Arial" w:cs="Arial" w:eastAsia="Arial" w:hAnsi="Arial"/>
                <w:sz w:val="14"/>
                <w:szCs w:val="14"/>
                <w:color w:val="auto"/>
              </w:rPr>
              <w:t>1/29/2024</w:t>
            </w: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Borders>
              <w:right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340" w:type="dxa"/>
            <w:vAlign w:val="bottom"/>
            <w:tcBorders>
              <w:left w:val="single" w:sz="8" w:color="7F7F7F"/>
            </w:tcBorders>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Borders>
              <w:right w:val="single" w:sz="8" w:color="7F7F7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1340" w:type="dxa"/>
            <w:vAlign w:val="bottom"/>
            <w:tcBorders>
              <w:left w:val="single" w:sz="8" w:color="7F7F7F"/>
            </w:tcBorders>
          </w:tcPr>
          <w:p>
            <w:pPr>
              <w:spacing w:after="0"/>
              <w:rPr>
                <w:sz w:val="21"/>
                <w:szCs w:val="21"/>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3/27/2013</w:t>
            </w:r>
          </w:p>
        </w:tc>
        <w:tc>
          <w:tcPr>
            <w:tcW w:w="1060" w:type="dxa"/>
            <w:vAlign w:val="bottom"/>
            <w:shd w:val="clear" w:color="auto" w:fill="D8D8D8"/>
          </w:tcPr>
          <w:p>
            <w:pPr>
              <w:jc w:val="right"/>
              <w:ind w:right="108"/>
              <w:spacing w:after="0"/>
              <w:rPr>
                <w:sz w:val="20"/>
                <w:szCs w:val="20"/>
                <w:color w:val="auto"/>
              </w:rPr>
            </w:pPr>
            <w:r>
              <w:rPr>
                <w:rFonts w:ascii="Arial" w:cs="Arial" w:eastAsia="Arial" w:hAnsi="Arial"/>
                <w:sz w:val="14"/>
                <w:szCs w:val="14"/>
                <w:color w:val="auto"/>
              </w:rPr>
              <w:t>3,000</w:t>
            </w:r>
          </w:p>
        </w:tc>
        <w:tc>
          <w:tcPr>
            <w:tcW w:w="1520" w:type="dxa"/>
            <w:vAlign w:val="bottom"/>
            <w:shd w:val="clear" w:color="auto" w:fill="D8D8D8"/>
          </w:tcPr>
          <w:p>
            <w:pPr>
              <w:spacing w:after="0"/>
              <w:rPr>
                <w:sz w:val="21"/>
                <w:szCs w:val="21"/>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$ 120.19</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3/27/2023</w:t>
            </w:r>
          </w:p>
        </w:tc>
        <w:tc>
          <w:tcPr>
            <w:tcW w:w="1040" w:type="dxa"/>
            <w:vAlign w:val="bottom"/>
            <w:shd w:val="clear" w:color="auto" w:fill="D8D8D8"/>
          </w:tcPr>
          <w:p>
            <w:pPr>
              <w:spacing w:after="0"/>
              <w:rPr>
                <w:sz w:val="21"/>
                <w:szCs w:val="21"/>
                <w:color w:val="auto"/>
              </w:rPr>
            </w:pPr>
          </w:p>
        </w:tc>
        <w:tc>
          <w:tcPr>
            <w:tcW w:w="1060" w:type="dxa"/>
            <w:vAlign w:val="bottom"/>
            <w:shd w:val="clear" w:color="auto" w:fill="D8D8D8"/>
          </w:tcPr>
          <w:p>
            <w:pPr>
              <w:spacing w:after="0"/>
              <w:rPr>
                <w:sz w:val="21"/>
                <w:szCs w:val="21"/>
                <w:color w:val="auto"/>
              </w:rPr>
            </w:pPr>
          </w:p>
        </w:tc>
        <w:tc>
          <w:tcPr>
            <w:tcW w:w="1320" w:type="dxa"/>
            <w:vAlign w:val="bottom"/>
            <w:shd w:val="clear" w:color="auto" w:fill="D8D8D8"/>
          </w:tcPr>
          <w:p>
            <w:pPr>
              <w:spacing w:after="0"/>
              <w:rPr>
                <w:sz w:val="21"/>
                <w:szCs w:val="21"/>
                <w:color w:val="auto"/>
              </w:rPr>
            </w:pPr>
          </w:p>
        </w:tc>
        <w:tc>
          <w:tcPr>
            <w:tcW w:w="300" w:type="dxa"/>
            <w:vAlign w:val="bottom"/>
            <w:shd w:val="clear" w:color="auto" w:fill="D8D8D8"/>
          </w:tcPr>
          <w:p>
            <w:pPr>
              <w:spacing w:after="0"/>
              <w:rPr>
                <w:sz w:val="21"/>
                <w:szCs w:val="21"/>
                <w:color w:val="auto"/>
              </w:rPr>
            </w:pPr>
          </w:p>
        </w:tc>
        <w:tc>
          <w:tcPr>
            <w:tcW w:w="880" w:type="dxa"/>
            <w:vAlign w:val="bottom"/>
            <w:tcBorders>
              <w:right w:val="single" w:sz="8" w:color="7F7F7F"/>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1340" w:type="dxa"/>
            <w:vAlign w:val="bottom"/>
            <w:tcBorders>
              <w:left w:val="single" w:sz="8" w:color="7F7F7F"/>
            </w:tcBorders>
          </w:tcPr>
          <w:p>
            <w:pPr>
              <w:spacing w:after="0"/>
              <w:rPr>
                <w:sz w:val="7"/>
                <w:szCs w:val="7"/>
                <w:color w:val="auto"/>
              </w:rPr>
            </w:pPr>
          </w:p>
        </w:tc>
        <w:tc>
          <w:tcPr>
            <w:tcW w:w="860" w:type="dxa"/>
            <w:vAlign w:val="bottom"/>
            <w:shd w:val="clear" w:color="auto" w:fill="D8D8D8"/>
          </w:tcPr>
          <w:p>
            <w:pPr>
              <w:spacing w:after="0"/>
              <w:rPr>
                <w:sz w:val="7"/>
                <w:szCs w:val="7"/>
                <w:color w:val="auto"/>
              </w:rPr>
            </w:pPr>
          </w:p>
        </w:tc>
        <w:tc>
          <w:tcPr>
            <w:tcW w:w="1060" w:type="dxa"/>
            <w:vAlign w:val="bottom"/>
            <w:shd w:val="clear" w:color="auto" w:fill="D8D8D8"/>
          </w:tcPr>
          <w:p>
            <w:pPr>
              <w:spacing w:after="0"/>
              <w:rPr>
                <w:sz w:val="7"/>
                <w:szCs w:val="7"/>
                <w:color w:val="auto"/>
              </w:rPr>
            </w:pPr>
          </w:p>
        </w:tc>
        <w:tc>
          <w:tcPr>
            <w:tcW w:w="1520" w:type="dxa"/>
            <w:vAlign w:val="bottom"/>
            <w:shd w:val="clear" w:color="auto" w:fill="D8D8D8"/>
          </w:tcPr>
          <w:p>
            <w:pPr>
              <w:spacing w:after="0"/>
              <w:rPr>
                <w:sz w:val="7"/>
                <w:szCs w:val="7"/>
                <w:color w:val="auto"/>
              </w:rPr>
            </w:pPr>
          </w:p>
        </w:tc>
        <w:tc>
          <w:tcPr>
            <w:tcW w:w="840" w:type="dxa"/>
            <w:vAlign w:val="bottom"/>
            <w:shd w:val="clear" w:color="auto" w:fill="D8D8D8"/>
          </w:tcPr>
          <w:p>
            <w:pPr>
              <w:spacing w:after="0"/>
              <w:rPr>
                <w:sz w:val="7"/>
                <w:szCs w:val="7"/>
                <w:color w:val="auto"/>
              </w:rPr>
            </w:pPr>
          </w:p>
        </w:tc>
        <w:tc>
          <w:tcPr>
            <w:tcW w:w="820" w:type="dxa"/>
            <w:vAlign w:val="bottom"/>
            <w:shd w:val="clear" w:color="auto" w:fill="D8D8D8"/>
          </w:tcPr>
          <w:p>
            <w:pPr>
              <w:spacing w:after="0"/>
              <w:rPr>
                <w:sz w:val="7"/>
                <w:szCs w:val="7"/>
                <w:color w:val="auto"/>
              </w:rPr>
            </w:pPr>
          </w:p>
        </w:tc>
        <w:tc>
          <w:tcPr>
            <w:tcW w:w="1040" w:type="dxa"/>
            <w:vAlign w:val="bottom"/>
            <w:shd w:val="clear" w:color="auto" w:fill="D8D8D8"/>
          </w:tcPr>
          <w:p>
            <w:pPr>
              <w:spacing w:after="0"/>
              <w:rPr>
                <w:sz w:val="7"/>
                <w:szCs w:val="7"/>
                <w:color w:val="auto"/>
              </w:rPr>
            </w:pPr>
          </w:p>
        </w:tc>
        <w:tc>
          <w:tcPr>
            <w:tcW w:w="1060" w:type="dxa"/>
            <w:vAlign w:val="bottom"/>
            <w:shd w:val="clear" w:color="auto" w:fill="D8D8D8"/>
          </w:tcPr>
          <w:p>
            <w:pPr>
              <w:spacing w:after="0"/>
              <w:rPr>
                <w:sz w:val="7"/>
                <w:szCs w:val="7"/>
                <w:color w:val="auto"/>
              </w:rPr>
            </w:pPr>
          </w:p>
        </w:tc>
        <w:tc>
          <w:tcPr>
            <w:tcW w:w="1320" w:type="dxa"/>
            <w:vAlign w:val="bottom"/>
            <w:shd w:val="clear" w:color="auto" w:fill="D8D8D8"/>
          </w:tcPr>
          <w:p>
            <w:pPr>
              <w:spacing w:after="0"/>
              <w:rPr>
                <w:sz w:val="7"/>
                <w:szCs w:val="7"/>
                <w:color w:val="auto"/>
              </w:rPr>
            </w:pPr>
          </w:p>
        </w:tc>
        <w:tc>
          <w:tcPr>
            <w:tcW w:w="300" w:type="dxa"/>
            <w:vAlign w:val="bottom"/>
            <w:shd w:val="clear" w:color="auto" w:fill="D8D8D8"/>
          </w:tcPr>
          <w:p>
            <w:pPr>
              <w:spacing w:after="0"/>
              <w:rPr>
                <w:sz w:val="7"/>
                <w:szCs w:val="7"/>
                <w:color w:val="auto"/>
              </w:rPr>
            </w:pPr>
          </w:p>
        </w:tc>
        <w:tc>
          <w:tcPr>
            <w:tcW w:w="880" w:type="dxa"/>
            <w:vAlign w:val="bottom"/>
            <w:tcBorders>
              <w:right w:val="single" w:sz="8" w:color="7F7F7F"/>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340" w:type="dxa"/>
            <w:vAlign w:val="bottom"/>
            <w:tcBorders>
              <w:left w:val="single" w:sz="8" w:color="7F7F7F"/>
            </w:tcBorders>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1/30/2013</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90,000</w:t>
            </w:r>
          </w:p>
        </w:tc>
        <w:tc>
          <w:tcPr>
            <w:tcW w:w="1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$ 116.45</w:t>
            </w:r>
          </w:p>
        </w:tc>
        <w:tc>
          <w:tcPr>
            <w:tcW w:w="820" w:type="dxa"/>
            <w:vAlign w:val="bottom"/>
          </w:tcPr>
          <w:p>
            <w:pPr>
              <w:jc w:val="right"/>
              <w:spacing w:after="0"/>
              <w:rPr>
                <w:sz w:val="20"/>
                <w:szCs w:val="20"/>
                <w:color w:val="auto"/>
              </w:rPr>
            </w:pPr>
            <w:r>
              <w:rPr>
                <w:rFonts w:ascii="Arial" w:cs="Arial" w:eastAsia="Arial" w:hAnsi="Arial"/>
                <w:sz w:val="14"/>
                <w:szCs w:val="14"/>
                <w:color w:val="auto"/>
              </w:rPr>
              <w:t>1/30/2023</w:t>
            </w: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Borders>
              <w:right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340" w:type="dxa"/>
            <w:vAlign w:val="bottom"/>
            <w:tcBorders>
              <w:left w:val="single" w:sz="8" w:color="7F7F7F"/>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c>
          <w:tcPr>
            <w:tcW w:w="1060" w:type="dxa"/>
            <w:vAlign w:val="bottom"/>
            <w:tcBorders>
              <w:bottom w:val="single" w:sz="8" w:color="7F7F7F"/>
            </w:tcBorders>
          </w:tcPr>
          <w:p>
            <w:pPr>
              <w:spacing w:after="0"/>
              <w:rPr>
                <w:sz w:val="3"/>
                <w:szCs w:val="3"/>
                <w:color w:val="auto"/>
              </w:rPr>
            </w:pPr>
          </w:p>
        </w:tc>
        <w:tc>
          <w:tcPr>
            <w:tcW w:w="152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c>
          <w:tcPr>
            <w:tcW w:w="82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1060" w:type="dxa"/>
            <w:vAlign w:val="bottom"/>
            <w:tcBorders>
              <w:bottom w:val="single" w:sz="8" w:color="7F7F7F"/>
            </w:tcBorders>
          </w:tcPr>
          <w:p>
            <w:pPr>
              <w:spacing w:after="0"/>
              <w:rPr>
                <w:sz w:val="3"/>
                <w:szCs w:val="3"/>
                <w:color w:val="auto"/>
              </w:rPr>
            </w:pPr>
          </w:p>
        </w:tc>
        <w:tc>
          <w:tcPr>
            <w:tcW w:w="1320" w:type="dxa"/>
            <w:vAlign w:val="bottom"/>
            <w:tcBorders>
              <w:bottom w:val="single" w:sz="8" w:color="7F7F7F"/>
            </w:tcBorders>
          </w:tcPr>
          <w:p>
            <w:pPr>
              <w:spacing w:after="0"/>
              <w:rPr>
                <w:sz w:val="3"/>
                <w:szCs w:val="3"/>
                <w:color w:val="auto"/>
              </w:rPr>
            </w:pPr>
          </w:p>
        </w:tc>
        <w:tc>
          <w:tcPr>
            <w:tcW w:w="300" w:type="dxa"/>
            <w:vAlign w:val="bottom"/>
            <w:tcBorders>
              <w:bottom w:val="single" w:sz="8" w:color="7F7F7F"/>
            </w:tcBorders>
          </w:tcPr>
          <w:p>
            <w:pPr>
              <w:spacing w:after="0"/>
              <w:rPr>
                <w:sz w:val="3"/>
                <w:szCs w:val="3"/>
                <w:color w:val="auto"/>
              </w:rPr>
            </w:pPr>
          </w:p>
        </w:tc>
        <w:tc>
          <w:tcPr>
            <w:tcW w:w="880" w:type="dxa"/>
            <w:vAlign w:val="bottom"/>
            <w:tcBorders>
              <w:bottom w:val="single" w:sz="8" w:color="7F7F7F"/>
              <w:right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1340" w:type="dxa"/>
            <w:vAlign w:val="bottom"/>
            <w:tcBorders>
              <w:left w:val="single" w:sz="8" w:color="7F7F7F"/>
            </w:tcBorders>
          </w:tcPr>
          <w:p>
            <w:pPr>
              <w:ind w:left="160"/>
              <w:spacing w:after="0"/>
              <w:rPr>
                <w:sz w:val="20"/>
                <w:szCs w:val="20"/>
                <w:color w:val="auto"/>
              </w:rPr>
            </w:pPr>
            <w:r>
              <w:rPr>
                <w:rFonts w:ascii="Arial" w:cs="Arial" w:eastAsia="Arial" w:hAnsi="Arial"/>
                <w:sz w:val="14"/>
                <w:szCs w:val="14"/>
                <w:color w:val="auto"/>
              </w:rPr>
              <w:t>P.R. Breber</w:t>
            </w:r>
          </w:p>
        </w:tc>
        <w:tc>
          <w:tcPr>
            <w:tcW w:w="86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1/27/2021</w:t>
            </w:r>
          </w:p>
        </w:tc>
        <w:tc>
          <w:tcPr>
            <w:tcW w:w="1060" w:type="dxa"/>
            <w:vAlign w:val="bottom"/>
            <w:tcBorders>
              <w:bottom w:val="single" w:sz="8" w:color="D8D8D8"/>
            </w:tcBorders>
            <w:shd w:val="clear" w:color="auto" w:fill="D8D8D8"/>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D8D8D8"/>
            </w:tcBorders>
            <w:shd w:val="clear" w:color="auto" w:fill="D8D8D8"/>
          </w:tcPr>
          <w:p>
            <w:pPr>
              <w:jc w:val="right"/>
              <w:ind w:right="389"/>
              <w:spacing w:after="0"/>
              <w:rPr>
                <w:sz w:val="20"/>
                <w:szCs w:val="20"/>
                <w:color w:val="auto"/>
              </w:rPr>
            </w:pPr>
            <w:r>
              <w:rPr>
                <w:rFonts w:ascii="Arial" w:cs="Arial" w:eastAsia="Arial" w:hAnsi="Arial"/>
                <w:sz w:val="14"/>
                <w:szCs w:val="14"/>
                <w:color w:val="auto"/>
              </w:rPr>
              <w:t>81,900</w:t>
            </w:r>
          </w:p>
        </w:tc>
        <w:tc>
          <w:tcPr>
            <w:tcW w:w="8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  88.20</w:t>
            </w:r>
          </w:p>
        </w:tc>
        <w:tc>
          <w:tcPr>
            <w:tcW w:w="82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1/27/2031</w:t>
            </w:r>
          </w:p>
        </w:tc>
        <w:tc>
          <w:tcPr>
            <w:tcW w:w="1040" w:type="dxa"/>
            <w:vAlign w:val="bottom"/>
            <w:tcBorders>
              <w:bottom w:val="single" w:sz="8" w:color="D8D8D8"/>
            </w:tcBorders>
            <w:shd w:val="clear" w:color="auto" w:fill="D8D8D8"/>
          </w:tcPr>
          <w:p>
            <w:pPr>
              <w:jc w:val="right"/>
              <w:ind w:right="128"/>
              <w:spacing w:after="0"/>
              <w:rPr>
                <w:sz w:val="20"/>
                <w:szCs w:val="20"/>
                <w:color w:val="auto"/>
              </w:rPr>
            </w:pPr>
            <w:r>
              <w:rPr>
                <w:rFonts w:ascii="Arial" w:cs="Arial" w:eastAsia="Arial" w:hAnsi="Arial"/>
                <w:sz w:val="14"/>
                <w:szCs w:val="14"/>
                <w:color w:val="auto"/>
              </w:rPr>
              <w:t>11,908</w:t>
            </w:r>
          </w:p>
        </w:tc>
        <w:tc>
          <w:tcPr>
            <w:tcW w:w="1060" w:type="dxa"/>
            <w:vAlign w:val="bottom"/>
            <w:tcBorders>
              <w:bottom w:val="single" w:sz="8" w:color="D8D8D8"/>
            </w:tcBorders>
            <w:shd w:val="clear" w:color="auto" w:fill="D8D8D8"/>
          </w:tcPr>
          <w:p>
            <w:pPr>
              <w:jc w:val="center"/>
              <w:ind w:right="69"/>
              <w:spacing w:after="0"/>
              <w:rPr>
                <w:sz w:val="20"/>
                <w:szCs w:val="20"/>
                <w:color w:val="auto"/>
              </w:rPr>
            </w:pPr>
            <w:r>
              <w:rPr>
                <w:rFonts w:ascii="Arial" w:cs="Arial" w:eastAsia="Arial" w:hAnsi="Arial"/>
                <w:sz w:val="14"/>
                <w:szCs w:val="14"/>
                <w:color w:val="auto"/>
              </w:rPr>
              <w:t>$ 1,397,458</w:t>
            </w:r>
          </w:p>
        </w:tc>
        <w:tc>
          <w:tcPr>
            <w:tcW w:w="1320" w:type="dxa"/>
            <w:vAlign w:val="bottom"/>
            <w:tcBorders>
              <w:bottom w:val="single" w:sz="8" w:color="D8D8D8"/>
            </w:tcBorders>
            <w:shd w:val="clear" w:color="auto" w:fill="D8D8D8"/>
          </w:tcPr>
          <w:p>
            <w:pPr>
              <w:jc w:val="right"/>
              <w:ind w:right="309"/>
              <w:spacing w:after="0"/>
              <w:rPr>
                <w:sz w:val="20"/>
                <w:szCs w:val="20"/>
                <w:color w:val="auto"/>
              </w:rPr>
            </w:pPr>
            <w:r>
              <w:rPr>
                <w:rFonts w:ascii="Arial" w:cs="Arial" w:eastAsia="Arial" w:hAnsi="Arial"/>
                <w:sz w:val="14"/>
                <w:szCs w:val="14"/>
                <w:color w:val="auto"/>
              </w:rPr>
              <w:t>47,655</w:t>
            </w:r>
          </w:p>
        </w:tc>
        <w:tc>
          <w:tcPr>
            <w:tcW w:w="300" w:type="dxa"/>
            <w:vAlign w:val="bottom"/>
            <w:tcBorders>
              <w:bottom w:val="single" w:sz="8" w:color="D8D8D8"/>
            </w:tcBorders>
            <w:shd w:val="clear" w:color="auto" w:fill="D8D8D8"/>
          </w:tcPr>
          <w:p>
            <w:pPr>
              <w:ind w:left="22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D8D8D8"/>
              <w:right w:val="single" w:sz="8" w:color="7F7F7F"/>
            </w:tcBorders>
            <w:shd w:val="clear" w:color="auto" w:fill="D8D8D8"/>
          </w:tcPr>
          <w:p>
            <w:pPr>
              <w:jc w:val="right"/>
              <w:ind w:right="28"/>
              <w:spacing w:after="0"/>
              <w:rPr>
                <w:sz w:val="20"/>
                <w:szCs w:val="20"/>
                <w:color w:val="auto"/>
              </w:rPr>
            </w:pPr>
            <w:r>
              <w:rPr>
                <w:rFonts w:ascii="Arial" w:cs="Arial" w:eastAsia="Arial" w:hAnsi="Arial"/>
                <w:sz w:val="14"/>
                <w:szCs w:val="14"/>
                <w:color w:val="auto"/>
              </w:rPr>
              <w:t>5,592,295</w:t>
            </w:r>
          </w:p>
        </w:tc>
        <w:tc>
          <w:tcPr>
            <w:tcW w:w="0" w:type="dxa"/>
            <w:vAlign w:val="bottom"/>
          </w:tcPr>
          <w:p>
            <w:pPr>
              <w:spacing w:after="0"/>
              <w:rPr>
                <w:sz w:val="1"/>
                <w:szCs w:val="1"/>
                <w:color w:val="auto"/>
              </w:rPr>
            </w:pPr>
          </w:p>
        </w:tc>
      </w:tr>
      <w:tr>
        <w:trPr>
          <w:trHeight w:val="248"/>
        </w:trPr>
        <w:tc>
          <w:tcPr>
            <w:tcW w:w="1340" w:type="dxa"/>
            <w:vAlign w:val="bottom"/>
            <w:tcBorders>
              <w:left w:val="single" w:sz="8" w:color="7F7F7F"/>
            </w:tcBorders>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1/29/2020</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25,666</w:t>
            </w:r>
          </w:p>
        </w:tc>
        <w:tc>
          <w:tcPr>
            <w:tcW w:w="1520" w:type="dxa"/>
            <w:vAlign w:val="bottom"/>
          </w:tcPr>
          <w:p>
            <w:pPr>
              <w:jc w:val="right"/>
              <w:ind w:right="389"/>
              <w:spacing w:after="0"/>
              <w:rPr>
                <w:sz w:val="20"/>
                <w:szCs w:val="20"/>
                <w:color w:val="auto"/>
              </w:rPr>
            </w:pPr>
            <w:r>
              <w:rPr>
                <w:rFonts w:ascii="Arial" w:cs="Arial" w:eastAsia="Arial" w:hAnsi="Arial"/>
                <w:sz w:val="14"/>
                <w:szCs w:val="14"/>
                <w:color w:val="auto"/>
              </w:rPr>
              <w:t>51,334</w:t>
            </w:r>
          </w:p>
        </w:tc>
        <w:tc>
          <w:tcPr>
            <w:tcW w:w="840" w:type="dxa"/>
            <w:vAlign w:val="bottom"/>
          </w:tcPr>
          <w:p>
            <w:pPr>
              <w:jc w:val="right"/>
              <w:spacing w:after="0"/>
              <w:rPr>
                <w:sz w:val="20"/>
                <w:szCs w:val="20"/>
                <w:color w:val="auto"/>
              </w:rPr>
            </w:pPr>
            <w:r>
              <w:rPr>
                <w:rFonts w:ascii="Arial" w:cs="Arial" w:eastAsia="Arial" w:hAnsi="Arial"/>
                <w:sz w:val="14"/>
                <w:szCs w:val="14"/>
                <w:color w:val="auto"/>
              </w:rPr>
              <w:t>$ 110.37</w:t>
            </w:r>
          </w:p>
        </w:tc>
        <w:tc>
          <w:tcPr>
            <w:tcW w:w="820" w:type="dxa"/>
            <w:vAlign w:val="bottom"/>
          </w:tcPr>
          <w:p>
            <w:pPr>
              <w:jc w:val="right"/>
              <w:spacing w:after="0"/>
              <w:rPr>
                <w:sz w:val="20"/>
                <w:szCs w:val="20"/>
                <w:color w:val="auto"/>
              </w:rPr>
            </w:pPr>
            <w:r>
              <w:rPr>
                <w:rFonts w:ascii="Arial" w:cs="Arial" w:eastAsia="Arial" w:hAnsi="Arial"/>
                <w:sz w:val="14"/>
                <w:szCs w:val="14"/>
                <w:color w:val="auto"/>
              </w:rPr>
              <w:t>1/29/2030</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9,924</w:t>
            </w:r>
          </w:p>
        </w:tc>
        <w:tc>
          <w:tcPr>
            <w:tcW w:w="1060" w:type="dxa"/>
            <w:vAlign w:val="bottom"/>
          </w:tcPr>
          <w:p>
            <w:pPr>
              <w:jc w:val="center"/>
              <w:ind w:right="69"/>
              <w:spacing w:after="0"/>
              <w:rPr>
                <w:sz w:val="20"/>
                <w:szCs w:val="20"/>
                <w:color w:val="auto"/>
              </w:rPr>
            </w:pPr>
            <w:r>
              <w:rPr>
                <w:rFonts w:ascii="Arial" w:cs="Arial" w:eastAsia="Arial" w:hAnsi="Arial"/>
                <w:sz w:val="14"/>
                <w:szCs w:val="14"/>
                <w:color w:val="auto"/>
              </w:rPr>
              <w:t>$ 1,164,588</w:t>
            </w:r>
          </w:p>
        </w:tc>
        <w:tc>
          <w:tcPr>
            <w:tcW w:w="1320" w:type="dxa"/>
            <w:vAlign w:val="bottom"/>
          </w:tcPr>
          <w:p>
            <w:pPr>
              <w:jc w:val="right"/>
              <w:ind w:right="309"/>
              <w:spacing w:after="0"/>
              <w:rPr>
                <w:sz w:val="20"/>
                <w:szCs w:val="20"/>
                <w:color w:val="auto"/>
              </w:rPr>
            </w:pPr>
            <w:r>
              <w:rPr>
                <w:rFonts w:ascii="Arial" w:cs="Arial" w:eastAsia="Arial" w:hAnsi="Arial"/>
                <w:sz w:val="14"/>
                <w:szCs w:val="14"/>
                <w:color w:val="auto"/>
              </w:rPr>
              <w:t>32,291</w:t>
            </w:r>
          </w:p>
        </w:tc>
        <w:tc>
          <w:tcPr>
            <w:tcW w:w="300" w:type="dxa"/>
            <w:vAlign w:val="bottom"/>
          </w:tcPr>
          <w:p>
            <w:pPr>
              <w:ind w:left="220"/>
              <w:spacing w:after="0"/>
              <w:rPr>
                <w:sz w:val="20"/>
                <w:szCs w:val="20"/>
                <w:color w:val="auto"/>
              </w:rPr>
            </w:pPr>
            <w:r>
              <w:rPr>
                <w:rFonts w:ascii="Arial" w:cs="Arial" w:eastAsia="Arial" w:hAnsi="Arial"/>
                <w:sz w:val="14"/>
                <w:szCs w:val="14"/>
                <w:color w:val="auto"/>
                <w:w w:val="76"/>
              </w:rPr>
              <w:t>$</w:t>
            </w:r>
          </w:p>
        </w:tc>
        <w:tc>
          <w:tcPr>
            <w:tcW w:w="880" w:type="dxa"/>
            <w:vAlign w:val="bottom"/>
            <w:tcBorders>
              <w:right w:val="single" w:sz="8" w:color="7F7F7F"/>
            </w:tcBorders>
          </w:tcPr>
          <w:p>
            <w:pPr>
              <w:jc w:val="right"/>
              <w:ind w:right="28"/>
              <w:spacing w:after="0"/>
              <w:rPr>
                <w:sz w:val="20"/>
                <w:szCs w:val="20"/>
                <w:color w:val="auto"/>
              </w:rPr>
            </w:pPr>
            <w:r>
              <w:rPr>
                <w:rFonts w:ascii="Arial" w:cs="Arial" w:eastAsia="Arial" w:hAnsi="Arial"/>
                <w:sz w:val="14"/>
                <w:szCs w:val="14"/>
                <w:color w:val="auto"/>
              </w:rPr>
              <w:t>3,789,316</w:t>
            </w:r>
          </w:p>
        </w:tc>
        <w:tc>
          <w:tcPr>
            <w:tcW w:w="0" w:type="dxa"/>
            <w:vAlign w:val="bottom"/>
          </w:tcPr>
          <w:p>
            <w:pPr>
              <w:spacing w:after="0"/>
              <w:rPr>
                <w:sz w:val="1"/>
                <w:szCs w:val="1"/>
                <w:color w:val="auto"/>
              </w:rPr>
            </w:pPr>
          </w:p>
        </w:tc>
      </w:tr>
      <w:tr>
        <w:trPr>
          <w:trHeight w:val="89"/>
        </w:trPr>
        <w:tc>
          <w:tcPr>
            <w:tcW w:w="1340" w:type="dxa"/>
            <w:vAlign w:val="bottom"/>
            <w:tcBorders>
              <w:left w:val="single" w:sz="8" w:color="7F7F7F"/>
            </w:tcBorders>
          </w:tcPr>
          <w:p>
            <w:pPr>
              <w:spacing w:after="0"/>
              <w:rPr>
                <w:sz w:val="7"/>
                <w:szCs w:val="7"/>
                <w:color w:val="auto"/>
              </w:rPr>
            </w:pPr>
          </w:p>
        </w:tc>
        <w:tc>
          <w:tcPr>
            <w:tcW w:w="8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Borders>
              <w:right w:val="single" w:sz="8" w:color="7F7F7F"/>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340" w:type="dxa"/>
            <w:vAlign w:val="bottom"/>
            <w:tcBorders>
              <w:left w:val="single" w:sz="8" w:color="7F7F7F"/>
            </w:tcBorders>
          </w:tcPr>
          <w:p>
            <w:pPr>
              <w:spacing w:after="0"/>
              <w:rPr>
                <w:sz w:val="18"/>
                <w:szCs w:val="18"/>
                <w:color w:val="auto"/>
              </w:rPr>
            </w:pPr>
          </w:p>
        </w:tc>
        <w:tc>
          <w:tcPr>
            <w:tcW w:w="86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1/30/2019</w:t>
            </w:r>
          </w:p>
        </w:tc>
        <w:tc>
          <w:tcPr>
            <w:tcW w:w="1060" w:type="dxa"/>
            <w:vAlign w:val="bottom"/>
            <w:tcBorders>
              <w:bottom w:val="single" w:sz="8" w:color="D8D8D8"/>
            </w:tcBorders>
            <w:shd w:val="clear" w:color="auto" w:fill="D8D8D8"/>
          </w:tcPr>
          <w:p>
            <w:pPr>
              <w:jc w:val="right"/>
              <w:ind w:right="108"/>
              <w:spacing w:after="0"/>
              <w:rPr>
                <w:sz w:val="20"/>
                <w:szCs w:val="20"/>
                <w:color w:val="auto"/>
              </w:rPr>
            </w:pPr>
            <w:r>
              <w:rPr>
                <w:rFonts w:ascii="Arial" w:cs="Arial" w:eastAsia="Arial" w:hAnsi="Arial"/>
                <w:sz w:val="14"/>
                <w:szCs w:val="14"/>
                <w:color w:val="auto"/>
              </w:rPr>
              <w:t>41,733</w:t>
            </w:r>
          </w:p>
        </w:tc>
        <w:tc>
          <w:tcPr>
            <w:tcW w:w="1520" w:type="dxa"/>
            <w:vAlign w:val="bottom"/>
            <w:tcBorders>
              <w:bottom w:val="single" w:sz="8" w:color="D8D8D8"/>
            </w:tcBorders>
            <w:shd w:val="clear" w:color="auto" w:fill="D8D8D8"/>
          </w:tcPr>
          <w:p>
            <w:pPr>
              <w:jc w:val="right"/>
              <w:ind w:right="389"/>
              <w:spacing w:after="0"/>
              <w:rPr>
                <w:sz w:val="20"/>
                <w:szCs w:val="20"/>
                <w:color w:val="auto"/>
              </w:rPr>
            </w:pPr>
            <w:r>
              <w:rPr>
                <w:rFonts w:ascii="Arial" w:cs="Arial" w:eastAsia="Arial" w:hAnsi="Arial"/>
                <w:sz w:val="14"/>
                <w:szCs w:val="14"/>
                <w:color w:val="auto"/>
              </w:rPr>
              <w:t>20,867</w:t>
            </w:r>
          </w:p>
        </w:tc>
        <w:tc>
          <w:tcPr>
            <w:tcW w:w="8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$ 113.01</w:t>
            </w:r>
          </w:p>
        </w:tc>
        <w:tc>
          <w:tcPr>
            <w:tcW w:w="82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1/30/2029</w:t>
            </w:r>
          </w:p>
        </w:tc>
        <w:tc>
          <w:tcPr>
            <w:tcW w:w="1040" w:type="dxa"/>
            <w:vAlign w:val="bottom"/>
            <w:tcBorders>
              <w:bottom w:val="single" w:sz="8" w:color="D8D8D8"/>
            </w:tcBorders>
            <w:shd w:val="clear" w:color="auto" w:fill="D8D8D8"/>
          </w:tcPr>
          <w:p>
            <w:pPr>
              <w:jc w:val="right"/>
              <w:ind w:right="128"/>
              <w:spacing w:after="0"/>
              <w:rPr>
                <w:sz w:val="20"/>
                <w:szCs w:val="20"/>
                <w:color w:val="auto"/>
              </w:rPr>
            </w:pPr>
            <w:r>
              <w:rPr>
                <w:rFonts w:ascii="Arial" w:cs="Arial" w:eastAsia="Arial" w:hAnsi="Arial"/>
                <w:sz w:val="14"/>
                <w:szCs w:val="14"/>
                <w:color w:val="auto"/>
              </w:rPr>
              <w:t>9,888</w:t>
            </w:r>
          </w:p>
        </w:tc>
        <w:tc>
          <w:tcPr>
            <w:tcW w:w="1060" w:type="dxa"/>
            <w:vAlign w:val="bottom"/>
            <w:tcBorders>
              <w:bottom w:val="single" w:sz="8" w:color="D8D8D8"/>
            </w:tcBorders>
            <w:shd w:val="clear" w:color="auto" w:fill="D8D8D8"/>
          </w:tcPr>
          <w:p>
            <w:pPr>
              <w:jc w:val="center"/>
              <w:ind w:right="69"/>
              <w:spacing w:after="0"/>
              <w:rPr>
                <w:sz w:val="20"/>
                <w:szCs w:val="20"/>
                <w:color w:val="auto"/>
              </w:rPr>
            </w:pPr>
            <w:r>
              <w:rPr>
                <w:rFonts w:ascii="Arial" w:cs="Arial" w:eastAsia="Arial" w:hAnsi="Arial"/>
                <w:sz w:val="14"/>
                <w:szCs w:val="14"/>
                <w:color w:val="auto"/>
              </w:rPr>
              <w:t>$ 1,160,299</w:t>
            </w:r>
          </w:p>
        </w:tc>
        <w:tc>
          <w:tcPr>
            <w:tcW w:w="1320" w:type="dxa"/>
            <w:vAlign w:val="bottom"/>
            <w:tcBorders>
              <w:bottom w:val="single" w:sz="8" w:color="D8D8D8"/>
            </w:tcBorders>
            <w:shd w:val="clear" w:color="auto" w:fill="D8D8D8"/>
          </w:tcPr>
          <w:p>
            <w:pPr>
              <w:spacing w:after="0"/>
              <w:rPr>
                <w:sz w:val="18"/>
                <w:szCs w:val="18"/>
                <w:color w:val="auto"/>
              </w:rPr>
            </w:pPr>
          </w:p>
        </w:tc>
        <w:tc>
          <w:tcPr>
            <w:tcW w:w="300" w:type="dxa"/>
            <w:vAlign w:val="bottom"/>
            <w:tcBorders>
              <w:bottom w:val="single" w:sz="8" w:color="D8D8D8"/>
            </w:tcBorders>
            <w:shd w:val="clear" w:color="auto" w:fill="D8D8D8"/>
          </w:tcPr>
          <w:p>
            <w:pPr>
              <w:spacing w:after="0"/>
              <w:rPr>
                <w:sz w:val="18"/>
                <w:szCs w:val="18"/>
                <w:color w:val="auto"/>
              </w:rPr>
            </w:pPr>
          </w:p>
        </w:tc>
        <w:tc>
          <w:tcPr>
            <w:tcW w:w="880" w:type="dxa"/>
            <w:vAlign w:val="bottom"/>
            <w:tcBorders>
              <w:bottom w:val="single" w:sz="8" w:color="D8D8D8"/>
              <w:right w:val="single" w:sz="8" w:color="7F7F7F"/>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40" w:type="dxa"/>
            <w:vAlign w:val="bottom"/>
            <w:tcBorders>
              <w:left w:val="single" w:sz="8" w:color="7F7F7F"/>
            </w:tcBorders>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1/31/2018</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52,900</w:t>
            </w:r>
          </w:p>
        </w:tc>
        <w:tc>
          <w:tcPr>
            <w:tcW w:w="1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$ 125.35</w:t>
            </w:r>
          </w:p>
        </w:tc>
        <w:tc>
          <w:tcPr>
            <w:tcW w:w="820" w:type="dxa"/>
            <w:vAlign w:val="bottom"/>
          </w:tcPr>
          <w:p>
            <w:pPr>
              <w:jc w:val="right"/>
              <w:spacing w:after="0"/>
              <w:rPr>
                <w:sz w:val="20"/>
                <w:szCs w:val="20"/>
                <w:color w:val="auto"/>
              </w:rPr>
            </w:pPr>
            <w:r>
              <w:rPr>
                <w:rFonts w:ascii="Arial" w:cs="Arial" w:eastAsia="Arial" w:hAnsi="Arial"/>
                <w:sz w:val="14"/>
                <w:szCs w:val="14"/>
                <w:color w:val="auto"/>
              </w:rPr>
              <w:t>1/31/2028</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8,910</w:t>
            </w:r>
          </w:p>
        </w:tc>
        <w:tc>
          <w:tcPr>
            <w:tcW w:w="1060" w:type="dxa"/>
            <w:vAlign w:val="bottom"/>
          </w:tcPr>
          <w:p>
            <w:pPr>
              <w:jc w:val="center"/>
              <w:ind w:right="69"/>
              <w:spacing w:after="0"/>
              <w:rPr>
                <w:sz w:val="20"/>
                <w:szCs w:val="20"/>
                <w:color w:val="auto"/>
              </w:rPr>
            </w:pPr>
            <w:r>
              <w:rPr>
                <w:rFonts w:ascii="Arial" w:cs="Arial" w:eastAsia="Arial" w:hAnsi="Arial"/>
                <w:sz w:val="14"/>
                <w:szCs w:val="14"/>
                <w:color w:val="auto"/>
              </w:rPr>
              <w:t>$ 1,045,557</w:t>
            </w: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Borders>
              <w:right w:val="single" w:sz="8" w:color="7F7F7F"/>
            </w:tcBorders>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1340" w:type="dxa"/>
            <w:vAlign w:val="bottom"/>
            <w:tcBorders>
              <w:left w:val="single" w:sz="8" w:color="7F7F7F"/>
            </w:tcBorders>
          </w:tcPr>
          <w:p>
            <w:pPr>
              <w:spacing w:after="0"/>
              <w:rPr>
                <w:sz w:val="7"/>
                <w:szCs w:val="7"/>
                <w:color w:val="auto"/>
              </w:rPr>
            </w:pPr>
          </w:p>
        </w:tc>
        <w:tc>
          <w:tcPr>
            <w:tcW w:w="8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Borders>
              <w:right w:val="single" w:sz="8" w:color="7F7F7F"/>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340" w:type="dxa"/>
            <w:vAlign w:val="bottom"/>
            <w:tcBorders>
              <w:left w:val="single" w:sz="8" w:color="7F7F7F"/>
            </w:tcBorders>
          </w:tcPr>
          <w:p>
            <w:pPr>
              <w:spacing w:after="0"/>
              <w:rPr>
                <w:sz w:val="18"/>
                <w:szCs w:val="18"/>
                <w:color w:val="auto"/>
              </w:rPr>
            </w:pPr>
          </w:p>
        </w:tc>
        <w:tc>
          <w:tcPr>
            <w:tcW w:w="86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1/25/2017</w:t>
            </w:r>
          </w:p>
        </w:tc>
        <w:tc>
          <w:tcPr>
            <w:tcW w:w="1060" w:type="dxa"/>
            <w:vAlign w:val="bottom"/>
            <w:tcBorders>
              <w:bottom w:val="single" w:sz="8" w:color="D8D8D8"/>
            </w:tcBorders>
            <w:shd w:val="clear" w:color="auto" w:fill="D8D8D8"/>
          </w:tcPr>
          <w:p>
            <w:pPr>
              <w:jc w:val="right"/>
              <w:ind w:right="108"/>
              <w:spacing w:after="0"/>
              <w:rPr>
                <w:sz w:val="20"/>
                <w:szCs w:val="20"/>
                <w:color w:val="auto"/>
              </w:rPr>
            </w:pPr>
            <w:r>
              <w:rPr>
                <w:rFonts w:ascii="Arial" w:cs="Arial" w:eastAsia="Arial" w:hAnsi="Arial"/>
                <w:sz w:val="14"/>
                <w:szCs w:val="14"/>
                <w:color w:val="auto"/>
              </w:rPr>
              <w:t>62,200</w:t>
            </w:r>
          </w:p>
        </w:tc>
        <w:tc>
          <w:tcPr>
            <w:tcW w:w="1520" w:type="dxa"/>
            <w:vAlign w:val="bottom"/>
            <w:tcBorders>
              <w:bottom w:val="single" w:sz="8" w:color="D8D8D8"/>
            </w:tcBorders>
            <w:shd w:val="clear" w:color="auto" w:fill="D8D8D8"/>
          </w:tcPr>
          <w:p>
            <w:pPr>
              <w:spacing w:after="0"/>
              <w:rPr>
                <w:sz w:val="18"/>
                <w:szCs w:val="18"/>
                <w:color w:val="auto"/>
              </w:rPr>
            </w:pPr>
          </w:p>
        </w:tc>
        <w:tc>
          <w:tcPr>
            <w:tcW w:w="8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$ 117.24</w:t>
            </w:r>
          </w:p>
        </w:tc>
        <w:tc>
          <w:tcPr>
            <w:tcW w:w="82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1/25/2027</w:t>
            </w:r>
          </w:p>
        </w:tc>
        <w:tc>
          <w:tcPr>
            <w:tcW w:w="1040" w:type="dxa"/>
            <w:vAlign w:val="bottom"/>
            <w:tcBorders>
              <w:bottom w:val="single" w:sz="8" w:color="D8D8D8"/>
            </w:tcBorders>
            <w:shd w:val="clear" w:color="auto" w:fill="D8D8D8"/>
          </w:tcPr>
          <w:p>
            <w:pPr>
              <w:jc w:val="right"/>
              <w:ind w:right="128"/>
              <w:spacing w:after="0"/>
              <w:rPr>
                <w:sz w:val="20"/>
                <w:szCs w:val="20"/>
                <w:color w:val="auto"/>
              </w:rPr>
            </w:pPr>
            <w:r>
              <w:rPr>
                <w:rFonts w:ascii="Arial" w:cs="Arial" w:eastAsia="Arial" w:hAnsi="Arial"/>
                <w:sz w:val="14"/>
                <w:szCs w:val="14"/>
                <w:color w:val="auto"/>
              </w:rPr>
              <w:t>9,697</w:t>
            </w:r>
          </w:p>
        </w:tc>
        <w:tc>
          <w:tcPr>
            <w:tcW w:w="1060" w:type="dxa"/>
            <w:vAlign w:val="bottom"/>
            <w:tcBorders>
              <w:bottom w:val="single" w:sz="8" w:color="D8D8D8"/>
            </w:tcBorders>
            <w:shd w:val="clear" w:color="auto" w:fill="D8D8D8"/>
          </w:tcPr>
          <w:p>
            <w:pPr>
              <w:jc w:val="center"/>
              <w:ind w:right="69"/>
              <w:spacing w:after="0"/>
              <w:rPr>
                <w:sz w:val="20"/>
                <w:szCs w:val="20"/>
                <w:color w:val="auto"/>
              </w:rPr>
            </w:pPr>
            <w:r>
              <w:rPr>
                <w:rFonts w:ascii="Arial" w:cs="Arial" w:eastAsia="Arial" w:hAnsi="Arial"/>
                <w:sz w:val="14"/>
                <w:szCs w:val="14"/>
                <w:color w:val="auto"/>
              </w:rPr>
              <w:t>$ 1,137,943</w:t>
            </w:r>
          </w:p>
        </w:tc>
        <w:tc>
          <w:tcPr>
            <w:tcW w:w="1320" w:type="dxa"/>
            <w:vAlign w:val="bottom"/>
            <w:tcBorders>
              <w:bottom w:val="single" w:sz="8" w:color="D8D8D8"/>
            </w:tcBorders>
            <w:shd w:val="clear" w:color="auto" w:fill="D8D8D8"/>
          </w:tcPr>
          <w:p>
            <w:pPr>
              <w:spacing w:after="0"/>
              <w:rPr>
                <w:sz w:val="18"/>
                <w:szCs w:val="18"/>
                <w:color w:val="auto"/>
              </w:rPr>
            </w:pPr>
          </w:p>
        </w:tc>
        <w:tc>
          <w:tcPr>
            <w:tcW w:w="300" w:type="dxa"/>
            <w:vAlign w:val="bottom"/>
            <w:tcBorders>
              <w:bottom w:val="single" w:sz="8" w:color="D8D8D8"/>
            </w:tcBorders>
            <w:shd w:val="clear" w:color="auto" w:fill="D8D8D8"/>
          </w:tcPr>
          <w:p>
            <w:pPr>
              <w:spacing w:after="0"/>
              <w:rPr>
                <w:sz w:val="18"/>
                <w:szCs w:val="18"/>
                <w:color w:val="auto"/>
              </w:rPr>
            </w:pPr>
          </w:p>
        </w:tc>
        <w:tc>
          <w:tcPr>
            <w:tcW w:w="880" w:type="dxa"/>
            <w:vAlign w:val="bottom"/>
            <w:tcBorders>
              <w:bottom w:val="single" w:sz="8" w:color="D8D8D8"/>
              <w:right w:val="single" w:sz="8" w:color="7F7F7F"/>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40" w:type="dxa"/>
            <w:vAlign w:val="bottom"/>
            <w:tcBorders>
              <w:left w:val="single" w:sz="8" w:color="7F7F7F"/>
            </w:tcBorders>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1/27/2016</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234,900</w:t>
            </w:r>
          </w:p>
        </w:tc>
        <w:tc>
          <w:tcPr>
            <w:tcW w:w="1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  83.29</w:t>
            </w:r>
          </w:p>
        </w:tc>
        <w:tc>
          <w:tcPr>
            <w:tcW w:w="820" w:type="dxa"/>
            <w:vAlign w:val="bottom"/>
          </w:tcPr>
          <w:p>
            <w:pPr>
              <w:jc w:val="right"/>
              <w:spacing w:after="0"/>
              <w:rPr>
                <w:sz w:val="20"/>
                <w:szCs w:val="20"/>
                <w:color w:val="auto"/>
              </w:rPr>
            </w:pPr>
            <w:r>
              <w:rPr>
                <w:rFonts w:ascii="Arial" w:cs="Arial" w:eastAsia="Arial" w:hAnsi="Arial"/>
                <w:sz w:val="14"/>
                <w:szCs w:val="14"/>
                <w:color w:val="auto"/>
              </w:rPr>
              <w:t>1/27/2026</w:t>
            </w: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Borders>
              <w:right w:val="single" w:sz="8" w:color="7F7F7F"/>
            </w:tcBorders>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1340" w:type="dxa"/>
            <w:vAlign w:val="bottom"/>
            <w:tcBorders>
              <w:left w:val="single" w:sz="8" w:color="7F7F7F"/>
            </w:tcBorders>
          </w:tcPr>
          <w:p>
            <w:pPr>
              <w:spacing w:after="0"/>
              <w:rPr>
                <w:sz w:val="7"/>
                <w:szCs w:val="7"/>
                <w:color w:val="auto"/>
              </w:rPr>
            </w:pPr>
          </w:p>
        </w:tc>
        <w:tc>
          <w:tcPr>
            <w:tcW w:w="8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Borders>
              <w:right w:val="single" w:sz="8" w:color="7F7F7F"/>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340" w:type="dxa"/>
            <w:vAlign w:val="bottom"/>
            <w:tcBorders>
              <w:left w:val="single" w:sz="8" w:color="7F7F7F"/>
            </w:tcBorders>
          </w:tcPr>
          <w:p>
            <w:pPr>
              <w:spacing w:after="0"/>
              <w:rPr>
                <w:sz w:val="18"/>
                <w:szCs w:val="18"/>
                <w:color w:val="auto"/>
              </w:rPr>
            </w:pPr>
          </w:p>
        </w:tc>
        <w:tc>
          <w:tcPr>
            <w:tcW w:w="86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1/28/2015</w:t>
            </w:r>
          </w:p>
        </w:tc>
        <w:tc>
          <w:tcPr>
            <w:tcW w:w="1060" w:type="dxa"/>
            <w:vAlign w:val="bottom"/>
            <w:tcBorders>
              <w:bottom w:val="single" w:sz="8" w:color="D8D8D8"/>
            </w:tcBorders>
            <w:shd w:val="clear" w:color="auto" w:fill="D8D8D8"/>
          </w:tcPr>
          <w:p>
            <w:pPr>
              <w:jc w:val="right"/>
              <w:ind w:right="108"/>
              <w:spacing w:after="0"/>
              <w:rPr>
                <w:sz w:val="20"/>
                <w:szCs w:val="20"/>
                <w:color w:val="auto"/>
              </w:rPr>
            </w:pPr>
            <w:r>
              <w:rPr>
                <w:rFonts w:ascii="Arial" w:cs="Arial" w:eastAsia="Arial" w:hAnsi="Arial"/>
                <w:sz w:val="14"/>
                <w:szCs w:val="14"/>
                <w:color w:val="auto"/>
              </w:rPr>
              <w:t>86,300</w:t>
            </w:r>
          </w:p>
        </w:tc>
        <w:tc>
          <w:tcPr>
            <w:tcW w:w="1520" w:type="dxa"/>
            <w:vAlign w:val="bottom"/>
            <w:tcBorders>
              <w:bottom w:val="single" w:sz="8" w:color="D8D8D8"/>
            </w:tcBorders>
            <w:shd w:val="clear" w:color="auto" w:fill="D8D8D8"/>
          </w:tcPr>
          <w:p>
            <w:pPr>
              <w:spacing w:after="0"/>
              <w:rPr>
                <w:sz w:val="18"/>
                <w:szCs w:val="18"/>
                <w:color w:val="auto"/>
              </w:rPr>
            </w:pPr>
          </w:p>
        </w:tc>
        <w:tc>
          <w:tcPr>
            <w:tcW w:w="8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$ 103.71</w:t>
            </w:r>
          </w:p>
        </w:tc>
        <w:tc>
          <w:tcPr>
            <w:tcW w:w="82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1/28/2025</w:t>
            </w:r>
          </w:p>
        </w:tc>
        <w:tc>
          <w:tcPr>
            <w:tcW w:w="1040" w:type="dxa"/>
            <w:vAlign w:val="bottom"/>
            <w:tcBorders>
              <w:bottom w:val="single" w:sz="8" w:color="D8D8D8"/>
            </w:tcBorders>
            <w:shd w:val="clear" w:color="auto" w:fill="D8D8D8"/>
          </w:tcPr>
          <w:p>
            <w:pPr>
              <w:spacing w:after="0"/>
              <w:rPr>
                <w:sz w:val="18"/>
                <w:szCs w:val="18"/>
                <w:color w:val="auto"/>
              </w:rPr>
            </w:pPr>
          </w:p>
        </w:tc>
        <w:tc>
          <w:tcPr>
            <w:tcW w:w="1060" w:type="dxa"/>
            <w:vAlign w:val="bottom"/>
            <w:tcBorders>
              <w:bottom w:val="single" w:sz="8" w:color="D8D8D8"/>
            </w:tcBorders>
            <w:shd w:val="clear" w:color="auto" w:fill="D8D8D8"/>
          </w:tcPr>
          <w:p>
            <w:pPr>
              <w:spacing w:after="0"/>
              <w:rPr>
                <w:sz w:val="18"/>
                <w:szCs w:val="18"/>
                <w:color w:val="auto"/>
              </w:rPr>
            </w:pPr>
          </w:p>
        </w:tc>
        <w:tc>
          <w:tcPr>
            <w:tcW w:w="1320" w:type="dxa"/>
            <w:vAlign w:val="bottom"/>
            <w:tcBorders>
              <w:bottom w:val="single" w:sz="8" w:color="D8D8D8"/>
            </w:tcBorders>
            <w:shd w:val="clear" w:color="auto" w:fill="D8D8D8"/>
          </w:tcPr>
          <w:p>
            <w:pPr>
              <w:spacing w:after="0"/>
              <w:rPr>
                <w:sz w:val="18"/>
                <w:szCs w:val="18"/>
                <w:color w:val="auto"/>
              </w:rPr>
            </w:pPr>
          </w:p>
        </w:tc>
        <w:tc>
          <w:tcPr>
            <w:tcW w:w="300" w:type="dxa"/>
            <w:vAlign w:val="bottom"/>
            <w:tcBorders>
              <w:bottom w:val="single" w:sz="8" w:color="D8D8D8"/>
            </w:tcBorders>
            <w:shd w:val="clear" w:color="auto" w:fill="D8D8D8"/>
          </w:tcPr>
          <w:p>
            <w:pPr>
              <w:spacing w:after="0"/>
              <w:rPr>
                <w:sz w:val="18"/>
                <w:szCs w:val="18"/>
                <w:color w:val="auto"/>
              </w:rPr>
            </w:pPr>
          </w:p>
        </w:tc>
        <w:tc>
          <w:tcPr>
            <w:tcW w:w="880" w:type="dxa"/>
            <w:vAlign w:val="bottom"/>
            <w:tcBorders>
              <w:bottom w:val="single" w:sz="8" w:color="D8D8D8"/>
              <w:right w:val="single" w:sz="8" w:color="7F7F7F"/>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40" w:type="dxa"/>
            <w:vAlign w:val="bottom"/>
            <w:tcBorders>
              <w:left w:val="single" w:sz="8" w:color="7F7F7F"/>
            </w:tcBorders>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1/29/2014</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45,000</w:t>
            </w:r>
          </w:p>
        </w:tc>
        <w:tc>
          <w:tcPr>
            <w:tcW w:w="1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$ 116.00</w:t>
            </w:r>
          </w:p>
        </w:tc>
        <w:tc>
          <w:tcPr>
            <w:tcW w:w="820" w:type="dxa"/>
            <w:vAlign w:val="bottom"/>
          </w:tcPr>
          <w:p>
            <w:pPr>
              <w:jc w:val="right"/>
              <w:spacing w:after="0"/>
              <w:rPr>
                <w:sz w:val="20"/>
                <w:szCs w:val="20"/>
                <w:color w:val="auto"/>
              </w:rPr>
            </w:pPr>
            <w:r>
              <w:rPr>
                <w:rFonts w:ascii="Arial" w:cs="Arial" w:eastAsia="Arial" w:hAnsi="Arial"/>
                <w:sz w:val="14"/>
                <w:szCs w:val="14"/>
                <w:color w:val="auto"/>
              </w:rPr>
              <w:t>1/29/2024</w:t>
            </w: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Borders>
              <w:right w:val="single" w:sz="8" w:color="7F7F7F"/>
            </w:tcBorders>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1340" w:type="dxa"/>
            <w:vAlign w:val="bottom"/>
            <w:tcBorders>
              <w:left w:val="single" w:sz="8" w:color="7F7F7F"/>
            </w:tcBorders>
          </w:tcPr>
          <w:p>
            <w:pPr>
              <w:spacing w:after="0"/>
              <w:rPr>
                <w:sz w:val="7"/>
                <w:szCs w:val="7"/>
                <w:color w:val="auto"/>
              </w:rPr>
            </w:pPr>
          </w:p>
        </w:tc>
        <w:tc>
          <w:tcPr>
            <w:tcW w:w="8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Borders>
              <w:right w:val="single" w:sz="8" w:color="7F7F7F"/>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340" w:type="dxa"/>
            <w:vAlign w:val="bottom"/>
            <w:tcBorders>
              <w:left w:val="single" w:sz="8" w:color="7F7F7F"/>
            </w:tcBorders>
          </w:tcPr>
          <w:p>
            <w:pPr>
              <w:spacing w:after="0"/>
              <w:rPr>
                <w:sz w:val="19"/>
                <w:szCs w:val="19"/>
                <w:color w:val="auto"/>
              </w:rPr>
            </w:pPr>
          </w:p>
        </w:tc>
        <w:tc>
          <w:tcPr>
            <w:tcW w:w="86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1/30/2013</w:t>
            </w:r>
          </w:p>
        </w:tc>
        <w:tc>
          <w:tcPr>
            <w:tcW w:w="1060" w:type="dxa"/>
            <w:vAlign w:val="bottom"/>
            <w:tcBorders>
              <w:bottom w:val="single" w:sz="8" w:color="D8D8D8"/>
            </w:tcBorders>
            <w:shd w:val="clear" w:color="auto" w:fill="D8D8D8"/>
          </w:tcPr>
          <w:p>
            <w:pPr>
              <w:jc w:val="right"/>
              <w:ind w:right="108"/>
              <w:spacing w:after="0"/>
              <w:rPr>
                <w:sz w:val="20"/>
                <w:szCs w:val="20"/>
                <w:color w:val="auto"/>
              </w:rPr>
            </w:pPr>
            <w:r>
              <w:rPr>
                <w:rFonts w:ascii="Arial" w:cs="Arial" w:eastAsia="Arial" w:hAnsi="Arial"/>
                <w:sz w:val="14"/>
                <w:szCs w:val="14"/>
                <w:color w:val="auto"/>
              </w:rPr>
              <w:t>37,000</w:t>
            </w:r>
          </w:p>
        </w:tc>
        <w:tc>
          <w:tcPr>
            <w:tcW w:w="1520" w:type="dxa"/>
            <w:vAlign w:val="bottom"/>
            <w:tcBorders>
              <w:bottom w:val="single" w:sz="8" w:color="D8D8D8"/>
            </w:tcBorders>
            <w:shd w:val="clear" w:color="auto" w:fill="D8D8D8"/>
          </w:tcPr>
          <w:p>
            <w:pPr>
              <w:spacing w:after="0"/>
              <w:rPr>
                <w:sz w:val="19"/>
                <w:szCs w:val="19"/>
                <w:color w:val="auto"/>
              </w:rPr>
            </w:pPr>
          </w:p>
        </w:tc>
        <w:tc>
          <w:tcPr>
            <w:tcW w:w="8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$ 116.45</w:t>
            </w:r>
          </w:p>
        </w:tc>
        <w:tc>
          <w:tcPr>
            <w:tcW w:w="82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1/30/2023</w:t>
            </w:r>
          </w:p>
        </w:tc>
        <w:tc>
          <w:tcPr>
            <w:tcW w:w="1040" w:type="dxa"/>
            <w:vAlign w:val="bottom"/>
            <w:tcBorders>
              <w:bottom w:val="single" w:sz="8" w:color="D8D8D8"/>
            </w:tcBorders>
            <w:shd w:val="clear" w:color="auto" w:fill="D8D8D8"/>
          </w:tcPr>
          <w:p>
            <w:pPr>
              <w:spacing w:after="0"/>
              <w:rPr>
                <w:sz w:val="19"/>
                <w:szCs w:val="19"/>
                <w:color w:val="auto"/>
              </w:rPr>
            </w:pPr>
          </w:p>
        </w:tc>
        <w:tc>
          <w:tcPr>
            <w:tcW w:w="1060" w:type="dxa"/>
            <w:vAlign w:val="bottom"/>
            <w:tcBorders>
              <w:bottom w:val="single" w:sz="8" w:color="D8D8D8"/>
            </w:tcBorders>
            <w:shd w:val="clear" w:color="auto" w:fill="D8D8D8"/>
          </w:tcPr>
          <w:p>
            <w:pPr>
              <w:spacing w:after="0"/>
              <w:rPr>
                <w:sz w:val="19"/>
                <w:szCs w:val="19"/>
                <w:color w:val="auto"/>
              </w:rPr>
            </w:pPr>
          </w:p>
        </w:tc>
        <w:tc>
          <w:tcPr>
            <w:tcW w:w="1320" w:type="dxa"/>
            <w:vAlign w:val="bottom"/>
            <w:tcBorders>
              <w:bottom w:val="single" w:sz="8" w:color="D8D8D8"/>
            </w:tcBorders>
            <w:shd w:val="clear" w:color="auto" w:fill="D8D8D8"/>
          </w:tcPr>
          <w:p>
            <w:pPr>
              <w:spacing w:after="0"/>
              <w:rPr>
                <w:sz w:val="19"/>
                <w:szCs w:val="19"/>
                <w:color w:val="auto"/>
              </w:rPr>
            </w:pPr>
          </w:p>
        </w:tc>
        <w:tc>
          <w:tcPr>
            <w:tcW w:w="300" w:type="dxa"/>
            <w:vAlign w:val="bottom"/>
            <w:tcBorders>
              <w:bottom w:val="single" w:sz="8" w:color="D8D8D8"/>
            </w:tcBorders>
            <w:shd w:val="clear" w:color="auto" w:fill="D8D8D8"/>
          </w:tcPr>
          <w:p>
            <w:pPr>
              <w:spacing w:after="0"/>
              <w:rPr>
                <w:sz w:val="19"/>
                <w:szCs w:val="19"/>
                <w:color w:val="auto"/>
              </w:rPr>
            </w:pPr>
          </w:p>
        </w:tc>
        <w:tc>
          <w:tcPr>
            <w:tcW w:w="880" w:type="dxa"/>
            <w:vAlign w:val="bottom"/>
            <w:tcBorders>
              <w:bottom w:val="single" w:sz="8" w:color="D8D8D8"/>
              <w:right w:val="single" w:sz="8" w:color="7F7F7F"/>
            </w:tcBorders>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340" w:type="dxa"/>
            <w:vAlign w:val="bottom"/>
            <w:tcBorders>
              <w:top w:val="single" w:sz="8" w:color="7F7F7F"/>
              <w:left w:val="single" w:sz="8" w:color="7F7F7F"/>
            </w:tcBorders>
          </w:tcPr>
          <w:p>
            <w:pPr>
              <w:ind w:left="160"/>
              <w:spacing w:after="0"/>
              <w:rPr>
                <w:sz w:val="20"/>
                <w:szCs w:val="20"/>
                <w:color w:val="auto"/>
              </w:rPr>
            </w:pPr>
            <w:r>
              <w:rPr>
                <w:rFonts w:ascii="Arial" w:cs="Arial" w:eastAsia="Arial" w:hAnsi="Arial"/>
                <w:sz w:val="14"/>
                <w:szCs w:val="14"/>
                <w:color w:val="auto"/>
              </w:rPr>
              <w:t>J.W. Johnson</w:t>
            </w:r>
          </w:p>
        </w:tc>
        <w:tc>
          <w:tcPr>
            <w:tcW w:w="86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1/27/2021</w:t>
            </w:r>
          </w:p>
        </w:tc>
        <w:tc>
          <w:tcPr>
            <w:tcW w:w="1060" w:type="dxa"/>
            <w:vAlign w:val="bottom"/>
            <w:tcBorders>
              <w:top w:val="single" w:sz="8" w:color="7F7F7F"/>
            </w:tcBorders>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7F7F7F"/>
            </w:tcBorders>
          </w:tcPr>
          <w:p>
            <w:pPr>
              <w:jc w:val="right"/>
              <w:ind w:right="389"/>
              <w:spacing w:after="0"/>
              <w:rPr>
                <w:sz w:val="20"/>
                <w:szCs w:val="20"/>
                <w:color w:val="auto"/>
              </w:rPr>
            </w:pPr>
            <w:r>
              <w:rPr>
                <w:rFonts w:ascii="Arial" w:cs="Arial" w:eastAsia="Arial" w:hAnsi="Arial"/>
                <w:sz w:val="14"/>
                <w:szCs w:val="14"/>
                <w:color w:val="auto"/>
              </w:rPr>
              <w:t>106,300</w:t>
            </w:r>
          </w:p>
        </w:tc>
        <w:tc>
          <w:tcPr>
            <w:tcW w:w="84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  88.20</w:t>
            </w:r>
          </w:p>
        </w:tc>
        <w:tc>
          <w:tcPr>
            <w:tcW w:w="82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1/27/2031</w:t>
            </w:r>
          </w:p>
        </w:tc>
        <w:tc>
          <w:tcPr>
            <w:tcW w:w="1040" w:type="dxa"/>
            <w:vAlign w:val="bottom"/>
            <w:tcBorders>
              <w:top w:val="single" w:sz="8" w:color="7F7F7F"/>
            </w:tcBorders>
          </w:tcPr>
          <w:p>
            <w:pPr>
              <w:jc w:val="right"/>
              <w:ind w:right="128"/>
              <w:spacing w:after="0"/>
              <w:rPr>
                <w:sz w:val="20"/>
                <w:szCs w:val="20"/>
                <w:color w:val="auto"/>
              </w:rPr>
            </w:pPr>
            <w:r>
              <w:rPr>
                <w:rFonts w:ascii="Arial" w:cs="Arial" w:eastAsia="Arial" w:hAnsi="Arial"/>
                <w:sz w:val="14"/>
                <w:szCs w:val="14"/>
                <w:color w:val="auto"/>
              </w:rPr>
              <w:t>15,468</w:t>
            </w:r>
          </w:p>
        </w:tc>
        <w:tc>
          <w:tcPr>
            <w:tcW w:w="1060" w:type="dxa"/>
            <w:vAlign w:val="bottom"/>
            <w:tcBorders>
              <w:top w:val="single" w:sz="8" w:color="7F7F7F"/>
            </w:tcBorders>
          </w:tcPr>
          <w:p>
            <w:pPr>
              <w:jc w:val="center"/>
              <w:ind w:right="69"/>
              <w:spacing w:after="0"/>
              <w:rPr>
                <w:sz w:val="20"/>
                <w:szCs w:val="20"/>
                <w:color w:val="auto"/>
              </w:rPr>
            </w:pPr>
            <w:r>
              <w:rPr>
                <w:rFonts w:ascii="Arial" w:cs="Arial" w:eastAsia="Arial" w:hAnsi="Arial"/>
                <w:sz w:val="14"/>
                <w:szCs w:val="14"/>
                <w:color w:val="auto"/>
              </w:rPr>
              <w:t>$ 1,815,216</w:t>
            </w:r>
          </w:p>
        </w:tc>
        <w:tc>
          <w:tcPr>
            <w:tcW w:w="1320" w:type="dxa"/>
            <w:vAlign w:val="bottom"/>
            <w:tcBorders>
              <w:top w:val="single" w:sz="8" w:color="7F7F7F"/>
            </w:tcBorders>
          </w:tcPr>
          <w:p>
            <w:pPr>
              <w:jc w:val="right"/>
              <w:ind w:right="309"/>
              <w:spacing w:after="0"/>
              <w:rPr>
                <w:sz w:val="20"/>
                <w:szCs w:val="20"/>
                <w:color w:val="auto"/>
              </w:rPr>
            </w:pPr>
            <w:r>
              <w:rPr>
                <w:rFonts w:ascii="Arial" w:cs="Arial" w:eastAsia="Arial" w:hAnsi="Arial"/>
                <w:sz w:val="14"/>
                <w:szCs w:val="14"/>
                <w:color w:val="auto"/>
              </w:rPr>
              <w:t>61,874</w:t>
            </w:r>
          </w:p>
        </w:tc>
        <w:tc>
          <w:tcPr>
            <w:tcW w:w="300" w:type="dxa"/>
            <w:vAlign w:val="bottom"/>
            <w:tcBorders>
              <w:top w:val="single" w:sz="8" w:color="7F7F7F"/>
            </w:tcBorders>
          </w:tcPr>
          <w:p>
            <w:pPr>
              <w:ind w:left="22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7F7F7F"/>
              <w:right w:val="single" w:sz="8" w:color="7F7F7F"/>
            </w:tcBorders>
          </w:tcPr>
          <w:p>
            <w:pPr>
              <w:jc w:val="right"/>
              <w:ind w:right="28"/>
              <w:spacing w:after="0"/>
              <w:rPr>
                <w:sz w:val="20"/>
                <w:szCs w:val="20"/>
                <w:color w:val="auto"/>
              </w:rPr>
            </w:pPr>
            <w:r>
              <w:rPr>
                <w:rFonts w:ascii="Arial" w:cs="Arial" w:eastAsia="Arial" w:hAnsi="Arial"/>
                <w:sz w:val="14"/>
                <w:szCs w:val="14"/>
                <w:color w:val="auto"/>
              </w:rPr>
              <w:t>7,260,864</w:t>
            </w:r>
          </w:p>
        </w:tc>
        <w:tc>
          <w:tcPr>
            <w:tcW w:w="0" w:type="dxa"/>
            <w:vAlign w:val="bottom"/>
          </w:tcPr>
          <w:p>
            <w:pPr>
              <w:spacing w:after="0"/>
              <w:rPr>
                <w:sz w:val="1"/>
                <w:szCs w:val="1"/>
                <w:color w:val="auto"/>
              </w:rPr>
            </w:pPr>
          </w:p>
        </w:tc>
      </w:tr>
      <w:tr>
        <w:trPr>
          <w:trHeight w:val="35"/>
        </w:trPr>
        <w:tc>
          <w:tcPr>
            <w:tcW w:w="1340" w:type="dxa"/>
            <w:vAlign w:val="bottom"/>
            <w:tcBorders>
              <w:left w:val="single" w:sz="8" w:color="7F7F7F"/>
            </w:tcBorders>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Borders>
              <w:right w:val="single" w:sz="8" w:color="7F7F7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1340" w:type="dxa"/>
            <w:vAlign w:val="bottom"/>
            <w:tcBorders>
              <w:left w:val="single" w:sz="8" w:color="7F7F7F"/>
            </w:tcBorders>
          </w:tcPr>
          <w:p>
            <w:pPr>
              <w:spacing w:after="0"/>
              <w:rPr>
                <w:sz w:val="21"/>
                <w:szCs w:val="21"/>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1/29/2020</w:t>
            </w:r>
          </w:p>
        </w:tc>
        <w:tc>
          <w:tcPr>
            <w:tcW w:w="1060" w:type="dxa"/>
            <w:vAlign w:val="bottom"/>
            <w:shd w:val="clear" w:color="auto" w:fill="D8D8D8"/>
          </w:tcPr>
          <w:p>
            <w:pPr>
              <w:jc w:val="right"/>
              <w:ind w:right="108"/>
              <w:spacing w:after="0"/>
              <w:rPr>
                <w:sz w:val="20"/>
                <w:szCs w:val="20"/>
                <w:color w:val="auto"/>
              </w:rPr>
            </w:pPr>
            <w:r>
              <w:rPr>
                <w:rFonts w:ascii="Arial" w:cs="Arial" w:eastAsia="Arial" w:hAnsi="Arial"/>
                <w:sz w:val="14"/>
                <w:szCs w:val="14"/>
                <w:color w:val="auto"/>
              </w:rPr>
              <w:t>33,333</w:t>
            </w:r>
          </w:p>
        </w:tc>
        <w:tc>
          <w:tcPr>
            <w:tcW w:w="1520" w:type="dxa"/>
            <w:vAlign w:val="bottom"/>
            <w:shd w:val="clear" w:color="auto" w:fill="D8D8D8"/>
          </w:tcPr>
          <w:p>
            <w:pPr>
              <w:jc w:val="right"/>
              <w:ind w:right="389"/>
              <w:spacing w:after="0"/>
              <w:rPr>
                <w:sz w:val="20"/>
                <w:szCs w:val="20"/>
                <w:color w:val="auto"/>
              </w:rPr>
            </w:pPr>
            <w:r>
              <w:rPr>
                <w:rFonts w:ascii="Arial" w:cs="Arial" w:eastAsia="Arial" w:hAnsi="Arial"/>
                <w:sz w:val="14"/>
                <w:szCs w:val="14"/>
                <w:color w:val="auto"/>
              </w:rPr>
              <w:t>66,667</w:t>
            </w:r>
          </w:p>
        </w:tc>
        <w:tc>
          <w:tcPr>
            <w:tcW w:w="8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$ 110.37</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1/29/2030</w:t>
            </w:r>
          </w:p>
        </w:tc>
        <w:tc>
          <w:tcPr>
            <w:tcW w:w="104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rPr>
              <w:t>12,540</w:t>
            </w:r>
          </w:p>
        </w:tc>
        <w:tc>
          <w:tcPr>
            <w:tcW w:w="1060" w:type="dxa"/>
            <w:vAlign w:val="bottom"/>
            <w:shd w:val="clear" w:color="auto" w:fill="D8D8D8"/>
          </w:tcPr>
          <w:p>
            <w:pPr>
              <w:jc w:val="center"/>
              <w:ind w:right="69"/>
              <w:spacing w:after="0"/>
              <w:rPr>
                <w:sz w:val="20"/>
                <w:szCs w:val="20"/>
                <w:color w:val="auto"/>
              </w:rPr>
            </w:pPr>
            <w:r>
              <w:rPr>
                <w:rFonts w:ascii="Arial" w:cs="Arial" w:eastAsia="Arial" w:hAnsi="Arial"/>
                <w:sz w:val="14"/>
                <w:szCs w:val="14"/>
                <w:color w:val="auto"/>
              </w:rPr>
              <w:t>$ 1,471,623</w:t>
            </w:r>
          </w:p>
        </w:tc>
        <w:tc>
          <w:tcPr>
            <w:tcW w:w="1320" w:type="dxa"/>
            <w:vAlign w:val="bottom"/>
            <w:shd w:val="clear" w:color="auto" w:fill="D8D8D8"/>
          </w:tcPr>
          <w:p>
            <w:pPr>
              <w:jc w:val="right"/>
              <w:ind w:right="309"/>
              <w:spacing w:after="0"/>
              <w:rPr>
                <w:sz w:val="20"/>
                <w:szCs w:val="20"/>
                <w:color w:val="auto"/>
              </w:rPr>
            </w:pPr>
            <w:r>
              <w:rPr>
                <w:rFonts w:ascii="Arial" w:cs="Arial" w:eastAsia="Arial" w:hAnsi="Arial"/>
                <w:sz w:val="14"/>
                <w:szCs w:val="14"/>
                <w:color w:val="auto"/>
              </w:rPr>
              <w:t>41,944</w:t>
            </w:r>
          </w:p>
        </w:tc>
        <w:tc>
          <w:tcPr>
            <w:tcW w:w="300" w:type="dxa"/>
            <w:vAlign w:val="bottom"/>
            <w:shd w:val="clear" w:color="auto" w:fill="D8D8D8"/>
          </w:tcPr>
          <w:p>
            <w:pPr>
              <w:ind w:left="220"/>
              <w:spacing w:after="0"/>
              <w:rPr>
                <w:sz w:val="20"/>
                <w:szCs w:val="20"/>
                <w:color w:val="auto"/>
              </w:rPr>
            </w:pPr>
            <w:r>
              <w:rPr>
                <w:rFonts w:ascii="Arial" w:cs="Arial" w:eastAsia="Arial" w:hAnsi="Arial"/>
                <w:sz w:val="14"/>
                <w:szCs w:val="14"/>
                <w:color w:val="auto"/>
                <w:w w:val="76"/>
              </w:rPr>
              <w:t>$</w:t>
            </w:r>
          </w:p>
        </w:tc>
        <w:tc>
          <w:tcPr>
            <w:tcW w:w="880" w:type="dxa"/>
            <w:vAlign w:val="bottom"/>
            <w:tcBorders>
              <w:right w:val="single" w:sz="8" w:color="7F7F7F"/>
            </w:tcBorders>
            <w:shd w:val="clear" w:color="auto" w:fill="D8D8D8"/>
          </w:tcPr>
          <w:p>
            <w:pPr>
              <w:jc w:val="right"/>
              <w:ind w:right="28"/>
              <w:spacing w:after="0"/>
              <w:rPr>
                <w:sz w:val="20"/>
                <w:szCs w:val="20"/>
                <w:color w:val="auto"/>
              </w:rPr>
            </w:pPr>
            <w:r>
              <w:rPr>
                <w:rFonts w:ascii="Arial" w:cs="Arial" w:eastAsia="Arial" w:hAnsi="Arial"/>
                <w:sz w:val="14"/>
                <w:szCs w:val="14"/>
                <w:color w:val="auto"/>
              </w:rPr>
              <w:t>4,922,140</w:t>
            </w:r>
          </w:p>
        </w:tc>
        <w:tc>
          <w:tcPr>
            <w:tcW w:w="0" w:type="dxa"/>
            <w:vAlign w:val="bottom"/>
          </w:tcPr>
          <w:p>
            <w:pPr>
              <w:spacing w:after="0"/>
              <w:rPr>
                <w:sz w:val="1"/>
                <w:szCs w:val="1"/>
                <w:color w:val="auto"/>
              </w:rPr>
            </w:pPr>
          </w:p>
        </w:tc>
      </w:tr>
      <w:tr>
        <w:trPr>
          <w:trHeight w:val="89"/>
        </w:trPr>
        <w:tc>
          <w:tcPr>
            <w:tcW w:w="1340" w:type="dxa"/>
            <w:vAlign w:val="bottom"/>
            <w:tcBorders>
              <w:left w:val="single" w:sz="8" w:color="7F7F7F"/>
            </w:tcBorders>
          </w:tcPr>
          <w:p>
            <w:pPr>
              <w:spacing w:after="0"/>
              <w:rPr>
                <w:sz w:val="7"/>
                <w:szCs w:val="7"/>
                <w:color w:val="auto"/>
              </w:rPr>
            </w:pPr>
          </w:p>
        </w:tc>
        <w:tc>
          <w:tcPr>
            <w:tcW w:w="860" w:type="dxa"/>
            <w:vAlign w:val="bottom"/>
            <w:shd w:val="clear" w:color="auto" w:fill="D8D8D8"/>
          </w:tcPr>
          <w:p>
            <w:pPr>
              <w:spacing w:after="0"/>
              <w:rPr>
                <w:sz w:val="7"/>
                <w:szCs w:val="7"/>
                <w:color w:val="auto"/>
              </w:rPr>
            </w:pPr>
          </w:p>
        </w:tc>
        <w:tc>
          <w:tcPr>
            <w:tcW w:w="1060" w:type="dxa"/>
            <w:vAlign w:val="bottom"/>
            <w:shd w:val="clear" w:color="auto" w:fill="D8D8D8"/>
          </w:tcPr>
          <w:p>
            <w:pPr>
              <w:spacing w:after="0"/>
              <w:rPr>
                <w:sz w:val="7"/>
                <w:szCs w:val="7"/>
                <w:color w:val="auto"/>
              </w:rPr>
            </w:pPr>
          </w:p>
        </w:tc>
        <w:tc>
          <w:tcPr>
            <w:tcW w:w="1520" w:type="dxa"/>
            <w:vAlign w:val="bottom"/>
            <w:shd w:val="clear" w:color="auto" w:fill="D8D8D8"/>
          </w:tcPr>
          <w:p>
            <w:pPr>
              <w:spacing w:after="0"/>
              <w:rPr>
                <w:sz w:val="7"/>
                <w:szCs w:val="7"/>
                <w:color w:val="auto"/>
              </w:rPr>
            </w:pPr>
          </w:p>
        </w:tc>
        <w:tc>
          <w:tcPr>
            <w:tcW w:w="840" w:type="dxa"/>
            <w:vAlign w:val="bottom"/>
            <w:shd w:val="clear" w:color="auto" w:fill="D8D8D8"/>
          </w:tcPr>
          <w:p>
            <w:pPr>
              <w:spacing w:after="0"/>
              <w:rPr>
                <w:sz w:val="7"/>
                <w:szCs w:val="7"/>
                <w:color w:val="auto"/>
              </w:rPr>
            </w:pPr>
          </w:p>
        </w:tc>
        <w:tc>
          <w:tcPr>
            <w:tcW w:w="820" w:type="dxa"/>
            <w:vAlign w:val="bottom"/>
            <w:shd w:val="clear" w:color="auto" w:fill="D8D8D8"/>
          </w:tcPr>
          <w:p>
            <w:pPr>
              <w:spacing w:after="0"/>
              <w:rPr>
                <w:sz w:val="7"/>
                <w:szCs w:val="7"/>
                <w:color w:val="auto"/>
              </w:rPr>
            </w:pPr>
          </w:p>
        </w:tc>
        <w:tc>
          <w:tcPr>
            <w:tcW w:w="1040" w:type="dxa"/>
            <w:vAlign w:val="bottom"/>
            <w:shd w:val="clear" w:color="auto" w:fill="D8D8D8"/>
          </w:tcPr>
          <w:p>
            <w:pPr>
              <w:spacing w:after="0"/>
              <w:rPr>
                <w:sz w:val="7"/>
                <w:szCs w:val="7"/>
                <w:color w:val="auto"/>
              </w:rPr>
            </w:pPr>
          </w:p>
        </w:tc>
        <w:tc>
          <w:tcPr>
            <w:tcW w:w="1060" w:type="dxa"/>
            <w:vAlign w:val="bottom"/>
            <w:shd w:val="clear" w:color="auto" w:fill="D8D8D8"/>
          </w:tcPr>
          <w:p>
            <w:pPr>
              <w:spacing w:after="0"/>
              <w:rPr>
                <w:sz w:val="7"/>
                <w:szCs w:val="7"/>
                <w:color w:val="auto"/>
              </w:rPr>
            </w:pPr>
          </w:p>
        </w:tc>
        <w:tc>
          <w:tcPr>
            <w:tcW w:w="1320" w:type="dxa"/>
            <w:vAlign w:val="bottom"/>
            <w:shd w:val="clear" w:color="auto" w:fill="D8D8D8"/>
          </w:tcPr>
          <w:p>
            <w:pPr>
              <w:spacing w:after="0"/>
              <w:rPr>
                <w:sz w:val="7"/>
                <w:szCs w:val="7"/>
                <w:color w:val="auto"/>
              </w:rPr>
            </w:pPr>
          </w:p>
        </w:tc>
        <w:tc>
          <w:tcPr>
            <w:tcW w:w="300" w:type="dxa"/>
            <w:vAlign w:val="bottom"/>
            <w:shd w:val="clear" w:color="auto" w:fill="D8D8D8"/>
          </w:tcPr>
          <w:p>
            <w:pPr>
              <w:spacing w:after="0"/>
              <w:rPr>
                <w:sz w:val="7"/>
                <w:szCs w:val="7"/>
                <w:color w:val="auto"/>
              </w:rPr>
            </w:pPr>
          </w:p>
        </w:tc>
        <w:tc>
          <w:tcPr>
            <w:tcW w:w="880" w:type="dxa"/>
            <w:vAlign w:val="bottom"/>
            <w:tcBorders>
              <w:right w:val="single" w:sz="8" w:color="7F7F7F"/>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340" w:type="dxa"/>
            <w:vAlign w:val="bottom"/>
            <w:tcBorders>
              <w:left w:val="single" w:sz="8" w:color="7F7F7F"/>
            </w:tcBorders>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1/30/2019</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54,200</w:t>
            </w:r>
          </w:p>
        </w:tc>
        <w:tc>
          <w:tcPr>
            <w:tcW w:w="1520" w:type="dxa"/>
            <w:vAlign w:val="bottom"/>
          </w:tcPr>
          <w:p>
            <w:pPr>
              <w:jc w:val="right"/>
              <w:ind w:right="389"/>
              <w:spacing w:after="0"/>
              <w:rPr>
                <w:sz w:val="20"/>
                <w:szCs w:val="20"/>
                <w:color w:val="auto"/>
              </w:rPr>
            </w:pPr>
            <w:r>
              <w:rPr>
                <w:rFonts w:ascii="Arial" w:cs="Arial" w:eastAsia="Arial" w:hAnsi="Arial"/>
                <w:sz w:val="14"/>
                <w:szCs w:val="14"/>
                <w:color w:val="auto"/>
              </w:rPr>
              <w:t>27,100</w:t>
            </w:r>
          </w:p>
        </w:tc>
        <w:tc>
          <w:tcPr>
            <w:tcW w:w="840" w:type="dxa"/>
            <w:vAlign w:val="bottom"/>
          </w:tcPr>
          <w:p>
            <w:pPr>
              <w:jc w:val="right"/>
              <w:spacing w:after="0"/>
              <w:rPr>
                <w:sz w:val="20"/>
                <w:szCs w:val="20"/>
                <w:color w:val="auto"/>
              </w:rPr>
            </w:pPr>
            <w:r>
              <w:rPr>
                <w:rFonts w:ascii="Arial" w:cs="Arial" w:eastAsia="Arial" w:hAnsi="Arial"/>
                <w:sz w:val="14"/>
                <w:szCs w:val="14"/>
                <w:color w:val="auto"/>
              </w:rPr>
              <w:t>$ 113.01</w:t>
            </w:r>
          </w:p>
        </w:tc>
        <w:tc>
          <w:tcPr>
            <w:tcW w:w="820" w:type="dxa"/>
            <w:vAlign w:val="bottom"/>
          </w:tcPr>
          <w:p>
            <w:pPr>
              <w:jc w:val="right"/>
              <w:spacing w:after="0"/>
              <w:rPr>
                <w:sz w:val="20"/>
                <w:szCs w:val="20"/>
                <w:color w:val="auto"/>
              </w:rPr>
            </w:pPr>
            <w:r>
              <w:rPr>
                <w:rFonts w:ascii="Arial" w:cs="Arial" w:eastAsia="Arial" w:hAnsi="Arial"/>
                <w:sz w:val="14"/>
                <w:szCs w:val="14"/>
                <w:color w:val="auto"/>
              </w:rPr>
              <w:t>1/30/2029</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12,596</w:t>
            </w:r>
          </w:p>
        </w:tc>
        <w:tc>
          <w:tcPr>
            <w:tcW w:w="1060" w:type="dxa"/>
            <w:vAlign w:val="bottom"/>
          </w:tcPr>
          <w:p>
            <w:pPr>
              <w:jc w:val="center"/>
              <w:ind w:right="69"/>
              <w:spacing w:after="0"/>
              <w:rPr>
                <w:sz w:val="20"/>
                <w:szCs w:val="20"/>
                <w:color w:val="auto"/>
              </w:rPr>
            </w:pPr>
            <w:r>
              <w:rPr>
                <w:rFonts w:ascii="Arial" w:cs="Arial" w:eastAsia="Arial" w:hAnsi="Arial"/>
                <w:sz w:val="14"/>
                <w:szCs w:val="14"/>
                <w:color w:val="auto"/>
              </w:rPr>
              <w:t>$ 1,478,194</w:t>
            </w: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Borders>
              <w:right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340" w:type="dxa"/>
            <w:vAlign w:val="bottom"/>
            <w:tcBorders>
              <w:left w:val="single" w:sz="8" w:color="7F7F7F"/>
            </w:tcBorders>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Borders>
              <w:right w:val="single" w:sz="8" w:color="7F7F7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1340" w:type="dxa"/>
            <w:vAlign w:val="bottom"/>
            <w:tcBorders>
              <w:left w:val="single" w:sz="8" w:color="7F7F7F"/>
            </w:tcBorders>
          </w:tcPr>
          <w:p>
            <w:pPr>
              <w:spacing w:after="0"/>
              <w:rPr>
                <w:sz w:val="21"/>
                <w:szCs w:val="21"/>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1/31/2018</w:t>
            </w:r>
          </w:p>
        </w:tc>
        <w:tc>
          <w:tcPr>
            <w:tcW w:w="1060" w:type="dxa"/>
            <w:vAlign w:val="bottom"/>
            <w:shd w:val="clear" w:color="auto" w:fill="D8D8D8"/>
          </w:tcPr>
          <w:p>
            <w:pPr>
              <w:jc w:val="right"/>
              <w:ind w:right="108"/>
              <w:spacing w:after="0"/>
              <w:rPr>
                <w:sz w:val="20"/>
                <w:szCs w:val="20"/>
                <w:color w:val="auto"/>
              </w:rPr>
            </w:pPr>
            <w:r>
              <w:rPr>
                <w:rFonts w:ascii="Arial" w:cs="Arial" w:eastAsia="Arial" w:hAnsi="Arial"/>
                <w:sz w:val="14"/>
                <w:szCs w:val="14"/>
                <w:color w:val="auto"/>
              </w:rPr>
              <w:t>68,700</w:t>
            </w:r>
          </w:p>
        </w:tc>
        <w:tc>
          <w:tcPr>
            <w:tcW w:w="1520" w:type="dxa"/>
            <w:vAlign w:val="bottom"/>
            <w:shd w:val="clear" w:color="auto" w:fill="D8D8D8"/>
          </w:tcPr>
          <w:p>
            <w:pPr>
              <w:spacing w:after="0"/>
              <w:rPr>
                <w:sz w:val="21"/>
                <w:szCs w:val="21"/>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$ 125.35</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1/31/2028</w:t>
            </w:r>
          </w:p>
        </w:tc>
        <w:tc>
          <w:tcPr>
            <w:tcW w:w="104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rPr>
              <w:t>11,450</w:t>
            </w:r>
          </w:p>
        </w:tc>
        <w:tc>
          <w:tcPr>
            <w:tcW w:w="1060" w:type="dxa"/>
            <w:vAlign w:val="bottom"/>
            <w:shd w:val="clear" w:color="auto" w:fill="D8D8D8"/>
          </w:tcPr>
          <w:p>
            <w:pPr>
              <w:jc w:val="center"/>
              <w:ind w:right="69"/>
              <w:spacing w:after="0"/>
              <w:rPr>
                <w:sz w:val="20"/>
                <w:szCs w:val="20"/>
                <w:color w:val="auto"/>
              </w:rPr>
            </w:pPr>
            <w:r>
              <w:rPr>
                <w:rFonts w:ascii="Arial" w:cs="Arial" w:eastAsia="Arial" w:hAnsi="Arial"/>
                <w:sz w:val="14"/>
                <w:szCs w:val="14"/>
                <w:color w:val="auto"/>
              </w:rPr>
              <w:t>$ 1,343,643</w:t>
            </w:r>
          </w:p>
        </w:tc>
        <w:tc>
          <w:tcPr>
            <w:tcW w:w="1320" w:type="dxa"/>
            <w:vAlign w:val="bottom"/>
            <w:shd w:val="clear" w:color="auto" w:fill="D8D8D8"/>
          </w:tcPr>
          <w:p>
            <w:pPr>
              <w:spacing w:after="0"/>
              <w:rPr>
                <w:sz w:val="21"/>
                <w:szCs w:val="21"/>
                <w:color w:val="auto"/>
              </w:rPr>
            </w:pPr>
          </w:p>
        </w:tc>
        <w:tc>
          <w:tcPr>
            <w:tcW w:w="300" w:type="dxa"/>
            <w:vAlign w:val="bottom"/>
            <w:shd w:val="clear" w:color="auto" w:fill="D8D8D8"/>
          </w:tcPr>
          <w:p>
            <w:pPr>
              <w:spacing w:after="0"/>
              <w:rPr>
                <w:sz w:val="21"/>
                <w:szCs w:val="21"/>
                <w:color w:val="auto"/>
              </w:rPr>
            </w:pPr>
          </w:p>
        </w:tc>
        <w:tc>
          <w:tcPr>
            <w:tcW w:w="880" w:type="dxa"/>
            <w:vAlign w:val="bottom"/>
            <w:tcBorders>
              <w:right w:val="single" w:sz="8" w:color="7F7F7F"/>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1340" w:type="dxa"/>
            <w:vAlign w:val="bottom"/>
            <w:tcBorders>
              <w:left w:val="single" w:sz="8" w:color="7F7F7F"/>
            </w:tcBorders>
          </w:tcPr>
          <w:p>
            <w:pPr>
              <w:spacing w:after="0"/>
              <w:rPr>
                <w:sz w:val="7"/>
                <w:szCs w:val="7"/>
                <w:color w:val="auto"/>
              </w:rPr>
            </w:pPr>
          </w:p>
        </w:tc>
        <w:tc>
          <w:tcPr>
            <w:tcW w:w="860" w:type="dxa"/>
            <w:vAlign w:val="bottom"/>
            <w:shd w:val="clear" w:color="auto" w:fill="D8D8D8"/>
          </w:tcPr>
          <w:p>
            <w:pPr>
              <w:spacing w:after="0"/>
              <w:rPr>
                <w:sz w:val="7"/>
                <w:szCs w:val="7"/>
                <w:color w:val="auto"/>
              </w:rPr>
            </w:pPr>
          </w:p>
        </w:tc>
        <w:tc>
          <w:tcPr>
            <w:tcW w:w="1060" w:type="dxa"/>
            <w:vAlign w:val="bottom"/>
            <w:shd w:val="clear" w:color="auto" w:fill="D8D8D8"/>
          </w:tcPr>
          <w:p>
            <w:pPr>
              <w:spacing w:after="0"/>
              <w:rPr>
                <w:sz w:val="7"/>
                <w:szCs w:val="7"/>
                <w:color w:val="auto"/>
              </w:rPr>
            </w:pPr>
          </w:p>
        </w:tc>
        <w:tc>
          <w:tcPr>
            <w:tcW w:w="1520" w:type="dxa"/>
            <w:vAlign w:val="bottom"/>
            <w:shd w:val="clear" w:color="auto" w:fill="D8D8D8"/>
          </w:tcPr>
          <w:p>
            <w:pPr>
              <w:spacing w:after="0"/>
              <w:rPr>
                <w:sz w:val="7"/>
                <w:szCs w:val="7"/>
                <w:color w:val="auto"/>
              </w:rPr>
            </w:pPr>
          </w:p>
        </w:tc>
        <w:tc>
          <w:tcPr>
            <w:tcW w:w="840" w:type="dxa"/>
            <w:vAlign w:val="bottom"/>
            <w:shd w:val="clear" w:color="auto" w:fill="D8D8D8"/>
          </w:tcPr>
          <w:p>
            <w:pPr>
              <w:spacing w:after="0"/>
              <w:rPr>
                <w:sz w:val="7"/>
                <w:szCs w:val="7"/>
                <w:color w:val="auto"/>
              </w:rPr>
            </w:pPr>
          </w:p>
        </w:tc>
        <w:tc>
          <w:tcPr>
            <w:tcW w:w="820" w:type="dxa"/>
            <w:vAlign w:val="bottom"/>
            <w:shd w:val="clear" w:color="auto" w:fill="D8D8D8"/>
          </w:tcPr>
          <w:p>
            <w:pPr>
              <w:spacing w:after="0"/>
              <w:rPr>
                <w:sz w:val="7"/>
                <w:szCs w:val="7"/>
                <w:color w:val="auto"/>
              </w:rPr>
            </w:pPr>
          </w:p>
        </w:tc>
        <w:tc>
          <w:tcPr>
            <w:tcW w:w="1040" w:type="dxa"/>
            <w:vAlign w:val="bottom"/>
            <w:shd w:val="clear" w:color="auto" w:fill="D8D8D8"/>
          </w:tcPr>
          <w:p>
            <w:pPr>
              <w:spacing w:after="0"/>
              <w:rPr>
                <w:sz w:val="7"/>
                <w:szCs w:val="7"/>
                <w:color w:val="auto"/>
              </w:rPr>
            </w:pPr>
          </w:p>
        </w:tc>
        <w:tc>
          <w:tcPr>
            <w:tcW w:w="1060" w:type="dxa"/>
            <w:vAlign w:val="bottom"/>
            <w:shd w:val="clear" w:color="auto" w:fill="D8D8D8"/>
          </w:tcPr>
          <w:p>
            <w:pPr>
              <w:spacing w:after="0"/>
              <w:rPr>
                <w:sz w:val="7"/>
                <w:szCs w:val="7"/>
                <w:color w:val="auto"/>
              </w:rPr>
            </w:pPr>
          </w:p>
        </w:tc>
        <w:tc>
          <w:tcPr>
            <w:tcW w:w="1320" w:type="dxa"/>
            <w:vAlign w:val="bottom"/>
            <w:shd w:val="clear" w:color="auto" w:fill="D8D8D8"/>
          </w:tcPr>
          <w:p>
            <w:pPr>
              <w:spacing w:after="0"/>
              <w:rPr>
                <w:sz w:val="7"/>
                <w:szCs w:val="7"/>
                <w:color w:val="auto"/>
              </w:rPr>
            </w:pPr>
          </w:p>
        </w:tc>
        <w:tc>
          <w:tcPr>
            <w:tcW w:w="300" w:type="dxa"/>
            <w:vAlign w:val="bottom"/>
            <w:shd w:val="clear" w:color="auto" w:fill="D8D8D8"/>
          </w:tcPr>
          <w:p>
            <w:pPr>
              <w:spacing w:after="0"/>
              <w:rPr>
                <w:sz w:val="7"/>
                <w:szCs w:val="7"/>
                <w:color w:val="auto"/>
              </w:rPr>
            </w:pPr>
          </w:p>
        </w:tc>
        <w:tc>
          <w:tcPr>
            <w:tcW w:w="880" w:type="dxa"/>
            <w:vAlign w:val="bottom"/>
            <w:tcBorders>
              <w:right w:val="single" w:sz="8" w:color="7F7F7F"/>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340" w:type="dxa"/>
            <w:vAlign w:val="bottom"/>
            <w:tcBorders>
              <w:left w:val="single" w:sz="8" w:color="7F7F7F"/>
            </w:tcBorders>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1/25/2017</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80,800</w:t>
            </w:r>
          </w:p>
        </w:tc>
        <w:tc>
          <w:tcPr>
            <w:tcW w:w="1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$ 117.24</w:t>
            </w:r>
          </w:p>
        </w:tc>
        <w:tc>
          <w:tcPr>
            <w:tcW w:w="820" w:type="dxa"/>
            <w:vAlign w:val="bottom"/>
          </w:tcPr>
          <w:p>
            <w:pPr>
              <w:jc w:val="right"/>
              <w:spacing w:after="0"/>
              <w:rPr>
                <w:sz w:val="20"/>
                <w:szCs w:val="20"/>
                <w:color w:val="auto"/>
              </w:rPr>
            </w:pPr>
            <w:r>
              <w:rPr>
                <w:rFonts w:ascii="Arial" w:cs="Arial" w:eastAsia="Arial" w:hAnsi="Arial"/>
                <w:sz w:val="14"/>
                <w:szCs w:val="14"/>
                <w:color w:val="auto"/>
              </w:rPr>
              <w:t>1/25/2027</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12,599</w:t>
            </w:r>
          </w:p>
        </w:tc>
        <w:tc>
          <w:tcPr>
            <w:tcW w:w="1060" w:type="dxa"/>
            <w:vAlign w:val="bottom"/>
          </w:tcPr>
          <w:p>
            <w:pPr>
              <w:jc w:val="center"/>
              <w:ind w:right="69"/>
              <w:spacing w:after="0"/>
              <w:rPr>
                <w:sz w:val="20"/>
                <w:szCs w:val="20"/>
                <w:color w:val="auto"/>
              </w:rPr>
            </w:pPr>
            <w:r>
              <w:rPr>
                <w:rFonts w:ascii="Arial" w:cs="Arial" w:eastAsia="Arial" w:hAnsi="Arial"/>
                <w:sz w:val="14"/>
                <w:szCs w:val="14"/>
                <w:color w:val="auto"/>
              </w:rPr>
              <w:t>$ 1,478,491</w:t>
            </w: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Borders>
              <w:right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340" w:type="dxa"/>
            <w:vAlign w:val="bottom"/>
            <w:tcBorders>
              <w:left w:val="single" w:sz="8" w:color="7F7F7F"/>
            </w:tcBorders>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Borders>
              <w:right w:val="single" w:sz="8" w:color="7F7F7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1340" w:type="dxa"/>
            <w:vAlign w:val="bottom"/>
            <w:tcBorders>
              <w:left w:val="single" w:sz="8" w:color="7F7F7F"/>
            </w:tcBorders>
          </w:tcPr>
          <w:p>
            <w:pPr>
              <w:spacing w:after="0"/>
              <w:rPr>
                <w:sz w:val="21"/>
                <w:szCs w:val="21"/>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1/27/2016</w:t>
            </w:r>
          </w:p>
        </w:tc>
        <w:tc>
          <w:tcPr>
            <w:tcW w:w="1060" w:type="dxa"/>
            <w:vAlign w:val="bottom"/>
            <w:shd w:val="clear" w:color="auto" w:fill="D8D8D8"/>
          </w:tcPr>
          <w:p>
            <w:pPr>
              <w:jc w:val="right"/>
              <w:ind w:right="108"/>
              <w:spacing w:after="0"/>
              <w:rPr>
                <w:sz w:val="20"/>
                <w:szCs w:val="20"/>
                <w:color w:val="auto"/>
              </w:rPr>
            </w:pPr>
            <w:r>
              <w:rPr>
                <w:rFonts w:ascii="Arial" w:cs="Arial" w:eastAsia="Arial" w:hAnsi="Arial"/>
                <w:sz w:val="14"/>
                <w:szCs w:val="14"/>
                <w:color w:val="auto"/>
              </w:rPr>
              <w:t>311,700</w:t>
            </w:r>
          </w:p>
        </w:tc>
        <w:tc>
          <w:tcPr>
            <w:tcW w:w="1520" w:type="dxa"/>
            <w:vAlign w:val="bottom"/>
            <w:shd w:val="clear" w:color="auto" w:fill="D8D8D8"/>
          </w:tcPr>
          <w:p>
            <w:pPr>
              <w:spacing w:after="0"/>
              <w:rPr>
                <w:sz w:val="21"/>
                <w:szCs w:val="21"/>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  83.29</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1/27/2026</w:t>
            </w:r>
          </w:p>
        </w:tc>
        <w:tc>
          <w:tcPr>
            <w:tcW w:w="1040" w:type="dxa"/>
            <w:vAlign w:val="bottom"/>
            <w:shd w:val="clear" w:color="auto" w:fill="D8D8D8"/>
          </w:tcPr>
          <w:p>
            <w:pPr>
              <w:spacing w:after="0"/>
              <w:rPr>
                <w:sz w:val="21"/>
                <w:szCs w:val="21"/>
                <w:color w:val="auto"/>
              </w:rPr>
            </w:pPr>
          </w:p>
        </w:tc>
        <w:tc>
          <w:tcPr>
            <w:tcW w:w="1060" w:type="dxa"/>
            <w:vAlign w:val="bottom"/>
            <w:shd w:val="clear" w:color="auto" w:fill="D8D8D8"/>
          </w:tcPr>
          <w:p>
            <w:pPr>
              <w:spacing w:after="0"/>
              <w:rPr>
                <w:sz w:val="21"/>
                <w:szCs w:val="21"/>
                <w:color w:val="auto"/>
              </w:rPr>
            </w:pPr>
          </w:p>
        </w:tc>
        <w:tc>
          <w:tcPr>
            <w:tcW w:w="1320" w:type="dxa"/>
            <w:vAlign w:val="bottom"/>
            <w:shd w:val="clear" w:color="auto" w:fill="D8D8D8"/>
          </w:tcPr>
          <w:p>
            <w:pPr>
              <w:spacing w:after="0"/>
              <w:rPr>
                <w:sz w:val="21"/>
                <w:szCs w:val="21"/>
                <w:color w:val="auto"/>
              </w:rPr>
            </w:pPr>
          </w:p>
        </w:tc>
        <w:tc>
          <w:tcPr>
            <w:tcW w:w="300" w:type="dxa"/>
            <w:vAlign w:val="bottom"/>
            <w:shd w:val="clear" w:color="auto" w:fill="D8D8D8"/>
          </w:tcPr>
          <w:p>
            <w:pPr>
              <w:spacing w:after="0"/>
              <w:rPr>
                <w:sz w:val="21"/>
                <w:szCs w:val="21"/>
                <w:color w:val="auto"/>
              </w:rPr>
            </w:pPr>
          </w:p>
        </w:tc>
        <w:tc>
          <w:tcPr>
            <w:tcW w:w="880" w:type="dxa"/>
            <w:vAlign w:val="bottom"/>
            <w:tcBorders>
              <w:right w:val="single" w:sz="8" w:color="7F7F7F"/>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1340" w:type="dxa"/>
            <w:vAlign w:val="bottom"/>
            <w:tcBorders>
              <w:left w:val="single" w:sz="8" w:color="7F7F7F"/>
            </w:tcBorders>
          </w:tcPr>
          <w:p>
            <w:pPr>
              <w:spacing w:after="0"/>
              <w:rPr>
                <w:sz w:val="7"/>
                <w:szCs w:val="7"/>
                <w:color w:val="auto"/>
              </w:rPr>
            </w:pPr>
          </w:p>
        </w:tc>
        <w:tc>
          <w:tcPr>
            <w:tcW w:w="860" w:type="dxa"/>
            <w:vAlign w:val="bottom"/>
            <w:shd w:val="clear" w:color="auto" w:fill="D8D8D8"/>
          </w:tcPr>
          <w:p>
            <w:pPr>
              <w:spacing w:after="0"/>
              <w:rPr>
                <w:sz w:val="7"/>
                <w:szCs w:val="7"/>
                <w:color w:val="auto"/>
              </w:rPr>
            </w:pPr>
          </w:p>
        </w:tc>
        <w:tc>
          <w:tcPr>
            <w:tcW w:w="1060" w:type="dxa"/>
            <w:vAlign w:val="bottom"/>
            <w:shd w:val="clear" w:color="auto" w:fill="D8D8D8"/>
          </w:tcPr>
          <w:p>
            <w:pPr>
              <w:spacing w:after="0"/>
              <w:rPr>
                <w:sz w:val="7"/>
                <w:szCs w:val="7"/>
                <w:color w:val="auto"/>
              </w:rPr>
            </w:pPr>
          </w:p>
        </w:tc>
        <w:tc>
          <w:tcPr>
            <w:tcW w:w="1520" w:type="dxa"/>
            <w:vAlign w:val="bottom"/>
            <w:shd w:val="clear" w:color="auto" w:fill="D8D8D8"/>
          </w:tcPr>
          <w:p>
            <w:pPr>
              <w:spacing w:after="0"/>
              <w:rPr>
                <w:sz w:val="7"/>
                <w:szCs w:val="7"/>
                <w:color w:val="auto"/>
              </w:rPr>
            </w:pPr>
          </w:p>
        </w:tc>
        <w:tc>
          <w:tcPr>
            <w:tcW w:w="840" w:type="dxa"/>
            <w:vAlign w:val="bottom"/>
            <w:shd w:val="clear" w:color="auto" w:fill="D8D8D8"/>
          </w:tcPr>
          <w:p>
            <w:pPr>
              <w:spacing w:after="0"/>
              <w:rPr>
                <w:sz w:val="7"/>
                <w:szCs w:val="7"/>
                <w:color w:val="auto"/>
              </w:rPr>
            </w:pPr>
          </w:p>
        </w:tc>
        <w:tc>
          <w:tcPr>
            <w:tcW w:w="820" w:type="dxa"/>
            <w:vAlign w:val="bottom"/>
            <w:shd w:val="clear" w:color="auto" w:fill="D8D8D8"/>
          </w:tcPr>
          <w:p>
            <w:pPr>
              <w:spacing w:after="0"/>
              <w:rPr>
                <w:sz w:val="7"/>
                <w:szCs w:val="7"/>
                <w:color w:val="auto"/>
              </w:rPr>
            </w:pPr>
          </w:p>
        </w:tc>
        <w:tc>
          <w:tcPr>
            <w:tcW w:w="1040" w:type="dxa"/>
            <w:vAlign w:val="bottom"/>
            <w:shd w:val="clear" w:color="auto" w:fill="D8D8D8"/>
          </w:tcPr>
          <w:p>
            <w:pPr>
              <w:spacing w:after="0"/>
              <w:rPr>
                <w:sz w:val="7"/>
                <w:szCs w:val="7"/>
                <w:color w:val="auto"/>
              </w:rPr>
            </w:pPr>
          </w:p>
        </w:tc>
        <w:tc>
          <w:tcPr>
            <w:tcW w:w="1060" w:type="dxa"/>
            <w:vAlign w:val="bottom"/>
            <w:shd w:val="clear" w:color="auto" w:fill="D8D8D8"/>
          </w:tcPr>
          <w:p>
            <w:pPr>
              <w:spacing w:after="0"/>
              <w:rPr>
                <w:sz w:val="7"/>
                <w:szCs w:val="7"/>
                <w:color w:val="auto"/>
              </w:rPr>
            </w:pPr>
          </w:p>
        </w:tc>
        <w:tc>
          <w:tcPr>
            <w:tcW w:w="1320" w:type="dxa"/>
            <w:vAlign w:val="bottom"/>
            <w:shd w:val="clear" w:color="auto" w:fill="D8D8D8"/>
          </w:tcPr>
          <w:p>
            <w:pPr>
              <w:spacing w:after="0"/>
              <w:rPr>
                <w:sz w:val="7"/>
                <w:szCs w:val="7"/>
                <w:color w:val="auto"/>
              </w:rPr>
            </w:pPr>
          </w:p>
        </w:tc>
        <w:tc>
          <w:tcPr>
            <w:tcW w:w="300" w:type="dxa"/>
            <w:vAlign w:val="bottom"/>
            <w:shd w:val="clear" w:color="auto" w:fill="D8D8D8"/>
          </w:tcPr>
          <w:p>
            <w:pPr>
              <w:spacing w:after="0"/>
              <w:rPr>
                <w:sz w:val="7"/>
                <w:szCs w:val="7"/>
                <w:color w:val="auto"/>
              </w:rPr>
            </w:pPr>
          </w:p>
        </w:tc>
        <w:tc>
          <w:tcPr>
            <w:tcW w:w="880" w:type="dxa"/>
            <w:vAlign w:val="bottom"/>
            <w:tcBorders>
              <w:right w:val="single" w:sz="8" w:color="7F7F7F"/>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340" w:type="dxa"/>
            <w:vAlign w:val="bottom"/>
            <w:tcBorders>
              <w:left w:val="single" w:sz="8" w:color="7F7F7F"/>
            </w:tcBorders>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1/28/2015</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164,600</w:t>
            </w:r>
          </w:p>
        </w:tc>
        <w:tc>
          <w:tcPr>
            <w:tcW w:w="1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$ 103.71</w:t>
            </w:r>
          </w:p>
        </w:tc>
        <w:tc>
          <w:tcPr>
            <w:tcW w:w="820" w:type="dxa"/>
            <w:vAlign w:val="bottom"/>
          </w:tcPr>
          <w:p>
            <w:pPr>
              <w:jc w:val="right"/>
              <w:spacing w:after="0"/>
              <w:rPr>
                <w:sz w:val="20"/>
                <w:szCs w:val="20"/>
                <w:color w:val="auto"/>
              </w:rPr>
            </w:pPr>
            <w:r>
              <w:rPr>
                <w:rFonts w:ascii="Arial" w:cs="Arial" w:eastAsia="Arial" w:hAnsi="Arial"/>
                <w:sz w:val="14"/>
                <w:szCs w:val="14"/>
                <w:color w:val="auto"/>
              </w:rPr>
              <w:t>1/28/2025</w:t>
            </w: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Borders>
              <w:right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340" w:type="dxa"/>
            <w:vAlign w:val="bottom"/>
            <w:tcBorders>
              <w:left w:val="single" w:sz="8" w:color="7F7F7F"/>
            </w:tcBorders>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Borders>
              <w:right w:val="single" w:sz="8" w:color="7F7F7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1340" w:type="dxa"/>
            <w:vAlign w:val="bottom"/>
            <w:tcBorders>
              <w:left w:val="single" w:sz="8" w:color="7F7F7F"/>
            </w:tcBorders>
          </w:tcPr>
          <w:p>
            <w:pPr>
              <w:spacing w:after="0"/>
              <w:rPr>
                <w:sz w:val="21"/>
                <w:szCs w:val="21"/>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1/29/2014</w:t>
            </w:r>
          </w:p>
        </w:tc>
        <w:tc>
          <w:tcPr>
            <w:tcW w:w="1060" w:type="dxa"/>
            <w:vAlign w:val="bottom"/>
            <w:shd w:val="clear" w:color="auto" w:fill="D8D8D8"/>
          </w:tcPr>
          <w:p>
            <w:pPr>
              <w:jc w:val="right"/>
              <w:ind w:right="108"/>
              <w:spacing w:after="0"/>
              <w:rPr>
                <w:sz w:val="20"/>
                <w:szCs w:val="20"/>
                <w:color w:val="auto"/>
              </w:rPr>
            </w:pPr>
            <w:r>
              <w:rPr>
                <w:rFonts w:ascii="Arial" w:cs="Arial" w:eastAsia="Arial" w:hAnsi="Arial"/>
                <w:sz w:val="14"/>
                <w:szCs w:val="14"/>
                <w:color w:val="auto"/>
              </w:rPr>
              <w:t>82,500</w:t>
            </w:r>
          </w:p>
        </w:tc>
        <w:tc>
          <w:tcPr>
            <w:tcW w:w="1520" w:type="dxa"/>
            <w:vAlign w:val="bottom"/>
            <w:shd w:val="clear" w:color="auto" w:fill="D8D8D8"/>
          </w:tcPr>
          <w:p>
            <w:pPr>
              <w:spacing w:after="0"/>
              <w:rPr>
                <w:sz w:val="21"/>
                <w:szCs w:val="21"/>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$ 116.00</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1/29/2024</w:t>
            </w:r>
          </w:p>
        </w:tc>
        <w:tc>
          <w:tcPr>
            <w:tcW w:w="1040" w:type="dxa"/>
            <w:vAlign w:val="bottom"/>
            <w:shd w:val="clear" w:color="auto" w:fill="D8D8D8"/>
          </w:tcPr>
          <w:p>
            <w:pPr>
              <w:spacing w:after="0"/>
              <w:rPr>
                <w:sz w:val="21"/>
                <w:szCs w:val="21"/>
                <w:color w:val="auto"/>
              </w:rPr>
            </w:pPr>
          </w:p>
        </w:tc>
        <w:tc>
          <w:tcPr>
            <w:tcW w:w="1060" w:type="dxa"/>
            <w:vAlign w:val="bottom"/>
            <w:shd w:val="clear" w:color="auto" w:fill="D8D8D8"/>
          </w:tcPr>
          <w:p>
            <w:pPr>
              <w:spacing w:after="0"/>
              <w:rPr>
                <w:sz w:val="21"/>
                <w:szCs w:val="21"/>
                <w:color w:val="auto"/>
              </w:rPr>
            </w:pPr>
          </w:p>
        </w:tc>
        <w:tc>
          <w:tcPr>
            <w:tcW w:w="1320" w:type="dxa"/>
            <w:vAlign w:val="bottom"/>
            <w:shd w:val="clear" w:color="auto" w:fill="D8D8D8"/>
          </w:tcPr>
          <w:p>
            <w:pPr>
              <w:spacing w:after="0"/>
              <w:rPr>
                <w:sz w:val="21"/>
                <w:szCs w:val="21"/>
                <w:color w:val="auto"/>
              </w:rPr>
            </w:pPr>
          </w:p>
        </w:tc>
        <w:tc>
          <w:tcPr>
            <w:tcW w:w="300" w:type="dxa"/>
            <w:vAlign w:val="bottom"/>
            <w:shd w:val="clear" w:color="auto" w:fill="D8D8D8"/>
          </w:tcPr>
          <w:p>
            <w:pPr>
              <w:spacing w:after="0"/>
              <w:rPr>
                <w:sz w:val="21"/>
                <w:szCs w:val="21"/>
                <w:color w:val="auto"/>
              </w:rPr>
            </w:pPr>
          </w:p>
        </w:tc>
        <w:tc>
          <w:tcPr>
            <w:tcW w:w="880" w:type="dxa"/>
            <w:vAlign w:val="bottom"/>
            <w:tcBorders>
              <w:right w:val="single" w:sz="8" w:color="7F7F7F"/>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1340" w:type="dxa"/>
            <w:vAlign w:val="bottom"/>
            <w:tcBorders>
              <w:left w:val="single" w:sz="8" w:color="7F7F7F"/>
            </w:tcBorders>
          </w:tcPr>
          <w:p>
            <w:pPr>
              <w:spacing w:after="0"/>
              <w:rPr>
                <w:sz w:val="7"/>
                <w:szCs w:val="7"/>
                <w:color w:val="auto"/>
              </w:rPr>
            </w:pPr>
          </w:p>
        </w:tc>
        <w:tc>
          <w:tcPr>
            <w:tcW w:w="860" w:type="dxa"/>
            <w:vAlign w:val="bottom"/>
            <w:shd w:val="clear" w:color="auto" w:fill="D8D8D8"/>
          </w:tcPr>
          <w:p>
            <w:pPr>
              <w:spacing w:after="0"/>
              <w:rPr>
                <w:sz w:val="7"/>
                <w:szCs w:val="7"/>
                <w:color w:val="auto"/>
              </w:rPr>
            </w:pPr>
          </w:p>
        </w:tc>
        <w:tc>
          <w:tcPr>
            <w:tcW w:w="1060" w:type="dxa"/>
            <w:vAlign w:val="bottom"/>
            <w:shd w:val="clear" w:color="auto" w:fill="D8D8D8"/>
          </w:tcPr>
          <w:p>
            <w:pPr>
              <w:spacing w:after="0"/>
              <w:rPr>
                <w:sz w:val="7"/>
                <w:szCs w:val="7"/>
                <w:color w:val="auto"/>
              </w:rPr>
            </w:pPr>
          </w:p>
        </w:tc>
        <w:tc>
          <w:tcPr>
            <w:tcW w:w="1520" w:type="dxa"/>
            <w:vAlign w:val="bottom"/>
            <w:shd w:val="clear" w:color="auto" w:fill="D8D8D8"/>
          </w:tcPr>
          <w:p>
            <w:pPr>
              <w:spacing w:after="0"/>
              <w:rPr>
                <w:sz w:val="7"/>
                <w:szCs w:val="7"/>
                <w:color w:val="auto"/>
              </w:rPr>
            </w:pPr>
          </w:p>
        </w:tc>
        <w:tc>
          <w:tcPr>
            <w:tcW w:w="840" w:type="dxa"/>
            <w:vAlign w:val="bottom"/>
            <w:shd w:val="clear" w:color="auto" w:fill="D8D8D8"/>
          </w:tcPr>
          <w:p>
            <w:pPr>
              <w:spacing w:after="0"/>
              <w:rPr>
                <w:sz w:val="7"/>
                <w:szCs w:val="7"/>
                <w:color w:val="auto"/>
              </w:rPr>
            </w:pPr>
          </w:p>
        </w:tc>
        <w:tc>
          <w:tcPr>
            <w:tcW w:w="820" w:type="dxa"/>
            <w:vAlign w:val="bottom"/>
            <w:shd w:val="clear" w:color="auto" w:fill="D8D8D8"/>
          </w:tcPr>
          <w:p>
            <w:pPr>
              <w:spacing w:after="0"/>
              <w:rPr>
                <w:sz w:val="7"/>
                <w:szCs w:val="7"/>
                <w:color w:val="auto"/>
              </w:rPr>
            </w:pPr>
          </w:p>
        </w:tc>
        <w:tc>
          <w:tcPr>
            <w:tcW w:w="1040" w:type="dxa"/>
            <w:vAlign w:val="bottom"/>
            <w:shd w:val="clear" w:color="auto" w:fill="D8D8D8"/>
          </w:tcPr>
          <w:p>
            <w:pPr>
              <w:spacing w:after="0"/>
              <w:rPr>
                <w:sz w:val="7"/>
                <w:szCs w:val="7"/>
                <w:color w:val="auto"/>
              </w:rPr>
            </w:pPr>
          </w:p>
        </w:tc>
        <w:tc>
          <w:tcPr>
            <w:tcW w:w="1060" w:type="dxa"/>
            <w:vAlign w:val="bottom"/>
            <w:shd w:val="clear" w:color="auto" w:fill="D8D8D8"/>
          </w:tcPr>
          <w:p>
            <w:pPr>
              <w:spacing w:after="0"/>
              <w:rPr>
                <w:sz w:val="7"/>
                <w:szCs w:val="7"/>
                <w:color w:val="auto"/>
              </w:rPr>
            </w:pPr>
          </w:p>
        </w:tc>
        <w:tc>
          <w:tcPr>
            <w:tcW w:w="1320" w:type="dxa"/>
            <w:vAlign w:val="bottom"/>
            <w:shd w:val="clear" w:color="auto" w:fill="D8D8D8"/>
          </w:tcPr>
          <w:p>
            <w:pPr>
              <w:spacing w:after="0"/>
              <w:rPr>
                <w:sz w:val="7"/>
                <w:szCs w:val="7"/>
                <w:color w:val="auto"/>
              </w:rPr>
            </w:pPr>
          </w:p>
        </w:tc>
        <w:tc>
          <w:tcPr>
            <w:tcW w:w="300" w:type="dxa"/>
            <w:vAlign w:val="bottom"/>
            <w:shd w:val="clear" w:color="auto" w:fill="D8D8D8"/>
          </w:tcPr>
          <w:p>
            <w:pPr>
              <w:spacing w:after="0"/>
              <w:rPr>
                <w:sz w:val="7"/>
                <w:szCs w:val="7"/>
                <w:color w:val="auto"/>
              </w:rPr>
            </w:pPr>
          </w:p>
        </w:tc>
        <w:tc>
          <w:tcPr>
            <w:tcW w:w="880" w:type="dxa"/>
            <w:vAlign w:val="bottom"/>
            <w:tcBorders>
              <w:right w:val="single" w:sz="8" w:color="7F7F7F"/>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340" w:type="dxa"/>
            <w:vAlign w:val="bottom"/>
            <w:tcBorders>
              <w:left w:val="single" w:sz="8" w:color="7F7F7F"/>
            </w:tcBorders>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1/30/2013</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70,000</w:t>
            </w:r>
          </w:p>
        </w:tc>
        <w:tc>
          <w:tcPr>
            <w:tcW w:w="1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$ 116.45</w:t>
            </w:r>
          </w:p>
        </w:tc>
        <w:tc>
          <w:tcPr>
            <w:tcW w:w="820" w:type="dxa"/>
            <w:vAlign w:val="bottom"/>
          </w:tcPr>
          <w:p>
            <w:pPr>
              <w:jc w:val="right"/>
              <w:spacing w:after="0"/>
              <w:rPr>
                <w:sz w:val="20"/>
                <w:szCs w:val="20"/>
                <w:color w:val="auto"/>
              </w:rPr>
            </w:pPr>
            <w:r>
              <w:rPr>
                <w:rFonts w:ascii="Arial" w:cs="Arial" w:eastAsia="Arial" w:hAnsi="Arial"/>
                <w:sz w:val="14"/>
                <w:szCs w:val="14"/>
                <w:color w:val="auto"/>
              </w:rPr>
              <w:t>1/30/2023</w:t>
            </w: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Borders>
              <w:right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340" w:type="dxa"/>
            <w:vAlign w:val="bottom"/>
            <w:tcBorders>
              <w:left w:val="single" w:sz="8" w:color="7F7F7F"/>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c>
          <w:tcPr>
            <w:tcW w:w="1060" w:type="dxa"/>
            <w:vAlign w:val="bottom"/>
            <w:tcBorders>
              <w:bottom w:val="single" w:sz="8" w:color="7F7F7F"/>
            </w:tcBorders>
          </w:tcPr>
          <w:p>
            <w:pPr>
              <w:spacing w:after="0"/>
              <w:rPr>
                <w:sz w:val="3"/>
                <w:szCs w:val="3"/>
                <w:color w:val="auto"/>
              </w:rPr>
            </w:pPr>
          </w:p>
        </w:tc>
        <w:tc>
          <w:tcPr>
            <w:tcW w:w="152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c>
          <w:tcPr>
            <w:tcW w:w="82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1060" w:type="dxa"/>
            <w:vAlign w:val="bottom"/>
            <w:tcBorders>
              <w:bottom w:val="single" w:sz="8" w:color="7F7F7F"/>
            </w:tcBorders>
          </w:tcPr>
          <w:p>
            <w:pPr>
              <w:spacing w:after="0"/>
              <w:rPr>
                <w:sz w:val="3"/>
                <w:szCs w:val="3"/>
                <w:color w:val="auto"/>
              </w:rPr>
            </w:pPr>
          </w:p>
        </w:tc>
        <w:tc>
          <w:tcPr>
            <w:tcW w:w="1320" w:type="dxa"/>
            <w:vAlign w:val="bottom"/>
            <w:tcBorders>
              <w:bottom w:val="single" w:sz="8" w:color="7F7F7F"/>
            </w:tcBorders>
          </w:tcPr>
          <w:p>
            <w:pPr>
              <w:spacing w:after="0"/>
              <w:rPr>
                <w:sz w:val="3"/>
                <w:szCs w:val="3"/>
                <w:color w:val="auto"/>
              </w:rPr>
            </w:pPr>
          </w:p>
        </w:tc>
        <w:tc>
          <w:tcPr>
            <w:tcW w:w="300" w:type="dxa"/>
            <w:vAlign w:val="bottom"/>
            <w:tcBorders>
              <w:bottom w:val="single" w:sz="8" w:color="7F7F7F"/>
            </w:tcBorders>
          </w:tcPr>
          <w:p>
            <w:pPr>
              <w:spacing w:after="0"/>
              <w:rPr>
                <w:sz w:val="3"/>
                <w:szCs w:val="3"/>
                <w:color w:val="auto"/>
              </w:rPr>
            </w:pPr>
          </w:p>
        </w:tc>
        <w:tc>
          <w:tcPr>
            <w:tcW w:w="880" w:type="dxa"/>
            <w:vAlign w:val="bottom"/>
            <w:tcBorders>
              <w:bottom w:val="single" w:sz="8" w:color="7F7F7F"/>
              <w:right w:val="single" w:sz="8" w:color="7F7F7F"/>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-6214110</wp:posOffset>
            </wp:positionV>
            <wp:extent cx="609473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94730" cy="8890"/>
                    </a:xfrm>
                    <a:prstGeom prst="rect">
                      <a:avLst/>
                    </a:prstGeom>
                    <a:noFill/>
                  </pic:spPr>
                </pic:pic>
              </a:graphicData>
            </a:graphic>
          </wp:anchor>
        </w:drawing>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66</w:t>
      </w:r>
    </w:p>
    <w:p>
      <w:pPr>
        <w:sectPr>
          <w:pgSz w:w="11900" w:h="16838" w:orient="portrait"/>
          <w:cols w:equalWidth="0" w:num="1">
            <w:col w:w="11140"/>
          </w:cols>
          <w:pgMar w:left="320" w:top="455" w:right="4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208280</wp:posOffset>
            </wp:positionV>
            <wp:extent cx="1474470" cy="1454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474470" cy="145415"/>
                    </a:xfrm>
                    <a:prstGeom prst="rect">
                      <a:avLst/>
                    </a:prstGeom>
                    <a:noFill/>
                  </pic:spPr>
                </pic:pic>
              </a:graphicData>
            </a:graphic>
          </wp:anchor>
        </w:drawing>
      </w:r>
    </w:p>
    <w:p>
      <w:pPr>
        <w:spacing w:after="0" w:line="339"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FFFFFF"/>
        </w:rPr>
        <w:t>Executive compensation</w:t>
      </w:r>
    </w:p>
    <w:p>
      <w:pPr>
        <w:spacing w:after="0" w:line="186" w:lineRule="exact"/>
        <w:rPr>
          <w:sz w:val="20"/>
          <w:szCs w:val="20"/>
          <w:color w:val="auto"/>
        </w:rPr>
      </w:pPr>
    </w:p>
    <w:tbl>
      <w:tblPr>
        <w:tblLayout w:type="fixed"/>
        <w:tblInd w:w="130" w:type="dxa"/>
        <w:tblCellMar>
          <w:top w:w="0" w:type="dxa"/>
          <w:left w:w="0" w:type="dxa"/>
          <w:bottom w:w="0" w:type="dxa"/>
          <w:right w:w="0" w:type="dxa"/>
        </w:tblCellMar>
      </w:tblPr>
      <w:tr>
        <w:trPr>
          <w:trHeight w:val="378"/>
        </w:trPr>
        <w:tc>
          <w:tcPr>
            <w:tcW w:w="1460" w:type="dxa"/>
            <w:vAlign w:val="bottom"/>
            <w:tcBorders>
              <w:left w:val="single" w:sz="8" w:color="7F7F7F"/>
            </w:tcBorders>
            <w:shd w:val="clear" w:color="auto" w:fill="0066B2"/>
          </w:tcPr>
          <w:p>
            <w:pPr>
              <w:spacing w:after="0"/>
              <w:rPr>
                <w:sz w:val="24"/>
                <w:szCs w:val="24"/>
                <w:color w:val="auto"/>
              </w:rPr>
            </w:pPr>
          </w:p>
        </w:tc>
        <w:tc>
          <w:tcPr>
            <w:tcW w:w="880" w:type="dxa"/>
            <w:vAlign w:val="bottom"/>
            <w:shd w:val="clear" w:color="auto" w:fill="0066B2"/>
          </w:tcPr>
          <w:p>
            <w:pPr>
              <w:spacing w:after="0"/>
              <w:rPr>
                <w:sz w:val="24"/>
                <w:szCs w:val="24"/>
                <w:color w:val="auto"/>
              </w:rPr>
            </w:pPr>
          </w:p>
        </w:tc>
        <w:tc>
          <w:tcPr>
            <w:tcW w:w="1020" w:type="dxa"/>
            <w:vAlign w:val="bottom"/>
            <w:shd w:val="clear" w:color="auto" w:fill="0066B2"/>
          </w:tcPr>
          <w:p>
            <w:pPr>
              <w:spacing w:after="0"/>
              <w:rPr>
                <w:sz w:val="24"/>
                <w:szCs w:val="24"/>
                <w:color w:val="auto"/>
              </w:rPr>
            </w:pPr>
          </w:p>
        </w:tc>
        <w:tc>
          <w:tcPr>
            <w:tcW w:w="1500" w:type="dxa"/>
            <w:vAlign w:val="bottom"/>
            <w:shd w:val="clear" w:color="auto" w:fill="0066B2"/>
          </w:tcPr>
          <w:p>
            <w:pPr>
              <w:jc w:val="right"/>
              <w:ind w:right="289"/>
              <w:spacing w:after="0"/>
              <w:rPr>
                <w:sz w:val="20"/>
                <w:szCs w:val="20"/>
                <w:color w:val="auto"/>
              </w:rPr>
            </w:pPr>
            <w:r>
              <w:rPr>
                <w:rFonts w:ascii="Arial" w:cs="Arial" w:eastAsia="Arial" w:hAnsi="Arial"/>
                <w:sz w:val="14"/>
                <w:szCs w:val="14"/>
                <w:b w:val="1"/>
                <w:bCs w:val="1"/>
                <w:color w:val="FFFFFF"/>
              </w:rPr>
              <w:t>Option awards</w:t>
            </w:r>
          </w:p>
        </w:tc>
        <w:tc>
          <w:tcPr>
            <w:tcW w:w="800" w:type="dxa"/>
            <w:vAlign w:val="bottom"/>
            <w:shd w:val="clear" w:color="auto" w:fill="0066B2"/>
          </w:tcPr>
          <w:p>
            <w:pPr>
              <w:spacing w:after="0"/>
              <w:rPr>
                <w:sz w:val="24"/>
                <w:szCs w:val="24"/>
                <w:color w:val="auto"/>
              </w:rPr>
            </w:pPr>
          </w:p>
        </w:tc>
        <w:tc>
          <w:tcPr>
            <w:tcW w:w="820" w:type="dxa"/>
            <w:vAlign w:val="bottom"/>
            <w:shd w:val="clear" w:color="auto" w:fill="0066B2"/>
          </w:tcPr>
          <w:p>
            <w:pPr>
              <w:spacing w:after="0"/>
              <w:rPr>
                <w:sz w:val="24"/>
                <w:szCs w:val="24"/>
                <w:color w:val="auto"/>
              </w:rPr>
            </w:pPr>
          </w:p>
        </w:tc>
        <w:tc>
          <w:tcPr>
            <w:tcW w:w="1060" w:type="dxa"/>
            <w:vAlign w:val="bottom"/>
            <w:shd w:val="clear" w:color="auto" w:fill="0066B2"/>
          </w:tcPr>
          <w:p>
            <w:pPr>
              <w:spacing w:after="0"/>
              <w:rPr>
                <w:sz w:val="24"/>
                <w:szCs w:val="24"/>
                <w:color w:val="auto"/>
              </w:rPr>
            </w:pPr>
          </w:p>
        </w:tc>
        <w:tc>
          <w:tcPr>
            <w:tcW w:w="160" w:type="dxa"/>
            <w:vAlign w:val="bottom"/>
            <w:shd w:val="clear" w:color="auto" w:fill="0066B2"/>
          </w:tcPr>
          <w:p>
            <w:pPr>
              <w:spacing w:after="0"/>
              <w:rPr>
                <w:sz w:val="24"/>
                <w:szCs w:val="24"/>
                <w:color w:val="auto"/>
              </w:rPr>
            </w:pPr>
          </w:p>
        </w:tc>
        <w:tc>
          <w:tcPr>
            <w:tcW w:w="2180" w:type="dxa"/>
            <w:vAlign w:val="bottom"/>
            <w:gridSpan w:val="2"/>
            <w:shd w:val="clear" w:color="auto" w:fill="0066B2"/>
          </w:tcPr>
          <w:p>
            <w:pPr>
              <w:jc w:val="right"/>
              <w:ind w:right="569"/>
              <w:spacing w:after="0"/>
              <w:rPr>
                <w:sz w:val="20"/>
                <w:szCs w:val="20"/>
                <w:color w:val="auto"/>
              </w:rPr>
            </w:pPr>
            <w:r>
              <w:rPr>
                <w:rFonts w:ascii="Arial" w:cs="Arial" w:eastAsia="Arial" w:hAnsi="Arial"/>
                <w:sz w:val="14"/>
                <w:szCs w:val="14"/>
                <w:b w:val="1"/>
                <w:bCs w:val="1"/>
                <w:color w:val="FFFFFF"/>
              </w:rPr>
              <w:t>Stock awards</w:t>
            </w:r>
          </w:p>
        </w:tc>
        <w:tc>
          <w:tcPr>
            <w:tcW w:w="280" w:type="dxa"/>
            <w:vAlign w:val="bottom"/>
            <w:shd w:val="clear" w:color="auto" w:fill="0066B2"/>
          </w:tcPr>
          <w:p>
            <w:pPr>
              <w:spacing w:after="0"/>
              <w:rPr>
                <w:sz w:val="24"/>
                <w:szCs w:val="24"/>
                <w:color w:val="auto"/>
              </w:rPr>
            </w:pPr>
          </w:p>
        </w:tc>
        <w:tc>
          <w:tcPr>
            <w:tcW w:w="880" w:type="dxa"/>
            <w:vAlign w:val="bottom"/>
            <w:tcBorders>
              <w:right w:val="single" w:sz="8" w:color="7F7F7F"/>
            </w:tcBorders>
            <w:vMerge w:val="restart"/>
            <w:shd w:val="clear" w:color="auto" w:fill="0066B2"/>
          </w:tcPr>
          <w:p>
            <w:pPr>
              <w:jc w:val="center"/>
              <w:ind w:right="88"/>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166"/>
        </w:trPr>
        <w:tc>
          <w:tcPr>
            <w:tcW w:w="1460" w:type="dxa"/>
            <w:vAlign w:val="bottom"/>
            <w:tcBorders>
              <w:left w:val="single" w:sz="8" w:color="7F7F7F"/>
            </w:tcBorders>
            <w:shd w:val="clear" w:color="auto" w:fill="0066B2"/>
          </w:tcPr>
          <w:p>
            <w:pPr>
              <w:spacing w:after="0"/>
              <w:rPr>
                <w:sz w:val="14"/>
                <w:szCs w:val="14"/>
                <w:color w:val="auto"/>
              </w:rPr>
            </w:pPr>
          </w:p>
        </w:tc>
        <w:tc>
          <w:tcPr>
            <w:tcW w:w="880" w:type="dxa"/>
            <w:vAlign w:val="bottom"/>
            <w:shd w:val="clear" w:color="auto" w:fill="0066B2"/>
          </w:tcPr>
          <w:p>
            <w:pPr>
              <w:spacing w:after="0"/>
              <w:rPr>
                <w:sz w:val="14"/>
                <w:szCs w:val="14"/>
                <w:color w:val="auto"/>
              </w:rPr>
            </w:pPr>
          </w:p>
        </w:tc>
        <w:tc>
          <w:tcPr>
            <w:tcW w:w="1020" w:type="dxa"/>
            <w:vAlign w:val="bottom"/>
            <w:shd w:val="clear" w:color="auto" w:fill="0066B2"/>
          </w:tcPr>
          <w:p>
            <w:pPr>
              <w:spacing w:after="0"/>
              <w:rPr>
                <w:sz w:val="14"/>
                <w:szCs w:val="14"/>
                <w:color w:val="auto"/>
              </w:rPr>
            </w:pPr>
          </w:p>
        </w:tc>
        <w:tc>
          <w:tcPr>
            <w:tcW w:w="1500" w:type="dxa"/>
            <w:vAlign w:val="bottom"/>
            <w:shd w:val="clear" w:color="auto" w:fill="0066B2"/>
          </w:tcPr>
          <w:p>
            <w:pPr>
              <w:spacing w:after="0"/>
              <w:rPr>
                <w:sz w:val="14"/>
                <w:szCs w:val="14"/>
                <w:color w:val="auto"/>
              </w:rPr>
            </w:pPr>
          </w:p>
        </w:tc>
        <w:tc>
          <w:tcPr>
            <w:tcW w:w="800" w:type="dxa"/>
            <w:vAlign w:val="bottom"/>
            <w:shd w:val="clear" w:color="auto" w:fill="0066B2"/>
          </w:tcPr>
          <w:p>
            <w:pPr>
              <w:spacing w:after="0"/>
              <w:rPr>
                <w:sz w:val="14"/>
                <w:szCs w:val="14"/>
                <w:color w:val="auto"/>
              </w:rPr>
            </w:pPr>
          </w:p>
        </w:tc>
        <w:tc>
          <w:tcPr>
            <w:tcW w:w="820" w:type="dxa"/>
            <w:vAlign w:val="bottom"/>
            <w:shd w:val="clear" w:color="auto" w:fill="0066B2"/>
          </w:tcPr>
          <w:p>
            <w:pPr>
              <w:spacing w:after="0"/>
              <w:rPr>
                <w:sz w:val="14"/>
                <w:szCs w:val="14"/>
                <w:color w:val="auto"/>
              </w:rPr>
            </w:pPr>
          </w:p>
        </w:tc>
        <w:tc>
          <w:tcPr>
            <w:tcW w:w="1060" w:type="dxa"/>
            <w:vAlign w:val="bottom"/>
            <w:shd w:val="clear" w:color="auto" w:fill="0066B2"/>
          </w:tcPr>
          <w:p>
            <w:pPr>
              <w:spacing w:after="0"/>
              <w:rPr>
                <w:sz w:val="14"/>
                <w:szCs w:val="14"/>
                <w:color w:val="auto"/>
              </w:rPr>
            </w:pPr>
          </w:p>
        </w:tc>
        <w:tc>
          <w:tcPr>
            <w:tcW w:w="160" w:type="dxa"/>
            <w:vAlign w:val="bottom"/>
            <w:shd w:val="clear" w:color="auto" w:fill="0066B2"/>
          </w:tcPr>
          <w:p>
            <w:pPr>
              <w:spacing w:after="0"/>
              <w:rPr>
                <w:sz w:val="14"/>
                <w:szCs w:val="14"/>
                <w:color w:val="auto"/>
              </w:rPr>
            </w:pPr>
          </w:p>
        </w:tc>
        <w:tc>
          <w:tcPr>
            <w:tcW w:w="880" w:type="dxa"/>
            <w:vAlign w:val="bottom"/>
            <w:shd w:val="clear" w:color="auto" w:fill="0066B2"/>
          </w:tcPr>
          <w:p>
            <w:pPr>
              <w:spacing w:after="0"/>
              <w:rPr>
                <w:sz w:val="14"/>
                <w:szCs w:val="14"/>
                <w:color w:val="auto"/>
              </w:rPr>
            </w:pPr>
          </w:p>
        </w:tc>
        <w:tc>
          <w:tcPr>
            <w:tcW w:w="1300" w:type="dxa"/>
            <w:vAlign w:val="bottom"/>
            <w:shd w:val="clear" w:color="auto" w:fill="0066B2"/>
          </w:tcPr>
          <w:p>
            <w:pPr>
              <w:spacing w:after="0"/>
              <w:rPr>
                <w:sz w:val="14"/>
                <w:szCs w:val="14"/>
                <w:color w:val="auto"/>
              </w:rPr>
            </w:pPr>
          </w:p>
        </w:tc>
        <w:tc>
          <w:tcPr>
            <w:tcW w:w="280" w:type="dxa"/>
            <w:vAlign w:val="bottom"/>
            <w:shd w:val="clear" w:color="auto" w:fill="0066B2"/>
          </w:tcPr>
          <w:p>
            <w:pPr>
              <w:spacing w:after="0"/>
              <w:rPr>
                <w:sz w:val="14"/>
                <w:szCs w:val="14"/>
                <w:color w:val="auto"/>
              </w:rPr>
            </w:pPr>
          </w:p>
        </w:tc>
        <w:tc>
          <w:tcPr>
            <w:tcW w:w="880" w:type="dxa"/>
            <w:vAlign w:val="bottom"/>
            <w:tcBorders>
              <w:right w:val="single" w:sz="8" w:color="7F7F7F"/>
            </w:tcBorders>
            <w:vMerge w:val="continue"/>
            <w:shd w:val="clear" w:color="auto" w:fill="0066B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Borders>
              <w:left w:val="single" w:sz="8" w:color="7F7F7F"/>
            </w:tcBorders>
            <w:shd w:val="clear" w:color="auto" w:fill="0066B2"/>
          </w:tcPr>
          <w:p>
            <w:pPr>
              <w:spacing w:after="0"/>
              <w:rPr>
                <w:sz w:val="14"/>
                <w:szCs w:val="14"/>
                <w:color w:val="auto"/>
              </w:rPr>
            </w:pPr>
          </w:p>
        </w:tc>
        <w:tc>
          <w:tcPr>
            <w:tcW w:w="880" w:type="dxa"/>
            <w:vAlign w:val="bottom"/>
            <w:shd w:val="clear" w:color="auto" w:fill="0066B2"/>
          </w:tcPr>
          <w:p>
            <w:pPr>
              <w:spacing w:after="0"/>
              <w:rPr>
                <w:sz w:val="14"/>
                <w:szCs w:val="14"/>
                <w:color w:val="auto"/>
              </w:rPr>
            </w:pPr>
          </w:p>
        </w:tc>
        <w:tc>
          <w:tcPr>
            <w:tcW w:w="1020" w:type="dxa"/>
            <w:vAlign w:val="bottom"/>
            <w:shd w:val="clear" w:color="auto" w:fill="0066B2"/>
          </w:tcPr>
          <w:p>
            <w:pPr>
              <w:spacing w:after="0"/>
              <w:rPr>
                <w:sz w:val="14"/>
                <w:szCs w:val="14"/>
                <w:color w:val="auto"/>
              </w:rPr>
            </w:pPr>
          </w:p>
        </w:tc>
        <w:tc>
          <w:tcPr>
            <w:tcW w:w="1500" w:type="dxa"/>
            <w:vAlign w:val="bottom"/>
            <w:shd w:val="clear" w:color="auto" w:fill="0066B2"/>
          </w:tcPr>
          <w:p>
            <w:pPr>
              <w:spacing w:after="0"/>
              <w:rPr>
                <w:sz w:val="14"/>
                <w:szCs w:val="14"/>
                <w:color w:val="auto"/>
              </w:rPr>
            </w:pPr>
          </w:p>
        </w:tc>
        <w:tc>
          <w:tcPr>
            <w:tcW w:w="800" w:type="dxa"/>
            <w:vAlign w:val="bottom"/>
            <w:shd w:val="clear" w:color="auto" w:fill="0066B2"/>
          </w:tcPr>
          <w:p>
            <w:pPr>
              <w:spacing w:after="0"/>
              <w:rPr>
                <w:sz w:val="14"/>
                <w:szCs w:val="14"/>
                <w:color w:val="auto"/>
              </w:rPr>
            </w:pPr>
          </w:p>
        </w:tc>
        <w:tc>
          <w:tcPr>
            <w:tcW w:w="820" w:type="dxa"/>
            <w:vAlign w:val="bottom"/>
            <w:shd w:val="clear" w:color="auto" w:fill="0066B2"/>
          </w:tcPr>
          <w:p>
            <w:pPr>
              <w:spacing w:after="0"/>
              <w:rPr>
                <w:sz w:val="14"/>
                <w:szCs w:val="14"/>
                <w:color w:val="auto"/>
              </w:rPr>
            </w:pPr>
          </w:p>
        </w:tc>
        <w:tc>
          <w:tcPr>
            <w:tcW w:w="1060" w:type="dxa"/>
            <w:vAlign w:val="bottom"/>
            <w:shd w:val="clear" w:color="auto" w:fill="0066B2"/>
          </w:tcPr>
          <w:p>
            <w:pPr>
              <w:spacing w:after="0"/>
              <w:rPr>
                <w:sz w:val="14"/>
                <w:szCs w:val="14"/>
                <w:color w:val="auto"/>
              </w:rPr>
            </w:pPr>
          </w:p>
        </w:tc>
        <w:tc>
          <w:tcPr>
            <w:tcW w:w="160" w:type="dxa"/>
            <w:vAlign w:val="bottom"/>
            <w:shd w:val="clear" w:color="auto" w:fill="0066B2"/>
          </w:tcPr>
          <w:p>
            <w:pPr>
              <w:spacing w:after="0"/>
              <w:rPr>
                <w:sz w:val="14"/>
                <w:szCs w:val="14"/>
                <w:color w:val="auto"/>
              </w:rPr>
            </w:pPr>
          </w:p>
        </w:tc>
        <w:tc>
          <w:tcPr>
            <w:tcW w:w="880" w:type="dxa"/>
            <w:vAlign w:val="bottom"/>
            <w:shd w:val="clear" w:color="auto" w:fill="0066B2"/>
          </w:tcPr>
          <w:p>
            <w:pPr>
              <w:spacing w:after="0"/>
              <w:rPr>
                <w:sz w:val="14"/>
                <w:szCs w:val="14"/>
                <w:color w:val="auto"/>
              </w:rPr>
            </w:pPr>
          </w:p>
        </w:tc>
        <w:tc>
          <w:tcPr>
            <w:tcW w:w="130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w w:val="98"/>
              </w:rPr>
              <w:t>Equity</w:t>
            </w:r>
          </w:p>
        </w:tc>
        <w:tc>
          <w:tcPr>
            <w:tcW w:w="280" w:type="dxa"/>
            <w:vAlign w:val="bottom"/>
            <w:shd w:val="clear" w:color="auto" w:fill="0066B2"/>
          </w:tcPr>
          <w:p>
            <w:pPr>
              <w:spacing w:after="0"/>
              <w:rPr>
                <w:sz w:val="14"/>
                <w:szCs w:val="14"/>
                <w:color w:val="auto"/>
              </w:rPr>
            </w:pPr>
          </w:p>
        </w:tc>
        <w:tc>
          <w:tcPr>
            <w:tcW w:w="880" w:type="dxa"/>
            <w:vAlign w:val="bottom"/>
            <w:tcBorders>
              <w:right w:val="single" w:sz="8" w:color="7F7F7F"/>
            </w:tcBorders>
            <w:shd w:val="clear" w:color="auto" w:fill="0066B2"/>
          </w:tcPr>
          <w:p>
            <w:pPr>
              <w:jc w:val="center"/>
              <w:ind w:right="68"/>
              <w:spacing w:after="0"/>
              <w:rPr>
                <w:sz w:val="20"/>
                <w:szCs w:val="20"/>
                <w:color w:val="auto"/>
              </w:rPr>
            </w:pPr>
            <w:r>
              <w:rPr>
                <w:rFonts w:ascii="Arial" w:cs="Arial" w:eastAsia="Arial" w:hAnsi="Arial"/>
                <w:sz w:val="14"/>
                <w:szCs w:val="14"/>
                <w:b w:val="1"/>
                <w:bCs w:val="1"/>
                <w:color w:val="FFFFFF"/>
              </w:rPr>
              <w:t>incentive</w:t>
            </w:r>
          </w:p>
        </w:tc>
        <w:tc>
          <w:tcPr>
            <w:tcW w:w="0" w:type="dxa"/>
            <w:vAlign w:val="bottom"/>
          </w:tcPr>
          <w:p>
            <w:pPr>
              <w:spacing w:after="0"/>
              <w:rPr>
                <w:sz w:val="1"/>
                <w:szCs w:val="1"/>
                <w:color w:val="auto"/>
              </w:rPr>
            </w:pPr>
          </w:p>
        </w:tc>
      </w:tr>
      <w:tr>
        <w:trPr>
          <w:trHeight w:val="162"/>
        </w:trPr>
        <w:tc>
          <w:tcPr>
            <w:tcW w:w="1460" w:type="dxa"/>
            <w:vAlign w:val="bottom"/>
            <w:tcBorders>
              <w:left w:val="single" w:sz="8" w:color="7F7F7F"/>
            </w:tcBorders>
            <w:shd w:val="clear" w:color="auto" w:fill="0066B2"/>
          </w:tcPr>
          <w:p>
            <w:pPr>
              <w:spacing w:after="0"/>
              <w:rPr>
                <w:sz w:val="14"/>
                <w:szCs w:val="14"/>
                <w:color w:val="auto"/>
              </w:rPr>
            </w:pPr>
          </w:p>
        </w:tc>
        <w:tc>
          <w:tcPr>
            <w:tcW w:w="880" w:type="dxa"/>
            <w:vAlign w:val="bottom"/>
            <w:shd w:val="clear" w:color="auto" w:fill="0066B2"/>
          </w:tcPr>
          <w:p>
            <w:pPr>
              <w:spacing w:after="0"/>
              <w:rPr>
                <w:sz w:val="14"/>
                <w:szCs w:val="14"/>
                <w:color w:val="auto"/>
              </w:rPr>
            </w:pPr>
          </w:p>
        </w:tc>
        <w:tc>
          <w:tcPr>
            <w:tcW w:w="1020" w:type="dxa"/>
            <w:vAlign w:val="bottom"/>
            <w:shd w:val="clear" w:color="auto" w:fill="0066B2"/>
          </w:tcPr>
          <w:p>
            <w:pPr>
              <w:spacing w:after="0"/>
              <w:rPr>
                <w:sz w:val="14"/>
                <w:szCs w:val="14"/>
                <w:color w:val="auto"/>
              </w:rPr>
            </w:pPr>
          </w:p>
        </w:tc>
        <w:tc>
          <w:tcPr>
            <w:tcW w:w="1500" w:type="dxa"/>
            <w:vAlign w:val="bottom"/>
            <w:shd w:val="clear" w:color="auto" w:fill="0066B2"/>
          </w:tcPr>
          <w:p>
            <w:pPr>
              <w:spacing w:after="0"/>
              <w:rPr>
                <w:sz w:val="14"/>
                <w:szCs w:val="14"/>
                <w:color w:val="auto"/>
              </w:rPr>
            </w:pPr>
          </w:p>
        </w:tc>
        <w:tc>
          <w:tcPr>
            <w:tcW w:w="800" w:type="dxa"/>
            <w:vAlign w:val="bottom"/>
            <w:shd w:val="clear" w:color="auto" w:fill="0066B2"/>
          </w:tcPr>
          <w:p>
            <w:pPr>
              <w:spacing w:after="0"/>
              <w:rPr>
                <w:sz w:val="14"/>
                <w:szCs w:val="14"/>
                <w:color w:val="auto"/>
              </w:rPr>
            </w:pPr>
          </w:p>
        </w:tc>
        <w:tc>
          <w:tcPr>
            <w:tcW w:w="820" w:type="dxa"/>
            <w:vAlign w:val="bottom"/>
            <w:shd w:val="clear" w:color="auto" w:fill="0066B2"/>
          </w:tcPr>
          <w:p>
            <w:pPr>
              <w:spacing w:after="0"/>
              <w:rPr>
                <w:sz w:val="14"/>
                <w:szCs w:val="14"/>
                <w:color w:val="auto"/>
              </w:rPr>
            </w:pPr>
          </w:p>
        </w:tc>
        <w:tc>
          <w:tcPr>
            <w:tcW w:w="1060" w:type="dxa"/>
            <w:vAlign w:val="bottom"/>
            <w:shd w:val="clear" w:color="auto" w:fill="0066B2"/>
          </w:tcPr>
          <w:p>
            <w:pPr>
              <w:spacing w:after="0"/>
              <w:rPr>
                <w:sz w:val="14"/>
                <w:szCs w:val="14"/>
                <w:color w:val="auto"/>
              </w:rPr>
            </w:pPr>
          </w:p>
        </w:tc>
        <w:tc>
          <w:tcPr>
            <w:tcW w:w="160" w:type="dxa"/>
            <w:vAlign w:val="bottom"/>
            <w:shd w:val="clear" w:color="auto" w:fill="0066B2"/>
          </w:tcPr>
          <w:p>
            <w:pPr>
              <w:spacing w:after="0"/>
              <w:rPr>
                <w:sz w:val="14"/>
                <w:szCs w:val="14"/>
                <w:color w:val="auto"/>
              </w:rPr>
            </w:pPr>
          </w:p>
        </w:tc>
        <w:tc>
          <w:tcPr>
            <w:tcW w:w="880" w:type="dxa"/>
            <w:vAlign w:val="bottom"/>
            <w:shd w:val="clear" w:color="auto" w:fill="0066B2"/>
          </w:tcPr>
          <w:p>
            <w:pPr>
              <w:spacing w:after="0"/>
              <w:rPr>
                <w:sz w:val="14"/>
                <w:szCs w:val="14"/>
                <w:color w:val="auto"/>
              </w:rPr>
            </w:pPr>
          </w:p>
        </w:tc>
        <w:tc>
          <w:tcPr>
            <w:tcW w:w="130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incentive</w:t>
            </w:r>
          </w:p>
        </w:tc>
        <w:tc>
          <w:tcPr>
            <w:tcW w:w="1160" w:type="dxa"/>
            <w:vAlign w:val="bottom"/>
            <w:tcBorders>
              <w:right w:val="single" w:sz="8" w:color="7F7F7F"/>
            </w:tcBorders>
            <w:gridSpan w:val="2"/>
            <w:shd w:val="clear" w:color="auto" w:fill="0066B2"/>
          </w:tcPr>
          <w:p>
            <w:pPr>
              <w:ind w:left="200"/>
              <w:spacing w:after="0"/>
              <w:rPr>
                <w:sz w:val="20"/>
                <w:szCs w:val="20"/>
                <w:color w:val="auto"/>
              </w:rPr>
            </w:pPr>
            <w:r>
              <w:rPr>
                <w:rFonts w:ascii="Arial" w:cs="Arial" w:eastAsia="Arial" w:hAnsi="Arial"/>
                <w:sz w:val="14"/>
                <w:szCs w:val="14"/>
                <w:b w:val="1"/>
                <w:bCs w:val="1"/>
                <w:color w:val="FFFFFF"/>
              </w:rPr>
              <w:t>plan awards:</w:t>
            </w:r>
          </w:p>
        </w:tc>
        <w:tc>
          <w:tcPr>
            <w:tcW w:w="0" w:type="dxa"/>
            <w:vAlign w:val="bottom"/>
          </w:tcPr>
          <w:p>
            <w:pPr>
              <w:spacing w:after="0"/>
              <w:rPr>
                <w:sz w:val="1"/>
                <w:szCs w:val="1"/>
                <w:color w:val="auto"/>
              </w:rPr>
            </w:pPr>
          </w:p>
        </w:tc>
      </w:tr>
      <w:tr>
        <w:trPr>
          <w:trHeight w:val="162"/>
        </w:trPr>
        <w:tc>
          <w:tcPr>
            <w:tcW w:w="1460" w:type="dxa"/>
            <w:vAlign w:val="bottom"/>
            <w:tcBorders>
              <w:left w:val="single" w:sz="8" w:color="7F7F7F"/>
            </w:tcBorders>
            <w:shd w:val="clear" w:color="auto" w:fill="0066B2"/>
          </w:tcPr>
          <w:p>
            <w:pPr>
              <w:spacing w:after="0"/>
              <w:rPr>
                <w:sz w:val="14"/>
                <w:szCs w:val="14"/>
                <w:color w:val="auto"/>
              </w:rPr>
            </w:pPr>
          </w:p>
        </w:tc>
        <w:tc>
          <w:tcPr>
            <w:tcW w:w="880" w:type="dxa"/>
            <w:vAlign w:val="bottom"/>
            <w:shd w:val="clear" w:color="auto" w:fill="0066B2"/>
          </w:tcPr>
          <w:p>
            <w:pPr>
              <w:spacing w:after="0"/>
              <w:rPr>
                <w:sz w:val="14"/>
                <w:szCs w:val="14"/>
                <w:color w:val="auto"/>
              </w:rPr>
            </w:pPr>
          </w:p>
        </w:tc>
        <w:tc>
          <w:tcPr>
            <w:tcW w:w="1020" w:type="dxa"/>
            <w:vAlign w:val="bottom"/>
            <w:shd w:val="clear" w:color="auto" w:fill="0066B2"/>
          </w:tcPr>
          <w:p>
            <w:pPr>
              <w:spacing w:after="0"/>
              <w:rPr>
                <w:sz w:val="14"/>
                <w:szCs w:val="14"/>
                <w:color w:val="auto"/>
              </w:rPr>
            </w:pPr>
          </w:p>
        </w:tc>
        <w:tc>
          <w:tcPr>
            <w:tcW w:w="1500" w:type="dxa"/>
            <w:vAlign w:val="bottom"/>
            <w:shd w:val="clear" w:color="auto" w:fill="0066B2"/>
          </w:tcPr>
          <w:p>
            <w:pPr>
              <w:spacing w:after="0"/>
              <w:rPr>
                <w:sz w:val="14"/>
                <w:szCs w:val="14"/>
                <w:color w:val="auto"/>
              </w:rPr>
            </w:pPr>
          </w:p>
        </w:tc>
        <w:tc>
          <w:tcPr>
            <w:tcW w:w="800" w:type="dxa"/>
            <w:vAlign w:val="bottom"/>
            <w:shd w:val="clear" w:color="auto" w:fill="0066B2"/>
          </w:tcPr>
          <w:p>
            <w:pPr>
              <w:spacing w:after="0"/>
              <w:rPr>
                <w:sz w:val="14"/>
                <w:szCs w:val="14"/>
                <w:color w:val="auto"/>
              </w:rPr>
            </w:pPr>
          </w:p>
        </w:tc>
        <w:tc>
          <w:tcPr>
            <w:tcW w:w="820" w:type="dxa"/>
            <w:vAlign w:val="bottom"/>
            <w:shd w:val="clear" w:color="auto" w:fill="0066B2"/>
          </w:tcPr>
          <w:p>
            <w:pPr>
              <w:spacing w:after="0"/>
              <w:rPr>
                <w:sz w:val="14"/>
                <w:szCs w:val="14"/>
                <w:color w:val="auto"/>
              </w:rPr>
            </w:pPr>
          </w:p>
        </w:tc>
        <w:tc>
          <w:tcPr>
            <w:tcW w:w="1060" w:type="dxa"/>
            <w:vAlign w:val="bottom"/>
            <w:shd w:val="clear" w:color="auto" w:fill="0066B2"/>
          </w:tcPr>
          <w:p>
            <w:pPr>
              <w:spacing w:after="0"/>
              <w:rPr>
                <w:sz w:val="14"/>
                <w:szCs w:val="14"/>
                <w:color w:val="auto"/>
              </w:rPr>
            </w:pPr>
          </w:p>
        </w:tc>
        <w:tc>
          <w:tcPr>
            <w:tcW w:w="160" w:type="dxa"/>
            <w:vAlign w:val="bottom"/>
            <w:shd w:val="clear" w:color="auto" w:fill="0066B2"/>
          </w:tcPr>
          <w:p>
            <w:pPr>
              <w:spacing w:after="0"/>
              <w:rPr>
                <w:sz w:val="14"/>
                <w:szCs w:val="14"/>
                <w:color w:val="auto"/>
              </w:rPr>
            </w:pPr>
          </w:p>
        </w:tc>
        <w:tc>
          <w:tcPr>
            <w:tcW w:w="880" w:type="dxa"/>
            <w:vAlign w:val="bottom"/>
            <w:shd w:val="clear" w:color="auto" w:fill="0066B2"/>
          </w:tcPr>
          <w:p>
            <w:pPr>
              <w:jc w:val="center"/>
              <w:ind w:right="229"/>
              <w:spacing w:after="0"/>
              <w:rPr>
                <w:sz w:val="20"/>
                <w:szCs w:val="20"/>
                <w:color w:val="auto"/>
              </w:rPr>
            </w:pPr>
            <w:r>
              <w:rPr>
                <w:rFonts w:ascii="Arial" w:cs="Arial" w:eastAsia="Arial" w:hAnsi="Arial"/>
                <w:sz w:val="14"/>
                <w:szCs w:val="14"/>
                <w:b w:val="1"/>
                <w:bCs w:val="1"/>
                <w:color w:val="FFFFFF"/>
              </w:rPr>
              <w:t>Market</w:t>
            </w:r>
          </w:p>
        </w:tc>
        <w:tc>
          <w:tcPr>
            <w:tcW w:w="130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plan awards:</w:t>
            </w:r>
          </w:p>
        </w:tc>
        <w:tc>
          <w:tcPr>
            <w:tcW w:w="280" w:type="dxa"/>
            <w:vAlign w:val="bottom"/>
            <w:shd w:val="clear" w:color="auto" w:fill="0066B2"/>
          </w:tcPr>
          <w:p>
            <w:pPr>
              <w:spacing w:after="0"/>
              <w:rPr>
                <w:sz w:val="14"/>
                <w:szCs w:val="14"/>
                <w:color w:val="auto"/>
              </w:rPr>
            </w:pPr>
          </w:p>
        </w:tc>
        <w:tc>
          <w:tcPr>
            <w:tcW w:w="880" w:type="dxa"/>
            <w:vAlign w:val="bottom"/>
            <w:tcBorders>
              <w:right w:val="single" w:sz="8" w:color="7F7F7F"/>
            </w:tcBorders>
            <w:shd w:val="clear" w:color="auto" w:fill="0066B2"/>
          </w:tcPr>
          <w:p>
            <w:pPr>
              <w:jc w:val="center"/>
              <w:ind w:right="88"/>
              <w:spacing w:after="0"/>
              <w:rPr>
                <w:sz w:val="20"/>
                <w:szCs w:val="20"/>
                <w:color w:val="auto"/>
              </w:rPr>
            </w:pPr>
            <w:r>
              <w:rPr>
                <w:rFonts w:ascii="Arial" w:cs="Arial" w:eastAsia="Arial" w:hAnsi="Arial"/>
                <w:sz w:val="14"/>
                <w:szCs w:val="14"/>
                <w:b w:val="1"/>
                <w:bCs w:val="1"/>
                <w:color w:val="FFFFFF"/>
              </w:rPr>
              <w:t>Market or</w:t>
            </w:r>
          </w:p>
        </w:tc>
        <w:tc>
          <w:tcPr>
            <w:tcW w:w="0" w:type="dxa"/>
            <w:vAlign w:val="bottom"/>
          </w:tcPr>
          <w:p>
            <w:pPr>
              <w:spacing w:after="0"/>
              <w:rPr>
                <w:sz w:val="1"/>
                <w:szCs w:val="1"/>
                <w:color w:val="auto"/>
              </w:rPr>
            </w:pPr>
          </w:p>
        </w:tc>
      </w:tr>
      <w:tr>
        <w:trPr>
          <w:trHeight w:val="162"/>
        </w:trPr>
        <w:tc>
          <w:tcPr>
            <w:tcW w:w="1460" w:type="dxa"/>
            <w:vAlign w:val="bottom"/>
            <w:tcBorders>
              <w:left w:val="single" w:sz="8" w:color="7F7F7F"/>
            </w:tcBorders>
            <w:shd w:val="clear" w:color="auto" w:fill="0066B2"/>
          </w:tcPr>
          <w:p>
            <w:pPr>
              <w:spacing w:after="0"/>
              <w:rPr>
                <w:sz w:val="14"/>
                <w:szCs w:val="14"/>
                <w:color w:val="auto"/>
              </w:rPr>
            </w:pPr>
          </w:p>
        </w:tc>
        <w:tc>
          <w:tcPr>
            <w:tcW w:w="880" w:type="dxa"/>
            <w:vAlign w:val="bottom"/>
            <w:shd w:val="clear" w:color="auto" w:fill="0066B2"/>
          </w:tcPr>
          <w:p>
            <w:pPr>
              <w:spacing w:after="0"/>
              <w:rPr>
                <w:sz w:val="14"/>
                <w:szCs w:val="14"/>
                <w:color w:val="auto"/>
              </w:rPr>
            </w:pPr>
          </w:p>
        </w:tc>
        <w:tc>
          <w:tcPr>
            <w:tcW w:w="1020" w:type="dxa"/>
            <w:vAlign w:val="bottom"/>
            <w:shd w:val="clear" w:color="auto" w:fill="0066B2"/>
          </w:tcPr>
          <w:p>
            <w:pPr>
              <w:spacing w:after="0"/>
              <w:rPr>
                <w:sz w:val="14"/>
                <w:szCs w:val="14"/>
                <w:color w:val="auto"/>
              </w:rPr>
            </w:pPr>
          </w:p>
        </w:tc>
        <w:tc>
          <w:tcPr>
            <w:tcW w:w="1500" w:type="dxa"/>
            <w:vAlign w:val="bottom"/>
            <w:shd w:val="clear" w:color="auto" w:fill="0066B2"/>
          </w:tcPr>
          <w:p>
            <w:pPr>
              <w:spacing w:after="0"/>
              <w:rPr>
                <w:sz w:val="14"/>
                <w:szCs w:val="14"/>
                <w:color w:val="auto"/>
              </w:rPr>
            </w:pPr>
          </w:p>
        </w:tc>
        <w:tc>
          <w:tcPr>
            <w:tcW w:w="800" w:type="dxa"/>
            <w:vAlign w:val="bottom"/>
            <w:shd w:val="clear" w:color="auto" w:fill="0066B2"/>
          </w:tcPr>
          <w:p>
            <w:pPr>
              <w:spacing w:after="0"/>
              <w:rPr>
                <w:sz w:val="14"/>
                <w:szCs w:val="14"/>
                <w:color w:val="auto"/>
              </w:rPr>
            </w:pPr>
          </w:p>
        </w:tc>
        <w:tc>
          <w:tcPr>
            <w:tcW w:w="820" w:type="dxa"/>
            <w:vAlign w:val="bottom"/>
            <w:shd w:val="clear" w:color="auto" w:fill="0066B2"/>
          </w:tcPr>
          <w:p>
            <w:pPr>
              <w:spacing w:after="0"/>
              <w:rPr>
                <w:sz w:val="14"/>
                <w:szCs w:val="14"/>
                <w:color w:val="auto"/>
              </w:rPr>
            </w:pPr>
          </w:p>
        </w:tc>
        <w:tc>
          <w:tcPr>
            <w:tcW w:w="1060" w:type="dxa"/>
            <w:vAlign w:val="bottom"/>
            <w:shd w:val="clear" w:color="auto" w:fill="0066B2"/>
          </w:tcPr>
          <w:p>
            <w:pPr>
              <w:spacing w:after="0"/>
              <w:rPr>
                <w:sz w:val="14"/>
                <w:szCs w:val="14"/>
                <w:color w:val="auto"/>
              </w:rPr>
            </w:pPr>
          </w:p>
        </w:tc>
        <w:tc>
          <w:tcPr>
            <w:tcW w:w="160" w:type="dxa"/>
            <w:vAlign w:val="bottom"/>
            <w:shd w:val="clear" w:color="auto" w:fill="0066B2"/>
          </w:tcPr>
          <w:p>
            <w:pPr>
              <w:spacing w:after="0"/>
              <w:rPr>
                <w:sz w:val="14"/>
                <w:szCs w:val="14"/>
                <w:color w:val="auto"/>
              </w:rPr>
            </w:pPr>
          </w:p>
        </w:tc>
        <w:tc>
          <w:tcPr>
            <w:tcW w:w="880" w:type="dxa"/>
            <w:vAlign w:val="bottom"/>
            <w:shd w:val="clear" w:color="auto" w:fill="0066B2"/>
          </w:tcPr>
          <w:p>
            <w:pPr>
              <w:jc w:val="center"/>
              <w:ind w:right="229"/>
              <w:spacing w:after="0"/>
              <w:rPr>
                <w:sz w:val="20"/>
                <w:szCs w:val="20"/>
                <w:color w:val="auto"/>
              </w:rPr>
            </w:pPr>
            <w:r>
              <w:rPr>
                <w:rFonts w:ascii="Arial" w:cs="Arial" w:eastAsia="Arial" w:hAnsi="Arial"/>
                <w:sz w:val="14"/>
                <w:szCs w:val="14"/>
                <w:b w:val="1"/>
                <w:bCs w:val="1"/>
                <w:color w:val="FFFFFF"/>
              </w:rPr>
              <w:t>value of</w:t>
            </w:r>
          </w:p>
        </w:tc>
        <w:tc>
          <w:tcPr>
            <w:tcW w:w="130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1160" w:type="dxa"/>
            <w:vAlign w:val="bottom"/>
            <w:tcBorders>
              <w:right w:val="single" w:sz="8" w:color="7F7F7F"/>
            </w:tcBorders>
            <w:gridSpan w:val="2"/>
            <w:shd w:val="clear" w:color="auto" w:fill="0066B2"/>
          </w:tcPr>
          <w:p>
            <w:pPr>
              <w:ind w:left="200"/>
              <w:spacing w:after="0"/>
              <w:rPr>
                <w:sz w:val="20"/>
                <w:szCs w:val="20"/>
                <w:color w:val="auto"/>
              </w:rPr>
            </w:pPr>
            <w:r>
              <w:rPr>
                <w:rFonts w:ascii="Arial" w:cs="Arial" w:eastAsia="Arial" w:hAnsi="Arial"/>
                <w:sz w:val="14"/>
                <w:szCs w:val="14"/>
                <w:b w:val="1"/>
                <w:bCs w:val="1"/>
                <w:color w:val="FFFFFF"/>
              </w:rPr>
              <w:t>payout value</w:t>
            </w:r>
          </w:p>
        </w:tc>
        <w:tc>
          <w:tcPr>
            <w:tcW w:w="0" w:type="dxa"/>
            <w:vAlign w:val="bottom"/>
          </w:tcPr>
          <w:p>
            <w:pPr>
              <w:spacing w:after="0"/>
              <w:rPr>
                <w:sz w:val="1"/>
                <w:szCs w:val="1"/>
                <w:color w:val="auto"/>
              </w:rPr>
            </w:pPr>
          </w:p>
        </w:tc>
      </w:tr>
      <w:tr>
        <w:trPr>
          <w:trHeight w:val="162"/>
        </w:trPr>
        <w:tc>
          <w:tcPr>
            <w:tcW w:w="1460" w:type="dxa"/>
            <w:vAlign w:val="bottom"/>
            <w:tcBorders>
              <w:left w:val="single" w:sz="8" w:color="7F7F7F"/>
            </w:tcBorders>
            <w:shd w:val="clear" w:color="auto" w:fill="0066B2"/>
          </w:tcPr>
          <w:p>
            <w:pPr>
              <w:spacing w:after="0"/>
              <w:rPr>
                <w:sz w:val="14"/>
                <w:szCs w:val="14"/>
                <w:color w:val="auto"/>
              </w:rPr>
            </w:pPr>
          </w:p>
        </w:tc>
        <w:tc>
          <w:tcPr>
            <w:tcW w:w="880" w:type="dxa"/>
            <w:vAlign w:val="bottom"/>
            <w:shd w:val="clear" w:color="auto" w:fill="0066B2"/>
          </w:tcPr>
          <w:p>
            <w:pPr>
              <w:spacing w:after="0"/>
              <w:rPr>
                <w:sz w:val="14"/>
                <w:szCs w:val="14"/>
                <w:color w:val="auto"/>
              </w:rPr>
            </w:pPr>
          </w:p>
        </w:tc>
        <w:tc>
          <w:tcPr>
            <w:tcW w:w="102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Number of</w:t>
            </w:r>
          </w:p>
        </w:tc>
        <w:tc>
          <w:tcPr>
            <w:tcW w:w="150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Number of</w:t>
            </w:r>
          </w:p>
        </w:tc>
        <w:tc>
          <w:tcPr>
            <w:tcW w:w="800" w:type="dxa"/>
            <w:vAlign w:val="bottom"/>
            <w:shd w:val="clear" w:color="auto" w:fill="0066B2"/>
          </w:tcPr>
          <w:p>
            <w:pPr>
              <w:spacing w:after="0"/>
              <w:rPr>
                <w:sz w:val="14"/>
                <w:szCs w:val="14"/>
                <w:color w:val="auto"/>
              </w:rPr>
            </w:pPr>
          </w:p>
        </w:tc>
        <w:tc>
          <w:tcPr>
            <w:tcW w:w="820" w:type="dxa"/>
            <w:vAlign w:val="bottom"/>
            <w:shd w:val="clear" w:color="auto" w:fill="0066B2"/>
          </w:tcPr>
          <w:p>
            <w:pPr>
              <w:spacing w:after="0"/>
              <w:rPr>
                <w:sz w:val="14"/>
                <w:szCs w:val="14"/>
                <w:color w:val="auto"/>
              </w:rPr>
            </w:pPr>
          </w:p>
        </w:tc>
        <w:tc>
          <w:tcPr>
            <w:tcW w:w="1060" w:type="dxa"/>
            <w:vAlign w:val="bottom"/>
            <w:vMerge w:val="restart"/>
            <w:shd w:val="clear" w:color="auto" w:fill="0066B2"/>
          </w:tcPr>
          <w:p>
            <w:pPr>
              <w:jc w:val="center"/>
              <w:spacing w:after="0"/>
              <w:rPr>
                <w:sz w:val="20"/>
                <w:szCs w:val="20"/>
                <w:color w:val="auto"/>
              </w:rPr>
            </w:pPr>
            <w:r>
              <w:rPr>
                <w:rFonts w:ascii="Arial" w:cs="Arial" w:eastAsia="Arial" w:hAnsi="Arial"/>
                <w:sz w:val="14"/>
                <w:szCs w:val="14"/>
                <w:b w:val="1"/>
                <w:bCs w:val="1"/>
                <w:color w:val="FFFFFF"/>
              </w:rPr>
              <w:t>Number</w:t>
            </w:r>
          </w:p>
        </w:tc>
        <w:tc>
          <w:tcPr>
            <w:tcW w:w="1040" w:type="dxa"/>
            <w:vAlign w:val="bottom"/>
            <w:gridSpan w:val="2"/>
            <w:shd w:val="clear" w:color="auto" w:fill="0066B2"/>
          </w:tcPr>
          <w:p>
            <w:pPr>
              <w:jc w:val="center"/>
              <w:ind w:right="49"/>
              <w:spacing w:after="0"/>
              <w:rPr>
                <w:sz w:val="20"/>
                <w:szCs w:val="20"/>
                <w:color w:val="auto"/>
              </w:rPr>
            </w:pPr>
            <w:r>
              <w:rPr>
                <w:rFonts w:ascii="Arial" w:cs="Arial" w:eastAsia="Arial" w:hAnsi="Arial"/>
                <w:sz w:val="14"/>
                <w:szCs w:val="14"/>
                <w:b w:val="1"/>
                <w:bCs w:val="1"/>
                <w:color w:val="FFFFFF"/>
              </w:rPr>
              <w:t>shares or</w:t>
            </w:r>
          </w:p>
        </w:tc>
        <w:tc>
          <w:tcPr>
            <w:tcW w:w="130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unearned</w:t>
            </w:r>
          </w:p>
        </w:tc>
        <w:tc>
          <w:tcPr>
            <w:tcW w:w="1160" w:type="dxa"/>
            <w:vAlign w:val="bottom"/>
            <w:tcBorders>
              <w:right w:val="single" w:sz="8" w:color="7F7F7F"/>
            </w:tcBorders>
            <w:gridSpan w:val="2"/>
            <w:shd w:val="clear" w:color="auto" w:fill="0066B2"/>
          </w:tcPr>
          <w:p>
            <w:pPr>
              <w:jc w:val="center"/>
              <w:ind w:left="69"/>
              <w:spacing w:after="0"/>
              <w:rPr>
                <w:sz w:val="20"/>
                <w:szCs w:val="20"/>
                <w:color w:val="auto"/>
              </w:rPr>
            </w:pPr>
            <w:r>
              <w:rPr>
                <w:rFonts w:ascii="Arial" w:cs="Arial" w:eastAsia="Arial" w:hAnsi="Arial"/>
                <w:sz w:val="14"/>
                <w:szCs w:val="14"/>
                <w:b w:val="1"/>
                <w:bCs w:val="1"/>
                <w:color w:val="FFFFFF"/>
              </w:rPr>
              <w:t>of unearned</w:t>
            </w:r>
          </w:p>
        </w:tc>
        <w:tc>
          <w:tcPr>
            <w:tcW w:w="0" w:type="dxa"/>
            <w:vAlign w:val="bottom"/>
          </w:tcPr>
          <w:p>
            <w:pPr>
              <w:spacing w:after="0"/>
              <w:rPr>
                <w:sz w:val="1"/>
                <w:szCs w:val="1"/>
                <w:color w:val="auto"/>
              </w:rPr>
            </w:pPr>
          </w:p>
        </w:tc>
      </w:tr>
      <w:tr>
        <w:trPr>
          <w:trHeight w:val="148"/>
        </w:trPr>
        <w:tc>
          <w:tcPr>
            <w:tcW w:w="1460" w:type="dxa"/>
            <w:vAlign w:val="bottom"/>
            <w:tcBorders>
              <w:left w:val="single" w:sz="8" w:color="7F7F7F"/>
            </w:tcBorders>
            <w:shd w:val="clear" w:color="auto" w:fill="0066B2"/>
          </w:tcPr>
          <w:p>
            <w:pPr>
              <w:spacing w:after="0"/>
              <w:rPr>
                <w:sz w:val="12"/>
                <w:szCs w:val="12"/>
                <w:color w:val="auto"/>
              </w:rPr>
            </w:pPr>
          </w:p>
        </w:tc>
        <w:tc>
          <w:tcPr>
            <w:tcW w:w="880" w:type="dxa"/>
            <w:vAlign w:val="bottom"/>
            <w:shd w:val="clear" w:color="auto" w:fill="0066B2"/>
          </w:tcPr>
          <w:p>
            <w:pPr>
              <w:spacing w:after="0"/>
              <w:rPr>
                <w:sz w:val="12"/>
                <w:szCs w:val="12"/>
                <w:color w:val="auto"/>
              </w:rPr>
            </w:pPr>
          </w:p>
        </w:tc>
        <w:tc>
          <w:tcPr>
            <w:tcW w:w="1020" w:type="dxa"/>
            <w:vAlign w:val="bottom"/>
            <w:shd w:val="clear" w:color="auto" w:fill="0066B2"/>
          </w:tcPr>
          <w:p>
            <w:pPr>
              <w:jc w:val="center"/>
              <w:ind w:right="8"/>
              <w:spacing w:after="0" w:line="149" w:lineRule="exact"/>
              <w:rPr>
                <w:sz w:val="20"/>
                <w:szCs w:val="20"/>
                <w:color w:val="auto"/>
              </w:rPr>
            </w:pPr>
            <w:r>
              <w:rPr>
                <w:rFonts w:ascii="Arial" w:cs="Arial" w:eastAsia="Arial" w:hAnsi="Arial"/>
                <w:sz w:val="14"/>
                <w:szCs w:val="14"/>
                <w:b w:val="1"/>
                <w:bCs w:val="1"/>
                <w:color w:val="FFFFFF"/>
              </w:rPr>
              <w:t>securities</w:t>
            </w:r>
          </w:p>
        </w:tc>
        <w:tc>
          <w:tcPr>
            <w:tcW w:w="1500" w:type="dxa"/>
            <w:vAlign w:val="bottom"/>
            <w:shd w:val="clear" w:color="auto" w:fill="0066B2"/>
          </w:tcPr>
          <w:p>
            <w:pPr>
              <w:jc w:val="center"/>
              <w:spacing w:after="0" w:line="149" w:lineRule="exact"/>
              <w:rPr>
                <w:sz w:val="20"/>
                <w:szCs w:val="20"/>
                <w:color w:val="auto"/>
              </w:rPr>
            </w:pPr>
            <w:r>
              <w:rPr>
                <w:rFonts w:ascii="Arial" w:cs="Arial" w:eastAsia="Arial" w:hAnsi="Arial"/>
                <w:sz w:val="14"/>
                <w:szCs w:val="14"/>
                <w:b w:val="1"/>
                <w:bCs w:val="1"/>
                <w:color w:val="FFFFFF"/>
              </w:rPr>
              <w:t>securities</w:t>
            </w:r>
          </w:p>
        </w:tc>
        <w:tc>
          <w:tcPr>
            <w:tcW w:w="800" w:type="dxa"/>
            <w:vAlign w:val="bottom"/>
            <w:shd w:val="clear" w:color="auto" w:fill="0066B2"/>
          </w:tcPr>
          <w:p>
            <w:pPr>
              <w:spacing w:after="0"/>
              <w:rPr>
                <w:sz w:val="12"/>
                <w:szCs w:val="12"/>
                <w:color w:val="auto"/>
              </w:rPr>
            </w:pPr>
          </w:p>
        </w:tc>
        <w:tc>
          <w:tcPr>
            <w:tcW w:w="820" w:type="dxa"/>
            <w:vAlign w:val="bottom"/>
            <w:shd w:val="clear" w:color="auto" w:fill="0066B2"/>
          </w:tcPr>
          <w:p>
            <w:pPr>
              <w:spacing w:after="0"/>
              <w:rPr>
                <w:sz w:val="12"/>
                <w:szCs w:val="12"/>
                <w:color w:val="auto"/>
              </w:rPr>
            </w:pPr>
          </w:p>
        </w:tc>
        <w:tc>
          <w:tcPr>
            <w:tcW w:w="1060" w:type="dxa"/>
            <w:vAlign w:val="bottom"/>
            <w:vMerge w:val="continue"/>
            <w:shd w:val="clear" w:color="auto" w:fill="0066B2"/>
          </w:tcPr>
          <w:p>
            <w:pPr>
              <w:spacing w:after="0"/>
              <w:rPr>
                <w:sz w:val="12"/>
                <w:szCs w:val="12"/>
                <w:color w:val="auto"/>
              </w:rPr>
            </w:pPr>
          </w:p>
        </w:tc>
        <w:tc>
          <w:tcPr>
            <w:tcW w:w="160" w:type="dxa"/>
            <w:vAlign w:val="bottom"/>
            <w:shd w:val="clear" w:color="auto" w:fill="0066B2"/>
          </w:tcPr>
          <w:p>
            <w:pPr>
              <w:spacing w:after="0"/>
              <w:rPr>
                <w:sz w:val="12"/>
                <w:szCs w:val="12"/>
                <w:color w:val="auto"/>
              </w:rPr>
            </w:pPr>
          </w:p>
        </w:tc>
        <w:tc>
          <w:tcPr>
            <w:tcW w:w="880" w:type="dxa"/>
            <w:vAlign w:val="bottom"/>
            <w:shd w:val="clear" w:color="auto" w:fill="0066B2"/>
          </w:tcPr>
          <w:p>
            <w:pPr>
              <w:jc w:val="center"/>
              <w:ind w:right="209"/>
              <w:spacing w:after="0" w:line="149" w:lineRule="exact"/>
              <w:rPr>
                <w:sz w:val="20"/>
                <w:szCs w:val="20"/>
                <w:color w:val="auto"/>
              </w:rPr>
            </w:pPr>
            <w:r>
              <w:rPr>
                <w:rFonts w:ascii="Arial" w:cs="Arial" w:eastAsia="Arial" w:hAnsi="Arial"/>
                <w:sz w:val="14"/>
                <w:szCs w:val="14"/>
                <w:b w:val="1"/>
                <w:bCs w:val="1"/>
                <w:color w:val="FFFFFF"/>
              </w:rPr>
              <w:t>units of</w:t>
            </w:r>
          </w:p>
        </w:tc>
        <w:tc>
          <w:tcPr>
            <w:tcW w:w="1300" w:type="dxa"/>
            <w:vAlign w:val="bottom"/>
            <w:shd w:val="clear" w:color="auto" w:fill="0066B2"/>
          </w:tcPr>
          <w:p>
            <w:pPr>
              <w:jc w:val="center"/>
              <w:spacing w:after="0" w:line="149" w:lineRule="exact"/>
              <w:rPr>
                <w:sz w:val="20"/>
                <w:szCs w:val="20"/>
                <w:color w:val="auto"/>
              </w:rPr>
            </w:pPr>
            <w:r>
              <w:rPr>
                <w:rFonts w:ascii="Arial" w:cs="Arial" w:eastAsia="Arial" w:hAnsi="Arial"/>
                <w:sz w:val="14"/>
                <w:szCs w:val="14"/>
                <w:b w:val="1"/>
                <w:bCs w:val="1"/>
                <w:color w:val="FFFFFF"/>
              </w:rPr>
              <w:t>shares, units,</w:t>
            </w:r>
          </w:p>
        </w:tc>
        <w:tc>
          <w:tcPr>
            <w:tcW w:w="1160" w:type="dxa"/>
            <w:vAlign w:val="bottom"/>
            <w:tcBorders>
              <w:right w:val="single" w:sz="8" w:color="7F7F7F"/>
            </w:tcBorders>
            <w:gridSpan w:val="2"/>
            <w:shd w:val="clear" w:color="auto" w:fill="0066B2"/>
          </w:tcPr>
          <w:p>
            <w:pPr>
              <w:jc w:val="center"/>
              <w:ind w:left="49"/>
              <w:spacing w:after="0" w:line="149" w:lineRule="exact"/>
              <w:rPr>
                <w:sz w:val="20"/>
                <w:szCs w:val="20"/>
                <w:color w:val="auto"/>
              </w:rPr>
            </w:pPr>
            <w:r>
              <w:rPr>
                <w:rFonts w:ascii="Arial" w:cs="Arial" w:eastAsia="Arial" w:hAnsi="Arial"/>
                <w:sz w:val="14"/>
                <w:szCs w:val="14"/>
                <w:b w:val="1"/>
                <w:bCs w:val="1"/>
                <w:color w:val="FFFFFF"/>
              </w:rPr>
              <w:t>shares, units,</w:t>
            </w:r>
          </w:p>
        </w:tc>
        <w:tc>
          <w:tcPr>
            <w:tcW w:w="0" w:type="dxa"/>
            <w:vAlign w:val="bottom"/>
          </w:tcPr>
          <w:p>
            <w:pPr>
              <w:spacing w:after="0"/>
              <w:rPr>
                <w:sz w:val="1"/>
                <w:szCs w:val="1"/>
                <w:color w:val="auto"/>
              </w:rPr>
            </w:pPr>
          </w:p>
        </w:tc>
      </w:tr>
      <w:tr>
        <w:trPr>
          <w:trHeight w:val="162"/>
        </w:trPr>
        <w:tc>
          <w:tcPr>
            <w:tcW w:w="1460" w:type="dxa"/>
            <w:vAlign w:val="bottom"/>
            <w:tcBorders>
              <w:left w:val="single" w:sz="8" w:color="7F7F7F"/>
            </w:tcBorders>
            <w:shd w:val="clear" w:color="auto" w:fill="0066B2"/>
          </w:tcPr>
          <w:p>
            <w:pPr>
              <w:spacing w:after="0"/>
              <w:rPr>
                <w:sz w:val="14"/>
                <w:szCs w:val="14"/>
                <w:color w:val="auto"/>
              </w:rPr>
            </w:pPr>
          </w:p>
        </w:tc>
        <w:tc>
          <w:tcPr>
            <w:tcW w:w="880" w:type="dxa"/>
            <w:vAlign w:val="bottom"/>
            <w:shd w:val="clear" w:color="auto" w:fill="0066B2"/>
          </w:tcPr>
          <w:p>
            <w:pPr>
              <w:spacing w:after="0"/>
              <w:rPr>
                <w:sz w:val="14"/>
                <w:szCs w:val="14"/>
                <w:color w:val="auto"/>
              </w:rPr>
            </w:pPr>
          </w:p>
        </w:tc>
        <w:tc>
          <w:tcPr>
            <w:tcW w:w="1020" w:type="dxa"/>
            <w:vAlign w:val="bottom"/>
            <w:shd w:val="clear" w:color="auto" w:fill="0066B2"/>
          </w:tcPr>
          <w:p>
            <w:pPr>
              <w:jc w:val="center"/>
              <w:ind w:right="8"/>
              <w:spacing w:after="0"/>
              <w:rPr>
                <w:sz w:val="20"/>
                <w:szCs w:val="20"/>
                <w:color w:val="auto"/>
              </w:rPr>
            </w:pPr>
            <w:r>
              <w:rPr>
                <w:rFonts w:ascii="Arial" w:cs="Arial" w:eastAsia="Arial" w:hAnsi="Arial"/>
                <w:sz w:val="14"/>
                <w:szCs w:val="14"/>
                <w:b w:val="1"/>
                <w:bCs w:val="1"/>
                <w:color w:val="FFFFFF"/>
              </w:rPr>
              <w:t>underlying</w:t>
            </w:r>
          </w:p>
        </w:tc>
        <w:tc>
          <w:tcPr>
            <w:tcW w:w="150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underlying</w:t>
            </w:r>
          </w:p>
        </w:tc>
        <w:tc>
          <w:tcPr>
            <w:tcW w:w="800" w:type="dxa"/>
            <w:vAlign w:val="bottom"/>
            <w:shd w:val="clear" w:color="auto" w:fill="0066B2"/>
          </w:tcPr>
          <w:p>
            <w:pPr>
              <w:jc w:val="center"/>
              <w:ind w:left="28"/>
              <w:spacing w:after="0"/>
              <w:rPr>
                <w:sz w:val="20"/>
                <w:szCs w:val="20"/>
                <w:color w:val="auto"/>
              </w:rPr>
            </w:pPr>
            <w:r>
              <w:rPr>
                <w:rFonts w:ascii="Arial" w:cs="Arial" w:eastAsia="Arial" w:hAnsi="Arial"/>
                <w:sz w:val="14"/>
                <w:szCs w:val="14"/>
                <w:b w:val="1"/>
                <w:bCs w:val="1"/>
                <w:color w:val="FFFFFF"/>
              </w:rPr>
              <w:t>Option</w:t>
            </w:r>
          </w:p>
        </w:tc>
        <w:tc>
          <w:tcPr>
            <w:tcW w:w="820" w:type="dxa"/>
            <w:vAlign w:val="bottom"/>
            <w:shd w:val="clear" w:color="auto" w:fill="0066B2"/>
          </w:tcPr>
          <w:p>
            <w:pPr>
              <w:spacing w:after="0"/>
              <w:rPr>
                <w:sz w:val="14"/>
                <w:szCs w:val="14"/>
                <w:color w:val="auto"/>
              </w:rPr>
            </w:pPr>
          </w:p>
        </w:tc>
        <w:tc>
          <w:tcPr>
            <w:tcW w:w="106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of shares or</w:t>
            </w:r>
          </w:p>
        </w:tc>
        <w:tc>
          <w:tcPr>
            <w:tcW w:w="1040" w:type="dxa"/>
            <w:vAlign w:val="bottom"/>
            <w:gridSpan w:val="2"/>
            <w:shd w:val="clear" w:color="auto" w:fill="0066B2"/>
          </w:tcPr>
          <w:p>
            <w:pPr>
              <w:jc w:val="center"/>
              <w:ind w:right="49"/>
              <w:spacing w:after="0"/>
              <w:rPr>
                <w:sz w:val="20"/>
                <w:szCs w:val="20"/>
                <w:color w:val="auto"/>
              </w:rPr>
            </w:pPr>
            <w:r>
              <w:rPr>
                <w:rFonts w:ascii="Arial" w:cs="Arial" w:eastAsia="Arial" w:hAnsi="Arial"/>
                <w:sz w:val="14"/>
                <w:szCs w:val="14"/>
                <w:b w:val="1"/>
                <w:bCs w:val="1"/>
                <w:color w:val="FFFFFF"/>
              </w:rPr>
              <w:t>stock that</w:t>
            </w:r>
          </w:p>
        </w:tc>
        <w:tc>
          <w:tcPr>
            <w:tcW w:w="130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or other</w:t>
            </w:r>
          </w:p>
        </w:tc>
        <w:tc>
          <w:tcPr>
            <w:tcW w:w="280" w:type="dxa"/>
            <w:vAlign w:val="bottom"/>
            <w:shd w:val="clear" w:color="auto" w:fill="0066B2"/>
          </w:tcPr>
          <w:p>
            <w:pPr>
              <w:spacing w:after="0"/>
              <w:rPr>
                <w:sz w:val="14"/>
                <w:szCs w:val="14"/>
                <w:color w:val="auto"/>
              </w:rPr>
            </w:pPr>
          </w:p>
        </w:tc>
        <w:tc>
          <w:tcPr>
            <w:tcW w:w="880" w:type="dxa"/>
            <w:vAlign w:val="bottom"/>
            <w:tcBorders>
              <w:right w:val="single" w:sz="8" w:color="7F7F7F"/>
            </w:tcBorders>
            <w:shd w:val="clear" w:color="auto" w:fill="0066B2"/>
          </w:tcPr>
          <w:p>
            <w:pPr>
              <w:jc w:val="center"/>
              <w:ind w:right="68"/>
              <w:spacing w:after="0"/>
              <w:rPr>
                <w:sz w:val="20"/>
                <w:szCs w:val="20"/>
                <w:color w:val="auto"/>
              </w:rPr>
            </w:pPr>
            <w:r>
              <w:rPr>
                <w:rFonts w:ascii="Arial" w:cs="Arial" w:eastAsia="Arial" w:hAnsi="Arial"/>
                <w:sz w:val="14"/>
                <w:szCs w:val="14"/>
                <w:b w:val="1"/>
                <w:bCs w:val="1"/>
                <w:color w:val="FFFFFF"/>
              </w:rPr>
              <w:t>or other</w:t>
            </w:r>
          </w:p>
        </w:tc>
        <w:tc>
          <w:tcPr>
            <w:tcW w:w="0" w:type="dxa"/>
            <w:vAlign w:val="bottom"/>
          </w:tcPr>
          <w:p>
            <w:pPr>
              <w:spacing w:after="0"/>
              <w:rPr>
                <w:sz w:val="1"/>
                <w:szCs w:val="1"/>
                <w:color w:val="auto"/>
              </w:rPr>
            </w:pPr>
          </w:p>
        </w:tc>
      </w:tr>
      <w:tr>
        <w:trPr>
          <w:trHeight w:val="162"/>
        </w:trPr>
        <w:tc>
          <w:tcPr>
            <w:tcW w:w="1460" w:type="dxa"/>
            <w:vAlign w:val="bottom"/>
            <w:tcBorders>
              <w:left w:val="single" w:sz="8" w:color="7F7F7F"/>
            </w:tcBorders>
            <w:shd w:val="clear" w:color="auto" w:fill="0066B2"/>
          </w:tcPr>
          <w:p>
            <w:pPr>
              <w:spacing w:after="0"/>
              <w:rPr>
                <w:sz w:val="14"/>
                <w:szCs w:val="14"/>
                <w:color w:val="auto"/>
              </w:rPr>
            </w:pPr>
          </w:p>
        </w:tc>
        <w:tc>
          <w:tcPr>
            <w:tcW w:w="88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Grant</w:t>
            </w:r>
          </w:p>
        </w:tc>
        <w:tc>
          <w:tcPr>
            <w:tcW w:w="102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unexercised</w:t>
            </w:r>
          </w:p>
        </w:tc>
        <w:tc>
          <w:tcPr>
            <w:tcW w:w="150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unexercised</w:t>
            </w:r>
          </w:p>
        </w:tc>
        <w:tc>
          <w:tcPr>
            <w:tcW w:w="800" w:type="dxa"/>
            <w:vAlign w:val="bottom"/>
            <w:shd w:val="clear" w:color="auto" w:fill="0066B2"/>
          </w:tcPr>
          <w:p>
            <w:pPr>
              <w:jc w:val="center"/>
              <w:ind w:left="28"/>
              <w:spacing w:after="0"/>
              <w:rPr>
                <w:sz w:val="20"/>
                <w:szCs w:val="20"/>
                <w:color w:val="auto"/>
              </w:rPr>
            </w:pPr>
            <w:r>
              <w:rPr>
                <w:rFonts w:ascii="Arial" w:cs="Arial" w:eastAsia="Arial" w:hAnsi="Arial"/>
                <w:sz w:val="14"/>
                <w:szCs w:val="14"/>
                <w:b w:val="1"/>
                <w:bCs w:val="1"/>
                <w:color w:val="FFFFFF"/>
              </w:rPr>
              <w:t>exercise</w:t>
            </w:r>
          </w:p>
        </w:tc>
        <w:tc>
          <w:tcPr>
            <w:tcW w:w="82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Option</w:t>
            </w:r>
          </w:p>
        </w:tc>
        <w:tc>
          <w:tcPr>
            <w:tcW w:w="106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units of stock</w:t>
            </w:r>
          </w:p>
        </w:tc>
        <w:tc>
          <w:tcPr>
            <w:tcW w:w="160" w:type="dxa"/>
            <w:vAlign w:val="bottom"/>
            <w:shd w:val="clear" w:color="auto" w:fill="0066B2"/>
          </w:tcPr>
          <w:p>
            <w:pPr>
              <w:spacing w:after="0"/>
              <w:rPr>
                <w:sz w:val="14"/>
                <w:szCs w:val="14"/>
                <w:color w:val="auto"/>
              </w:rPr>
            </w:pPr>
          </w:p>
        </w:tc>
        <w:tc>
          <w:tcPr>
            <w:tcW w:w="880" w:type="dxa"/>
            <w:vAlign w:val="bottom"/>
            <w:shd w:val="clear" w:color="auto" w:fill="0066B2"/>
          </w:tcPr>
          <w:p>
            <w:pPr>
              <w:jc w:val="center"/>
              <w:ind w:right="209"/>
              <w:spacing w:after="0"/>
              <w:rPr>
                <w:sz w:val="20"/>
                <w:szCs w:val="20"/>
                <w:color w:val="auto"/>
              </w:rPr>
            </w:pPr>
            <w:r>
              <w:rPr>
                <w:rFonts w:ascii="Arial" w:cs="Arial" w:eastAsia="Arial" w:hAnsi="Arial"/>
                <w:sz w:val="14"/>
                <w:szCs w:val="14"/>
                <w:b w:val="1"/>
                <w:bCs w:val="1"/>
                <w:color w:val="FFFFFF"/>
              </w:rPr>
              <w:t>have not</w:t>
            </w:r>
          </w:p>
        </w:tc>
        <w:tc>
          <w:tcPr>
            <w:tcW w:w="130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rights that</w:t>
            </w:r>
          </w:p>
        </w:tc>
        <w:tc>
          <w:tcPr>
            <w:tcW w:w="280" w:type="dxa"/>
            <w:vAlign w:val="bottom"/>
            <w:shd w:val="clear" w:color="auto" w:fill="0066B2"/>
          </w:tcPr>
          <w:p>
            <w:pPr>
              <w:spacing w:after="0"/>
              <w:rPr>
                <w:sz w:val="14"/>
                <w:szCs w:val="14"/>
                <w:color w:val="auto"/>
              </w:rPr>
            </w:pPr>
          </w:p>
        </w:tc>
        <w:tc>
          <w:tcPr>
            <w:tcW w:w="880" w:type="dxa"/>
            <w:vAlign w:val="bottom"/>
            <w:tcBorders>
              <w:right w:val="single" w:sz="8" w:color="7F7F7F"/>
            </w:tcBorders>
            <w:shd w:val="clear" w:color="auto" w:fill="0066B2"/>
          </w:tcPr>
          <w:p>
            <w:pPr>
              <w:jc w:val="center"/>
              <w:ind w:right="68"/>
              <w:spacing w:after="0"/>
              <w:rPr>
                <w:sz w:val="20"/>
                <w:szCs w:val="20"/>
                <w:color w:val="auto"/>
              </w:rPr>
            </w:pPr>
            <w:r>
              <w:rPr>
                <w:rFonts w:ascii="Arial" w:cs="Arial" w:eastAsia="Arial" w:hAnsi="Arial"/>
                <w:sz w:val="14"/>
                <w:szCs w:val="14"/>
                <w:b w:val="1"/>
                <w:bCs w:val="1"/>
                <w:color w:val="FFFFFF"/>
              </w:rPr>
              <w:t>rights that</w:t>
            </w:r>
          </w:p>
        </w:tc>
        <w:tc>
          <w:tcPr>
            <w:tcW w:w="0" w:type="dxa"/>
            <w:vAlign w:val="bottom"/>
          </w:tcPr>
          <w:p>
            <w:pPr>
              <w:spacing w:after="0"/>
              <w:rPr>
                <w:sz w:val="1"/>
                <w:szCs w:val="1"/>
                <w:color w:val="auto"/>
              </w:rPr>
            </w:pPr>
          </w:p>
        </w:tc>
      </w:tr>
      <w:tr>
        <w:trPr>
          <w:trHeight w:val="158"/>
        </w:trPr>
        <w:tc>
          <w:tcPr>
            <w:tcW w:w="1460" w:type="dxa"/>
            <w:vAlign w:val="bottom"/>
            <w:tcBorders>
              <w:left w:val="single" w:sz="8" w:color="7F7F7F"/>
            </w:tcBorders>
            <w:shd w:val="clear" w:color="auto" w:fill="0066B2"/>
          </w:tcPr>
          <w:p>
            <w:pPr>
              <w:spacing w:after="0"/>
              <w:rPr>
                <w:sz w:val="13"/>
                <w:szCs w:val="13"/>
                <w:color w:val="auto"/>
              </w:rPr>
            </w:pPr>
          </w:p>
        </w:tc>
        <w:tc>
          <w:tcPr>
            <w:tcW w:w="880" w:type="dxa"/>
            <w:vAlign w:val="bottom"/>
            <w:shd w:val="clear" w:color="auto" w:fill="0066B2"/>
          </w:tcPr>
          <w:p>
            <w:pPr>
              <w:jc w:val="center"/>
              <w:spacing w:after="0" w:line="158" w:lineRule="exact"/>
              <w:rPr>
                <w:sz w:val="20"/>
                <w:szCs w:val="20"/>
                <w:color w:val="auto"/>
              </w:rPr>
            </w:pPr>
            <w:r>
              <w:rPr>
                <w:rFonts w:ascii="Arial" w:cs="Arial" w:eastAsia="Arial" w:hAnsi="Arial"/>
                <w:sz w:val="14"/>
                <w:szCs w:val="14"/>
                <w:b w:val="1"/>
                <w:bCs w:val="1"/>
                <w:color w:val="FFFFFF"/>
              </w:rPr>
              <w:t>date of</w:t>
            </w:r>
          </w:p>
        </w:tc>
        <w:tc>
          <w:tcPr>
            <w:tcW w:w="1020" w:type="dxa"/>
            <w:vAlign w:val="bottom"/>
            <w:shd w:val="clear" w:color="auto" w:fill="0066B2"/>
          </w:tcPr>
          <w:p>
            <w:pPr>
              <w:jc w:val="center"/>
              <w:ind w:right="8"/>
              <w:spacing w:after="0" w:line="158" w:lineRule="exact"/>
              <w:rPr>
                <w:sz w:val="20"/>
                <w:szCs w:val="20"/>
                <w:color w:val="auto"/>
              </w:rPr>
            </w:pPr>
            <w:r>
              <w:rPr>
                <w:rFonts w:ascii="Arial" w:cs="Arial" w:eastAsia="Arial" w:hAnsi="Arial"/>
                <w:sz w:val="14"/>
                <w:szCs w:val="14"/>
                <w:b w:val="1"/>
                <w:bCs w:val="1"/>
                <w:color w:val="FFFFFF"/>
              </w:rPr>
              <w:t>options (#)</w:t>
            </w:r>
          </w:p>
        </w:tc>
        <w:tc>
          <w:tcPr>
            <w:tcW w:w="1500" w:type="dxa"/>
            <w:vAlign w:val="bottom"/>
            <w:shd w:val="clear" w:color="auto" w:fill="0066B2"/>
          </w:tcPr>
          <w:p>
            <w:pPr>
              <w:jc w:val="center"/>
              <w:spacing w:after="0" w:line="158" w:lineRule="exact"/>
              <w:rPr>
                <w:sz w:val="20"/>
                <w:szCs w:val="20"/>
                <w:color w:val="auto"/>
              </w:rPr>
            </w:pPr>
            <w:r>
              <w:rPr>
                <w:rFonts w:ascii="Arial" w:cs="Arial" w:eastAsia="Arial" w:hAnsi="Arial"/>
                <w:sz w:val="14"/>
                <w:szCs w:val="14"/>
                <w:b w:val="1"/>
                <w:bCs w:val="1"/>
                <w:color w:val="FFFFFF"/>
              </w:rPr>
              <w:t>options (#)</w:t>
            </w:r>
          </w:p>
        </w:tc>
        <w:tc>
          <w:tcPr>
            <w:tcW w:w="800" w:type="dxa"/>
            <w:vAlign w:val="bottom"/>
            <w:shd w:val="clear" w:color="auto" w:fill="0066B2"/>
          </w:tcPr>
          <w:p>
            <w:pPr>
              <w:jc w:val="center"/>
              <w:ind w:left="28"/>
              <w:spacing w:after="0" w:line="158" w:lineRule="exact"/>
              <w:rPr>
                <w:sz w:val="20"/>
                <w:szCs w:val="20"/>
                <w:color w:val="auto"/>
              </w:rPr>
            </w:pPr>
            <w:r>
              <w:rPr>
                <w:rFonts w:ascii="Arial" w:cs="Arial" w:eastAsia="Arial" w:hAnsi="Arial"/>
                <w:sz w:val="14"/>
                <w:szCs w:val="14"/>
                <w:b w:val="1"/>
                <w:bCs w:val="1"/>
                <w:color w:val="FFFFFF"/>
              </w:rPr>
              <w:t>price</w:t>
            </w:r>
          </w:p>
        </w:tc>
        <w:tc>
          <w:tcPr>
            <w:tcW w:w="820" w:type="dxa"/>
            <w:vAlign w:val="bottom"/>
            <w:shd w:val="clear" w:color="auto" w:fill="0066B2"/>
          </w:tcPr>
          <w:p>
            <w:pPr>
              <w:jc w:val="center"/>
              <w:spacing w:after="0" w:line="158" w:lineRule="exact"/>
              <w:rPr>
                <w:sz w:val="20"/>
                <w:szCs w:val="20"/>
                <w:color w:val="auto"/>
              </w:rPr>
            </w:pPr>
            <w:r>
              <w:rPr>
                <w:rFonts w:ascii="Arial" w:cs="Arial" w:eastAsia="Arial" w:hAnsi="Arial"/>
                <w:sz w:val="14"/>
                <w:szCs w:val="14"/>
                <w:b w:val="1"/>
                <w:bCs w:val="1"/>
                <w:color w:val="FFFFFF"/>
              </w:rPr>
              <w:t>expiration</w:t>
            </w:r>
          </w:p>
        </w:tc>
        <w:tc>
          <w:tcPr>
            <w:tcW w:w="1060" w:type="dxa"/>
            <w:vAlign w:val="bottom"/>
            <w:shd w:val="clear" w:color="auto" w:fill="0066B2"/>
          </w:tcPr>
          <w:p>
            <w:pPr>
              <w:jc w:val="center"/>
              <w:spacing w:after="0" w:line="158" w:lineRule="exact"/>
              <w:rPr>
                <w:sz w:val="20"/>
                <w:szCs w:val="20"/>
                <w:color w:val="auto"/>
              </w:rPr>
            </w:pPr>
            <w:r>
              <w:rPr>
                <w:rFonts w:ascii="Arial" w:cs="Arial" w:eastAsia="Arial" w:hAnsi="Arial"/>
                <w:sz w:val="14"/>
                <w:szCs w:val="14"/>
                <w:b w:val="1"/>
                <w:bCs w:val="1"/>
                <w:color w:val="FFFFFF"/>
              </w:rPr>
              <w:t>that have not</w:t>
            </w:r>
          </w:p>
        </w:tc>
        <w:tc>
          <w:tcPr>
            <w:tcW w:w="160" w:type="dxa"/>
            <w:vAlign w:val="bottom"/>
            <w:shd w:val="clear" w:color="auto" w:fill="0066B2"/>
          </w:tcPr>
          <w:p>
            <w:pPr>
              <w:spacing w:after="0"/>
              <w:rPr>
                <w:sz w:val="13"/>
                <w:szCs w:val="13"/>
                <w:color w:val="auto"/>
              </w:rPr>
            </w:pPr>
          </w:p>
        </w:tc>
        <w:tc>
          <w:tcPr>
            <w:tcW w:w="880" w:type="dxa"/>
            <w:vAlign w:val="bottom"/>
            <w:shd w:val="clear" w:color="auto" w:fill="0066B2"/>
          </w:tcPr>
          <w:p>
            <w:pPr>
              <w:jc w:val="center"/>
              <w:ind w:right="229"/>
              <w:spacing w:after="0" w:line="158" w:lineRule="exact"/>
              <w:rPr>
                <w:sz w:val="20"/>
                <w:szCs w:val="20"/>
                <w:color w:val="auto"/>
              </w:rPr>
            </w:pPr>
            <w:r>
              <w:rPr>
                <w:rFonts w:ascii="Arial" w:cs="Arial" w:eastAsia="Arial" w:hAnsi="Arial"/>
                <w:sz w:val="14"/>
                <w:szCs w:val="14"/>
                <w:b w:val="1"/>
                <w:bCs w:val="1"/>
                <w:color w:val="FFFFFF"/>
              </w:rPr>
              <w:t>vested</w:t>
            </w:r>
          </w:p>
        </w:tc>
        <w:tc>
          <w:tcPr>
            <w:tcW w:w="1300" w:type="dxa"/>
            <w:vAlign w:val="bottom"/>
            <w:shd w:val="clear" w:color="auto" w:fill="0066B2"/>
          </w:tcPr>
          <w:p>
            <w:pPr>
              <w:jc w:val="center"/>
              <w:spacing w:after="0" w:line="158" w:lineRule="exact"/>
              <w:rPr>
                <w:sz w:val="20"/>
                <w:szCs w:val="20"/>
                <w:color w:val="auto"/>
              </w:rPr>
            </w:pPr>
            <w:r>
              <w:rPr>
                <w:rFonts w:ascii="Arial" w:cs="Arial" w:eastAsia="Arial" w:hAnsi="Arial"/>
                <w:sz w:val="14"/>
                <w:szCs w:val="14"/>
                <w:b w:val="1"/>
                <w:bCs w:val="1"/>
                <w:color w:val="FFFFFF"/>
              </w:rPr>
              <w:t>have not</w:t>
            </w:r>
          </w:p>
        </w:tc>
        <w:tc>
          <w:tcPr>
            <w:tcW w:w="280" w:type="dxa"/>
            <w:vAlign w:val="bottom"/>
            <w:shd w:val="clear" w:color="auto" w:fill="0066B2"/>
          </w:tcPr>
          <w:p>
            <w:pPr>
              <w:spacing w:after="0"/>
              <w:rPr>
                <w:sz w:val="13"/>
                <w:szCs w:val="13"/>
                <w:color w:val="auto"/>
              </w:rPr>
            </w:pPr>
          </w:p>
        </w:tc>
        <w:tc>
          <w:tcPr>
            <w:tcW w:w="880" w:type="dxa"/>
            <w:vAlign w:val="bottom"/>
            <w:tcBorders>
              <w:right w:val="single" w:sz="8" w:color="7F7F7F"/>
            </w:tcBorders>
            <w:shd w:val="clear" w:color="auto" w:fill="0066B2"/>
          </w:tcPr>
          <w:p>
            <w:pPr>
              <w:jc w:val="center"/>
              <w:ind w:right="68"/>
              <w:spacing w:after="0" w:line="158" w:lineRule="exact"/>
              <w:rPr>
                <w:sz w:val="20"/>
                <w:szCs w:val="20"/>
                <w:color w:val="auto"/>
              </w:rPr>
            </w:pPr>
            <w:r>
              <w:rPr>
                <w:rFonts w:ascii="Arial" w:cs="Arial" w:eastAsia="Arial" w:hAnsi="Arial"/>
                <w:sz w:val="14"/>
                <w:szCs w:val="14"/>
                <w:b w:val="1"/>
                <w:bCs w:val="1"/>
                <w:color w:val="FFFFFF"/>
              </w:rPr>
              <w:t>have not</w:t>
            </w:r>
          </w:p>
        </w:tc>
        <w:tc>
          <w:tcPr>
            <w:tcW w:w="0" w:type="dxa"/>
            <w:vAlign w:val="bottom"/>
          </w:tcPr>
          <w:p>
            <w:pPr>
              <w:spacing w:after="0"/>
              <w:rPr>
                <w:sz w:val="1"/>
                <w:szCs w:val="1"/>
                <w:color w:val="auto"/>
              </w:rPr>
            </w:pPr>
          </w:p>
        </w:tc>
      </w:tr>
      <w:tr>
        <w:trPr>
          <w:trHeight w:val="189"/>
        </w:trPr>
        <w:tc>
          <w:tcPr>
            <w:tcW w:w="1460" w:type="dxa"/>
            <w:vAlign w:val="bottom"/>
            <w:tcBorders>
              <w:left w:val="single" w:sz="8" w:color="7F7F7F"/>
            </w:tcBorders>
            <w:shd w:val="clear" w:color="auto" w:fill="0066B2"/>
          </w:tcPr>
          <w:p>
            <w:pPr>
              <w:ind w:left="160"/>
              <w:spacing w:after="0" w:line="189" w:lineRule="exact"/>
              <w:rPr>
                <w:sz w:val="20"/>
                <w:szCs w:val="20"/>
                <w:color w:val="auto"/>
              </w:rPr>
            </w:pPr>
            <w:r>
              <w:rPr>
                <w:rFonts w:ascii="Arial" w:cs="Arial" w:eastAsia="Arial" w:hAnsi="Arial"/>
                <w:sz w:val="13"/>
                <w:szCs w:val="13"/>
                <w:b w:val="1"/>
                <w:bCs w:val="1"/>
                <w:color w:val="FFFFFF"/>
              </w:rPr>
              <w:t>Name</w:t>
            </w:r>
            <w:r>
              <w:rPr>
                <w:rFonts w:ascii="Arial" w:cs="Arial" w:eastAsia="Arial" w:hAnsi="Arial"/>
                <w:sz w:val="21"/>
                <w:szCs w:val="21"/>
                <w:b w:val="1"/>
                <w:bCs w:val="1"/>
                <w:color w:val="FFFFFF"/>
                <w:vertAlign w:val="superscript"/>
              </w:rPr>
              <w:t>(1)</w:t>
            </w:r>
          </w:p>
        </w:tc>
        <w:tc>
          <w:tcPr>
            <w:tcW w:w="88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awards</w:t>
            </w:r>
          </w:p>
        </w:tc>
        <w:tc>
          <w:tcPr>
            <w:tcW w:w="1020" w:type="dxa"/>
            <w:vAlign w:val="bottom"/>
            <w:shd w:val="clear" w:color="auto" w:fill="0066B2"/>
          </w:tcPr>
          <w:p>
            <w:pPr>
              <w:jc w:val="center"/>
              <w:ind w:right="8"/>
              <w:spacing w:after="0"/>
              <w:rPr>
                <w:sz w:val="20"/>
                <w:szCs w:val="20"/>
                <w:color w:val="auto"/>
              </w:rPr>
            </w:pPr>
            <w:r>
              <w:rPr>
                <w:rFonts w:ascii="Arial" w:cs="Arial" w:eastAsia="Arial" w:hAnsi="Arial"/>
                <w:sz w:val="14"/>
                <w:szCs w:val="14"/>
                <w:b w:val="1"/>
                <w:bCs w:val="1"/>
                <w:color w:val="FFFFFF"/>
              </w:rPr>
              <w:t>exercisable</w:t>
            </w:r>
          </w:p>
        </w:tc>
        <w:tc>
          <w:tcPr>
            <w:tcW w:w="1500" w:type="dxa"/>
            <w:vAlign w:val="bottom"/>
            <w:shd w:val="clear" w:color="auto" w:fill="0066B2"/>
          </w:tcPr>
          <w:p>
            <w:pPr>
              <w:jc w:val="center"/>
              <w:spacing w:after="0" w:line="189" w:lineRule="exact"/>
              <w:rPr>
                <w:sz w:val="20"/>
                <w:szCs w:val="20"/>
                <w:color w:val="auto"/>
              </w:rPr>
            </w:pPr>
            <w:r>
              <w:rPr>
                <w:rFonts w:ascii="Arial" w:cs="Arial" w:eastAsia="Arial" w:hAnsi="Arial"/>
                <w:sz w:val="13"/>
                <w:szCs w:val="13"/>
                <w:b w:val="1"/>
                <w:bCs w:val="1"/>
                <w:color w:val="FFFFFF"/>
              </w:rPr>
              <w:t>unexercisable</w:t>
            </w:r>
            <w:r>
              <w:rPr>
                <w:rFonts w:ascii="Arial" w:cs="Arial" w:eastAsia="Arial" w:hAnsi="Arial"/>
                <w:sz w:val="21"/>
                <w:szCs w:val="21"/>
                <w:b w:val="1"/>
                <w:bCs w:val="1"/>
                <w:color w:val="FFFFFF"/>
                <w:vertAlign w:val="superscript"/>
              </w:rPr>
              <w:t>(2)</w:t>
            </w:r>
          </w:p>
        </w:tc>
        <w:tc>
          <w:tcPr>
            <w:tcW w:w="800" w:type="dxa"/>
            <w:vAlign w:val="bottom"/>
            <w:shd w:val="clear" w:color="auto" w:fill="0066B2"/>
          </w:tcPr>
          <w:p>
            <w:pPr>
              <w:jc w:val="center"/>
              <w:ind w:left="28"/>
              <w:spacing w:after="0"/>
              <w:rPr>
                <w:sz w:val="20"/>
                <w:szCs w:val="20"/>
                <w:color w:val="auto"/>
              </w:rPr>
            </w:pPr>
            <w:r>
              <w:rPr>
                <w:rFonts w:ascii="Arial" w:cs="Arial" w:eastAsia="Arial" w:hAnsi="Arial"/>
                <w:sz w:val="14"/>
                <w:szCs w:val="14"/>
                <w:b w:val="1"/>
                <w:bCs w:val="1"/>
                <w:color w:val="FFFFFF"/>
              </w:rPr>
              <w:t>($)</w:t>
            </w:r>
          </w:p>
        </w:tc>
        <w:tc>
          <w:tcPr>
            <w:tcW w:w="82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date</w:t>
            </w:r>
          </w:p>
        </w:tc>
        <w:tc>
          <w:tcPr>
            <w:tcW w:w="1060" w:type="dxa"/>
            <w:vAlign w:val="bottom"/>
            <w:shd w:val="clear" w:color="auto" w:fill="0066B2"/>
          </w:tcPr>
          <w:p>
            <w:pPr>
              <w:jc w:val="center"/>
              <w:spacing w:after="0" w:line="189" w:lineRule="exact"/>
              <w:rPr>
                <w:sz w:val="20"/>
                <w:szCs w:val="20"/>
                <w:color w:val="auto"/>
              </w:rPr>
            </w:pPr>
            <w:r>
              <w:rPr>
                <w:rFonts w:ascii="Arial" w:cs="Arial" w:eastAsia="Arial" w:hAnsi="Arial"/>
                <w:sz w:val="13"/>
                <w:szCs w:val="13"/>
                <w:b w:val="1"/>
                <w:bCs w:val="1"/>
                <w:color w:val="FFFFFF"/>
              </w:rPr>
              <w:t>vested (#)</w:t>
            </w:r>
            <w:r>
              <w:rPr>
                <w:rFonts w:ascii="Arial" w:cs="Arial" w:eastAsia="Arial" w:hAnsi="Arial"/>
                <w:sz w:val="21"/>
                <w:szCs w:val="21"/>
                <w:b w:val="1"/>
                <w:bCs w:val="1"/>
                <w:color w:val="FFFFFF"/>
                <w:vertAlign w:val="superscript"/>
              </w:rPr>
              <w:t>(3)</w:t>
            </w:r>
          </w:p>
        </w:tc>
        <w:tc>
          <w:tcPr>
            <w:tcW w:w="160" w:type="dxa"/>
            <w:vAlign w:val="bottom"/>
            <w:shd w:val="clear" w:color="auto" w:fill="0066B2"/>
          </w:tcPr>
          <w:p>
            <w:pPr>
              <w:spacing w:after="0"/>
              <w:rPr>
                <w:sz w:val="16"/>
                <w:szCs w:val="16"/>
                <w:color w:val="auto"/>
              </w:rPr>
            </w:pPr>
          </w:p>
        </w:tc>
        <w:tc>
          <w:tcPr>
            <w:tcW w:w="880" w:type="dxa"/>
            <w:vAlign w:val="bottom"/>
            <w:shd w:val="clear" w:color="auto" w:fill="0066B2"/>
          </w:tcPr>
          <w:p>
            <w:pPr>
              <w:jc w:val="center"/>
              <w:ind w:right="209"/>
              <w:spacing w:after="0" w:line="189" w:lineRule="exact"/>
              <w:rPr>
                <w:sz w:val="20"/>
                <w:szCs w:val="20"/>
                <w:color w:val="auto"/>
              </w:rPr>
            </w:pPr>
            <w:r>
              <w:rPr>
                <w:rFonts w:ascii="Arial" w:cs="Arial" w:eastAsia="Arial" w:hAnsi="Arial"/>
                <w:sz w:val="13"/>
                <w:szCs w:val="13"/>
                <w:b w:val="1"/>
                <w:bCs w:val="1"/>
                <w:color w:val="FFFFFF"/>
                <w:w w:val="96"/>
              </w:rPr>
              <w:t>($)</w:t>
            </w:r>
            <w:r>
              <w:rPr>
                <w:rFonts w:ascii="Arial" w:cs="Arial" w:eastAsia="Arial" w:hAnsi="Arial"/>
                <w:sz w:val="21"/>
                <w:szCs w:val="21"/>
                <w:b w:val="1"/>
                <w:bCs w:val="1"/>
                <w:color w:val="FFFFFF"/>
                <w:w w:val="96"/>
                <w:vertAlign w:val="superscript"/>
              </w:rPr>
              <w:t>(4)</w:t>
            </w:r>
          </w:p>
        </w:tc>
        <w:tc>
          <w:tcPr>
            <w:tcW w:w="1300" w:type="dxa"/>
            <w:vAlign w:val="bottom"/>
            <w:shd w:val="clear" w:color="auto" w:fill="0066B2"/>
          </w:tcPr>
          <w:p>
            <w:pPr>
              <w:jc w:val="center"/>
              <w:spacing w:after="0" w:line="189" w:lineRule="exact"/>
              <w:rPr>
                <w:sz w:val="20"/>
                <w:szCs w:val="20"/>
                <w:color w:val="auto"/>
              </w:rPr>
            </w:pPr>
            <w:r>
              <w:rPr>
                <w:rFonts w:ascii="Arial" w:cs="Arial" w:eastAsia="Arial" w:hAnsi="Arial"/>
                <w:sz w:val="13"/>
                <w:szCs w:val="13"/>
                <w:b w:val="1"/>
                <w:bCs w:val="1"/>
                <w:color w:val="FFFFFF"/>
              </w:rPr>
              <w:t>vested (#)</w:t>
            </w:r>
            <w:r>
              <w:rPr>
                <w:rFonts w:ascii="Arial" w:cs="Arial" w:eastAsia="Arial" w:hAnsi="Arial"/>
                <w:sz w:val="21"/>
                <w:szCs w:val="21"/>
                <w:b w:val="1"/>
                <w:bCs w:val="1"/>
                <w:color w:val="FFFFFF"/>
                <w:vertAlign w:val="superscript"/>
              </w:rPr>
              <w:t>(5)</w:t>
            </w:r>
          </w:p>
        </w:tc>
        <w:tc>
          <w:tcPr>
            <w:tcW w:w="1160" w:type="dxa"/>
            <w:vAlign w:val="bottom"/>
            <w:tcBorders>
              <w:right w:val="single" w:sz="8" w:color="7F7F7F"/>
            </w:tcBorders>
            <w:gridSpan w:val="2"/>
            <w:shd w:val="clear" w:color="auto" w:fill="0066B2"/>
          </w:tcPr>
          <w:p>
            <w:pPr>
              <w:jc w:val="center"/>
              <w:ind w:left="69"/>
              <w:spacing w:after="0" w:line="189" w:lineRule="exact"/>
              <w:rPr>
                <w:sz w:val="20"/>
                <w:szCs w:val="20"/>
                <w:color w:val="auto"/>
              </w:rPr>
            </w:pPr>
            <w:r>
              <w:rPr>
                <w:rFonts w:ascii="Arial" w:cs="Arial" w:eastAsia="Arial" w:hAnsi="Arial"/>
                <w:sz w:val="13"/>
                <w:szCs w:val="13"/>
                <w:b w:val="1"/>
                <w:bCs w:val="1"/>
                <w:color w:val="FFFFFF"/>
              </w:rPr>
              <w:t>vested ($)</w:t>
            </w:r>
            <w:r>
              <w:rPr>
                <w:rFonts w:ascii="Arial" w:cs="Arial" w:eastAsia="Arial" w:hAnsi="Arial"/>
                <w:sz w:val="21"/>
                <w:szCs w:val="21"/>
                <w:b w:val="1"/>
                <w:bCs w:val="1"/>
                <w:color w:val="FFFFFF"/>
                <w:vertAlign w:val="superscript"/>
              </w:rPr>
              <w:t>(6)</w:t>
            </w:r>
          </w:p>
        </w:tc>
        <w:tc>
          <w:tcPr>
            <w:tcW w:w="0" w:type="dxa"/>
            <w:vAlign w:val="bottom"/>
          </w:tcPr>
          <w:p>
            <w:pPr>
              <w:spacing w:after="0"/>
              <w:rPr>
                <w:sz w:val="1"/>
                <w:szCs w:val="1"/>
                <w:color w:val="auto"/>
              </w:rPr>
            </w:pPr>
          </w:p>
        </w:tc>
      </w:tr>
      <w:tr>
        <w:trPr>
          <w:trHeight w:val="248"/>
        </w:trPr>
        <w:tc>
          <w:tcPr>
            <w:tcW w:w="1460" w:type="dxa"/>
            <w:vAlign w:val="bottom"/>
            <w:tcBorders>
              <w:left w:val="single" w:sz="8" w:color="7F7F7F"/>
            </w:tcBorders>
          </w:tcPr>
          <w:p>
            <w:pPr>
              <w:ind w:left="160"/>
              <w:spacing w:after="0"/>
              <w:rPr>
                <w:sz w:val="20"/>
                <w:szCs w:val="20"/>
                <w:color w:val="auto"/>
              </w:rPr>
            </w:pPr>
            <w:r>
              <w:rPr>
                <w:rFonts w:ascii="Arial" w:cs="Arial" w:eastAsia="Arial" w:hAnsi="Arial"/>
                <w:sz w:val="14"/>
                <w:szCs w:val="14"/>
                <w:color w:val="auto"/>
              </w:rPr>
              <w:t>J.C. Geagea</w:t>
            </w:r>
          </w:p>
        </w:tc>
        <w:tc>
          <w:tcPr>
            <w:tcW w:w="880" w:type="dxa"/>
            <w:vAlign w:val="bottom"/>
          </w:tcPr>
          <w:p>
            <w:pPr>
              <w:jc w:val="right"/>
              <w:spacing w:after="0"/>
              <w:rPr>
                <w:sz w:val="20"/>
                <w:szCs w:val="20"/>
                <w:color w:val="auto"/>
              </w:rPr>
            </w:pPr>
            <w:r>
              <w:rPr>
                <w:rFonts w:ascii="Arial" w:cs="Arial" w:eastAsia="Arial" w:hAnsi="Arial"/>
                <w:sz w:val="14"/>
                <w:szCs w:val="14"/>
                <w:color w:val="auto"/>
              </w:rPr>
              <w:t>1/27/2021</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409"/>
              <w:spacing w:after="0"/>
              <w:rPr>
                <w:sz w:val="20"/>
                <w:szCs w:val="20"/>
                <w:color w:val="auto"/>
              </w:rPr>
            </w:pPr>
            <w:r>
              <w:rPr>
                <w:rFonts w:ascii="Arial" w:cs="Arial" w:eastAsia="Arial" w:hAnsi="Arial"/>
                <w:sz w:val="14"/>
                <w:szCs w:val="14"/>
                <w:color w:val="auto"/>
              </w:rPr>
              <w:t>81,900</w:t>
            </w:r>
          </w:p>
        </w:tc>
        <w:tc>
          <w:tcPr>
            <w:tcW w:w="800" w:type="dxa"/>
            <w:vAlign w:val="bottom"/>
          </w:tcPr>
          <w:p>
            <w:pPr>
              <w:jc w:val="right"/>
              <w:spacing w:after="0"/>
              <w:rPr>
                <w:sz w:val="20"/>
                <w:szCs w:val="20"/>
                <w:color w:val="auto"/>
              </w:rPr>
            </w:pPr>
            <w:r>
              <w:rPr>
                <w:rFonts w:ascii="Arial" w:cs="Arial" w:eastAsia="Arial" w:hAnsi="Arial"/>
                <w:sz w:val="14"/>
                <w:szCs w:val="14"/>
                <w:color w:val="auto"/>
              </w:rPr>
              <w:t>$  88.20</w:t>
            </w:r>
          </w:p>
        </w:tc>
        <w:tc>
          <w:tcPr>
            <w:tcW w:w="820" w:type="dxa"/>
            <w:vAlign w:val="bottom"/>
          </w:tcPr>
          <w:p>
            <w:pPr>
              <w:jc w:val="right"/>
              <w:spacing w:after="0"/>
              <w:rPr>
                <w:sz w:val="20"/>
                <w:szCs w:val="20"/>
                <w:color w:val="auto"/>
              </w:rPr>
            </w:pPr>
            <w:r>
              <w:rPr>
                <w:rFonts w:ascii="Arial" w:cs="Arial" w:eastAsia="Arial" w:hAnsi="Arial"/>
                <w:sz w:val="14"/>
                <w:szCs w:val="14"/>
                <w:color w:val="auto"/>
              </w:rPr>
              <w:t>1/27/2031</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30,968</w:t>
            </w:r>
          </w:p>
        </w:tc>
        <w:tc>
          <w:tcPr>
            <w:tcW w:w="1040" w:type="dxa"/>
            <w:vAlign w:val="bottom"/>
            <w:gridSpan w:val="2"/>
          </w:tcPr>
          <w:p>
            <w:pPr>
              <w:jc w:val="right"/>
              <w:ind w:right="129"/>
              <w:spacing w:after="0"/>
              <w:rPr>
                <w:sz w:val="20"/>
                <w:szCs w:val="20"/>
                <w:color w:val="auto"/>
              </w:rPr>
            </w:pPr>
            <w:r>
              <w:rPr>
                <w:rFonts w:ascii="Arial" w:cs="Arial" w:eastAsia="Arial" w:hAnsi="Arial"/>
                <w:sz w:val="14"/>
                <w:szCs w:val="14"/>
                <w:color w:val="auto"/>
              </w:rPr>
              <w:t>$ 3,638,132</w:t>
            </w:r>
          </w:p>
        </w:tc>
        <w:tc>
          <w:tcPr>
            <w:tcW w:w="1300" w:type="dxa"/>
            <w:vAlign w:val="bottom"/>
          </w:tcPr>
          <w:p>
            <w:pPr>
              <w:jc w:val="right"/>
              <w:ind w:right="329"/>
              <w:spacing w:after="0"/>
              <w:rPr>
                <w:sz w:val="20"/>
                <w:szCs w:val="20"/>
                <w:color w:val="auto"/>
              </w:rPr>
            </w:pPr>
            <w:r>
              <w:rPr>
                <w:rFonts w:ascii="Arial" w:cs="Arial" w:eastAsia="Arial" w:hAnsi="Arial"/>
                <w:sz w:val="14"/>
                <w:szCs w:val="14"/>
                <w:color w:val="auto"/>
              </w:rPr>
              <w:t>47,655</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880" w:type="dxa"/>
            <w:vAlign w:val="bottom"/>
            <w:tcBorders>
              <w:right w:val="single" w:sz="8" w:color="7F7F7F"/>
            </w:tcBorders>
          </w:tcPr>
          <w:p>
            <w:pPr>
              <w:jc w:val="right"/>
              <w:ind w:right="28"/>
              <w:spacing w:after="0"/>
              <w:rPr>
                <w:sz w:val="20"/>
                <w:szCs w:val="20"/>
                <w:color w:val="auto"/>
              </w:rPr>
            </w:pPr>
            <w:r>
              <w:rPr>
                <w:rFonts w:ascii="Arial" w:cs="Arial" w:eastAsia="Arial" w:hAnsi="Arial"/>
                <w:sz w:val="14"/>
                <w:szCs w:val="14"/>
                <w:color w:val="auto"/>
              </w:rPr>
              <w:t>5,592,295</w:t>
            </w:r>
          </w:p>
        </w:tc>
        <w:tc>
          <w:tcPr>
            <w:tcW w:w="0" w:type="dxa"/>
            <w:vAlign w:val="bottom"/>
          </w:tcPr>
          <w:p>
            <w:pPr>
              <w:spacing w:after="0"/>
              <w:rPr>
                <w:sz w:val="1"/>
                <w:szCs w:val="1"/>
                <w:color w:val="auto"/>
              </w:rPr>
            </w:pPr>
          </w:p>
        </w:tc>
      </w:tr>
      <w:tr>
        <w:trPr>
          <w:trHeight w:val="35"/>
        </w:trPr>
        <w:tc>
          <w:tcPr>
            <w:tcW w:w="1460" w:type="dxa"/>
            <w:vAlign w:val="bottom"/>
            <w:tcBorders>
              <w:left w:val="single" w:sz="8" w:color="7F7F7F"/>
            </w:tcBorders>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Borders>
              <w:right w:val="single" w:sz="8" w:color="7F7F7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1460" w:type="dxa"/>
            <w:vAlign w:val="bottom"/>
            <w:tcBorders>
              <w:left w:val="single" w:sz="8" w:color="7F7F7F"/>
            </w:tcBorders>
          </w:tcPr>
          <w:p>
            <w:pPr>
              <w:spacing w:after="0"/>
              <w:rPr>
                <w:sz w:val="21"/>
                <w:szCs w:val="21"/>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1/29/2020</w:t>
            </w:r>
          </w:p>
        </w:tc>
        <w:tc>
          <w:tcPr>
            <w:tcW w:w="102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25,666</w:t>
            </w:r>
          </w:p>
        </w:tc>
        <w:tc>
          <w:tcPr>
            <w:tcW w:w="1500" w:type="dxa"/>
            <w:vAlign w:val="bottom"/>
            <w:shd w:val="clear" w:color="auto" w:fill="D8D8D8"/>
          </w:tcPr>
          <w:p>
            <w:pPr>
              <w:jc w:val="right"/>
              <w:ind w:right="409"/>
              <w:spacing w:after="0"/>
              <w:rPr>
                <w:sz w:val="20"/>
                <w:szCs w:val="20"/>
                <w:color w:val="auto"/>
              </w:rPr>
            </w:pPr>
            <w:r>
              <w:rPr>
                <w:rFonts w:ascii="Arial" w:cs="Arial" w:eastAsia="Arial" w:hAnsi="Arial"/>
                <w:sz w:val="14"/>
                <w:szCs w:val="14"/>
                <w:color w:val="auto"/>
              </w:rPr>
              <w:t>51,334</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$ 110.37</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1/29/2030</w:t>
            </w:r>
          </w:p>
        </w:tc>
        <w:tc>
          <w:tcPr>
            <w:tcW w:w="106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9,674</w:t>
            </w:r>
          </w:p>
        </w:tc>
        <w:tc>
          <w:tcPr>
            <w:tcW w:w="1040" w:type="dxa"/>
            <w:vAlign w:val="bottom"/>
            <w:gridSpan w:val="2"/>
            <w:shd w:val="clear" w:color="auto" w:fill="D8D8D8"/>
          </w:tcPr>
          <w:p>
            <w:pPr>
              <w:jc w:val="right"/>
              <w:ind w:right="129"/>
              <w:spacing w:after="0"/>
              <w:rPr>
                <w:sz w:val="20"/>
                <w:szCs w:val="20"/>
                <w:color w:val="auto"/>
              </w:rPr>
            </w:pPr>
            <w:r>
              <w:rPr>
                <w:rFonts w:ascii="Arial" w:cs="Arial" w:eastAsia="Arial" w:hAnsi="Arial"/>
                <w:sz w:val="14"/>
                <w:szCs w:val="14"/>
                <w:color w:val="auto"/>
              </w:rPr>
              <w:t>$ 1,135,271</w:t>
            </w:r>
          </w:p>
        </w:tc>
        <w:tc>
          <w:tcPr>
            <w:tcW w:w="1300" w:type="dxa"/>
            <w:vAlign w:val="bottom"/>
            <w:shd w:val="clear" w:color="auto" w:fill="D8D8D8"/>
          </w:tcPr>
          <w:p>
            <w:pPr>
              <w:jc w:val="right"/>
              <w:ind w:right="329"/>
              <w:spacing w:after="0"/>
              <w:rPr>
                <w:sz w:val="20"/>
                <w:szCs w:val="20"/>
                <w:color w:val="auto"/>
              </w:rPr>
            </w:pPr>
            <w:r>
              <w:rPr>
                <w:rFonts w:ascii="Arial" w:cs="Arial" w:eastAsia="Arial" w:hAnsi="Arial"/>
                <w:sz w:val="14"/>
                <w:szCs w:val="14"/>
                <w:color w:val="auto"/>
              </w:rPr>
              <w:t>32,291</w:t>
            </w:r>
          </w:p>
        </w:tc>
        <w:tc>
          <w:tcPr>
            <w:tcW w:w="280" w:type="dxa"/>
            <w:vAlign w:val="bottom"/>
            <w:shd w:val="clear" w:color="auto" w:fill="D8D8D8"/>
          </w:tcPr>
          <w:p>
            <w:pPr>
              <w:ind w:left="200"/>
              <w:spacing w:after="0"/>
              <w:rPr>
                <w:sz w:val="20"/>
                <w:szCs w:val="20"/>
                <w:color w:val="auto"/>
              </w:rPr>
            </w:pPr>
            <w:r>
              <w:rPr>
                <w:rFonts w:ascii="Arial" w:cs="Arial" w:eastAsia="Arial" w:hAnsi="Arial"/>
                <w:sz w:val="14"/>
                <w:szCs w:val="14"/>
                <w:color w:val="auto"/>
                <w:w w:val="76"/>
              </w:rPr>
              <w:t>$</w:t>
            </w:r>
          </w:p>
        </w:tc>
        <w:tc>
          <w:tcPr>
            <w:tcW w:w="880" w:type="dxa"/>
            <w:vAlign w:val="bottom"/>
            <w:tcBorders>
              <w:right w:val="single" w:sz="8" w:color="7F7F7F"/>
            </w:tcBorders>
            <w:shd w:val="clear" w:color="auto" w:fill="D8D8D8"/>
          </w:tcPr>
          <w:p>
            <w:pPr>
              <w:jc w:val="right"/>
              <w:ind w:right="28"/>
              <w:spacing w:after="0"/>
              <w:rPr>
                <w:sz w:val="20"/>
                <w:szCs w:val="20"/>
                <w:color w:val="auto"/>
              </w:rPr>
            </w:pPr>
            <w:r>
              <w:rPr>
                <w:rFonts w:ascii="Arial" w:cs="Arial" w:eastAsia="Arial" w:hAnsi="Arial"/>
                <w:sz w:val="14"/>
                <w:szCs w:val="14"/>
                <w:color w:val="auto"/>
              </w:rPr>
              <w:t>3,789,316</w:t>
            </w:r>
          </w:p>
        </w:tc>
        <w:tc>
          <w:tcPr>
            <w:tcW w:w="0" w:type="dxa"/>
            <w:vAlign w:val="bottom"/>
          </w:tcPr>
          <w:p>
            <w:pPr>
              <w:spacing w:after="0"/>
              <w:rPr>
                <w:sz w:val="1"/>
                <w:szCs w:val="1"/>
                <w:color w:val="auto"/>
              </w:rPr>
            </w:pPr>
          </w:p>
        </w:tc>
      </w:tr>
      <w:tr>
        <w:trPr>
          <w:trHeight w:val="89"/>
        </w:trPr>
        <w:tc>
          <w:tcPr>
            <w:tcW w:w="1460" w:type="dxa"/>
            <w:vAlign w:val="bottom"/>
            <w:tcBorders>
              <w:left w:val="single" w:sz="8" w:color="7F7F7F"/>
            </w:tcBorders>
          </w:tcPr>
          <w:p>
            <w:pPr>
              <w:spacing w:after="0"/>
              <w:rPr>
                <w:sz w:val="7"/>
                <w:szCs w:val="7"/>
                <w:color w:val="auto"/>
              </w:rPr>
            </w:pPr>
          </w:p>
        </w:tc>
        <w:tc>
          <w:tcPr>
            <w:tcW w:w="880" w:type="dxa"/>
            <w:vAlign w:val="bottom"/>
            <w:shd w:val="clear" w:color="auto" w:fill="D8D8D8"/>
          </w:tcPr>
          <w:p>
            <w:pPr>
              <w:spacing w:after="0"/>
              <w:rPr>
                <w:sz w:val="7"/>
                <w:szCs w:val="7"/>
                <w:color w:val="auto"/>
              </w:rPr>
            </w:pPr>
          </w:p>
        </w:tc>
        <w:tc>
          <w:tcPr>
            <w:tcW w:w="1020" w:type="dxa"/>
            <w:vAlign w:val="bottom"/>
            <w:shd w:val="clear" w:color="auto" w:fill="D8D8D8"/>
          </w:tcPr>
          <w:p>
            <w:pPr>
              <w:spacing w:after="0"/>
              <w:rPr>
                <w:sz w:val="7"/>
                <w:szCs w:val="7"/>
                <w:color w:val="auto"/>
              </w:rPr>
            </w:pPr>
          </w:p>
        </w:tc>
        <w:tc>
          <w:tcPr>
            <w:tcW w:w="1500" w:type="dxa"/>
            <w:vAlign w:val="bottom"/>
            <w:shd w:val="clear" w:color="auto" w:fill="D8D8D8"/>
          </w:tcPr>
          <w:p>
            <w:pPr>
              <w:spacing w:after="0"/>
              <w:rPr>
                <w:sz w:val="7"/>
                <w:szCs w:val="7"/>
                <w:color w:val="auto"/>
              </w:rPr>
            </w:pPr>
          </w:p>
        </w:tc>
        <w:tc>
          <w:tcPr>
            <w:tcW w:w="800" w:type="dxa"/>
            <w:vAlign w:val="bottom"/>
            <w:shd w:val="clear" w:color="auto" w:fill="D8D8D8"/>
          </w:tcPr>
          <w:p>
            <w:pPr>
              <w:spacing w:after="0"/>
              <w:rPr>
                <w:sz w:val="7"/>
                <w:szCs w:val="7"/>
                <w:color w:val="auto"/>
              </w:rPr>
            </w:pPr>
          </w:p>
        </w:tc>
        <w:tc>
          <w:tcPr>
            <w:tcW w:w="820" w:type="dxa"/>
            <w:vAlign w:val="bottom"/>
            <w:shd w:val="clear" w:color="auto" w:fill="D8D8D8"/>
          </w:tcPr>
          <w:p>
            <w:pPr>
              <w:spacing w:after="0"/>
              <w:rPr>
                <w:sz w:val="7"/>
                <w:szCs w:val="7"/>
                <w:color w:val="auto"/>
              </w:rPr>
            </w:pPr>
          </w:p>
        </w:tc>
        <w:tc>
          <w:tcPr>
            <w:tcW w:w="1060" w:type="dxa"/>
            <w:vAlign w:val="bottom"/>
            <w:shd w:val="clear" w:color="auto" w:fill="D8D8D8"/>
          </w:tcPr>
          <w:p>
            <w:pPr>
              <w:spacing w:after="0"/>
              <w:rPr>
                <w:sz w:val="7"/>
                <w:szCs w:val="7"/>
                <w:color w:val="auto"/>
              </w:rPr>
            </w:pPr>
          </w:p>
        </w:tc>
        <w:tc>
          <w:tcPr>
            <w:tcW w:w="1040" w:type="dxa"/>
            <w:vAlign w:val="bottom"/>
            <w:gridSpan w:val="2"/>
            <w:shd w:val="clear" w:color="auto" w:fill="D8D8D8"/>
          </w:tcPr>
          <w:p>
            <w:pPr>
              <w:spacing w:after="0"/>
              <w:rPr>
                <w:sz w:val="7"/>
                <w:szCs w:val="7"/>
                <w:color w:val="auto"/>
              </w:rPr>
            </w:pPr>
          </w:p>
        </w:tc>
        <w:tc>
          <w:tcPr>
            <w:tcW w:w="1300" w:type="dxa"/>
            <w:vAlign w:val="bottom"/>
            <w:shd w:val="clear" w:color="auto" w:fill="D8D8D8"/>
          </w:tcPr>
          <w:p>
            <w:pPr>
              <w:spacing w:after="0"/>
              <w:rPr>
                <w:sz w:val="7"/>
                <w:szCs w:val="7"/>
                <w:color w:val="auto"/>
              </w:rPr>
            </w:pPr>
          </w:p>
        </w:tc>
        <w:tc>
          <w:tcPr>
            <w:tcW w:w="280" w:type="dxa"/>
            <w:vAlign w:val="bottom"/>
            <w:shd w:val="clear" w:color="auto" w:fill="D8D8D8"/>
          </w:tcPr>
          <w:p>
            <w:pPr>
              <w:spacing w:after="0"/>
              <w:rPr>
                <w:sz w:val="7"/>
                <w:szCs w:val="7"/>
                <w:color w:val="auto"/>
              </w:rPr>
            </w:pPr>
          </w:p>
        </w:tc>
        <w:tc>
          <w:tcPr>
            <w:tcW w:w="880" w:type="dxa"/>
            <w:vAlign w:val="bottom"/>
            <w:tcBorders>
              <w:right w:val="single" w:sz="8" w:color="7F7F7F"/>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460" w:type="dxa"/>
            <w:vAlign w:val="bottom"/>
            <w:tcBorders>
              <w:left w:val="single" w:sz="8" w:color="7F7F7F"/>
            </w:tcBorders>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1/30/2019</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41,733</w:t>
            </w:r>
          </w:p>
        </w:tc>
        <w:tc>
          <w:tcPr>
            <w:tcW w:w="1500" w:type="dxa"/>
            <w:vAlign w:val="bottom"/>
          </w:tcPr>
          <w:p>
            <w:pPr>
              <w:jc w:val="right"/>
              <w:ind w:right="409"/>
              <w:spacing w:after="0"/>
              <w:rPr>
                <w:sz w:val="20"/>
                <w:szCs w:val="20"/>
                <w:color w:val="auto"/>
              </w:rPr>
            </w:pPr>
            <w:r>
              <w:rPr>
                <w:rFonts w:ascii="Arial" w:cs="Arial" w:eastAsia="Arial" w:hAnsi="Arial"/>
                <w:sz w:val="14"/>
                <w:szCs w:val="14"/>
                <w:color w:val="auto"/>
              </w:rPr>
              <w:t>20,867</w:t>
            </w:r>
          </w:p>
        </w:tc>
        <w:tc>
          <w:tcPr>
            <w:tcW w:w="800" w:type="dxa"/>
            <w:vAlign w:val="bottom"/>
          </w:tcPr>
          <w:p>
            <w:pPr>
              <w:jc w:val="right"/>
              <w:spacing w:after="0"/>
              <w:rPr>
                <w:sz w:val="20"/>
                <w:szCs w:val="20"/>
                <w:color w:val="auto"/>
              </w:rPr>
            </w:pPr>
            <w:r>
              <w:rPr>
                <w:rFonts w:ascii="Arial" w:cs="Arial" w:eastAsia="Arial" w:hAnsi="Arial"/>
                <w:sz w:val="14"/>
                <w:szCs w:val="14"/>
                <w:color w:val="auto"/>
              </w:rPr>
              <w:t>$ 113.01</w:t>
            </w:r>
          </w:p>
        </w:tc>
        <w:tc>
          <w:tcPr>
            <w:tcW w:w="820" w:type="dxa"/>
            <w:vAlign w:val="bottom"/>
          </w:tcPr>
          <w:p>
            <w:pPr>
              <w:jc w:val="right"/>
              <w:spacing w:after="0"/>
              <w:rPr>
                <w:sz w:val="20"/>
                <w:szCs w:val="20"/>
                <w:color w:val="auto"/>
              </w:rPr>
            </w:pPr>
            <w:r>
              <w:rPr>
                <w:rFonts w:ascii="Arial" w:cs="Arial" w:eastAsia="Arial" w:hAnsi="Arial"/>
                <w:sz w:val="14"/>
                <w:szCs w:val="14"/>
                <w:color w:val="auto"/>
              </w:rPr>
              <w:t>1/30/2029</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9,699</w:t>
            </w:r>
          </w:p>
        </w:tc>
        <w:tc>
          <w:tcPr>
            <w:tcW w:w="1040" w:type="dxa"/>
            <w:vAlign w:val="bottom"/>
            <w:gridSpan w:val="2"/>
          </w:tcPr>
          <w:p>
            <w:pPr>
              <w:jc w:val="right"/>
              <w:ind w:right="129"/>
              <w:spacing w:after="0"/>
              <w:rPr>
                <w:sz w:val="20"/>
                <w:szCs w:val="20"/>
                <w:color w:val="auto"/>
              </w:rPr>
            </w:pPr>
            <w:r>
              <w:rPr>
                <w:rFonts w:ascii="Arial" w:cs="Arial" w:eastAsia="Arial" w:hAnsi="Arial"/>
                <w:sz w:val="14"/>
                <w:szCs w:val="14"/>
                <w:color w:val="auto"/>
              </w:rPr>
              <w:t>$ 1,138,171</w:t>
            </w: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right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460" w:type="dxa"/>
            <w:vAlign w:val="bottom"/>
            <w:tcBorders>
              <w:left w:val="single" w:sz="8" w:color="7F7F7F"/>
            </w:tcBorders>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Borders>
              <w:right w:val="single" w:sz="8" w:color="7F7F7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1460" w:type="dxa"/>
            <w:vAlign w:val="bottom"/>
            <w:tcBorders>
              <w:left w:val="single" w:sz="8" w:color="7F7F7F"/>
            </w:tcBorders>
          </w:tcPr>
          <w:p>
            <w:pPr>
              <w:spacing w:after="0"/>
              <w:rPr>
                <w:sz w:val="21"/>
                <w:szCs w:val="21"/>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1/31/2018</w:t>
            </w:r>
          </w:p>
        </w:tc>
        <w:tc>
          <w:tcPr>
            <w:tcW w:w="102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52,900</w:t>
            </w:r>
          </w:p>
        </w:tc>
        <w:tc>
          <w:tcPr>
            <w:tcW w:w="1500" w:type="dxa"/>
            <w:vAlign w:val="bottom"/>
            <w:shd w:val="clear" w:color="auto" w:fill="D8D8D8"/>
          </w:tcPr>
          <w:p>
            <w:pPr>
              <w:spacing w:after="0"/>
              <w:rPr>
                <w:sz w:val="21"/>
                <w:szCs w:val="21"/>
                <w:color w:val="auto"/>
              </w:rPr>
            </w:pP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$ 125.35</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1/31/2028</w:t>
            </w:r>
          </w:p>
        </w:tc>
        <w:tc>
          <w:tcPr>
            <w:tcW w:w="106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8,820</w:t>
            </w:r>
          </w:p>
        </w:tc>
        <w:tc>
          <w:tcPr>
            <w:tcW w:w="1040" w:type="dxa"/>
            <w:vAlign w:val="bottom"/>
            <w:gridSpan w:val="2"/>
            <w:shd w:val="clear" w:color="auto" w:fill="D8D8D8"/>
          </w:tcPr>
          <w:p>
            <w:pPr>
              <w:jc w:val="right"/>
              <w:ind w:right="129"/>
              <w:spacing w:after="0"/>
              <w:rPr>
                <w:sz w:val="20"/>
                <w:szCs w:val="20"/>
                <w:color w:val="auto"/>
              </w:rPr>
            </w:pPr>
            <w:r>
              <w:rPr>
                <w:rFonts w:ascii="Arial" w:cs="Arial" w:eastAsia="Arial" w:hAnsi="Arial"/>
                <w:sz w:val="14"/>
                <w:szCs w:val="14"/>
                <w:color w:val="auto"/>
              </w:rPr>
              <w:t>$ 1,035,023</w:t>
            </w:r>
          </w:p>
        </w:tc>
        <w:tc>
          <w:tcPr>
            <w:tcW w:w="1300" w:type="dxa"/>
            <w:vAlign w:val="bottom"/>
            <w:shd w:val="clear" w:color="auto" w:fill="D8D8D8"/>
          </w:tcPr>
          <w:p>
            <w:pPr>
              <w:spacing w:after="0"/>
              <w:rPr>
                <w:sz w:val="21"/>
                <w:szCs w:val="21"/>
                <w:color w:val="auto"/>
              </w:rPr>
            </w:pPr>
          </w:p>
        </w:tc>
        <w:tc>
          <w:tcPr>
            <w:tcW w:w="280" w:type="dxa"/>
            <w:vAlign w:val="bottom"/>
            <w:shd w:val="clear" w:color="auto" w:fill="D8D8D8"/>
          </w:tcPr>
          <w:p>
            <w:pPr>
              <w:spacing w:after="0"/>
              <w:rPr>
                <w:sz w:val="21"/>
                <w:szCs w:val="21"/>
                <w:color w:val="auto"/>
              </w:rPr>
            </w:pPr>
          </w:p>
        </w:tc>
        <w:tc>
          <w:tcPr>
            <w:tcW w:w="880" w:type="dxa"/>
            <w:vAlign w:val="bottom"/>
            <w:tcBorders>
              <w:right w:val="single" w:sz="8" w:color="7F7F7F"/>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1460" w:type="dxa"/>
            <w:vAlign w:val="bottom"/>
            <w:tcBorders>
              <w:left w:val="single" w:sz="8" w:color="7F7F7F"/>
            </w:tcBorders>
          </w:tcPr>
          <w:p>
            <w:pPr>
              <w:spacing w:after="0"/>
              <w:rPr>
                <w:sz w:val="7"/>
                <w:szCs w:val="7"/>
                <w:color w:val="auto"/>
              </w:rPr>
            </w:pPr>
          </w:p>
        </w:tc>
        <w:tc>
          <w:tcPr>
            <w:tcW w:w="880" w:type="dxa"/>
            <w:vAlign w:val="bottom"/>
            <w:shd w:val="clear" w:color="auto" w:fill="D8D8D8"/>
          </w:tcPr>
          <w:p>
            <w:pPr>
              <w:spacing w:after="0"/>
              <w:rPr>
                <w:sz w:val="7"/>
                <w:szCs w:val="7"/>
                <w:color w:val="auto"/>
              </w:rPr>
            </w:pPr>
          </w:p>
        </w:tc>
        <w:tc>
          <w:tcPr>
            <w:tcW w:w="1020" w:type="dxa"/>
            <w:vAlign w:val="bottom"/>
            <w:shd w:val="clear" w:color="auto" w:fill="D8D8D8"/>
          </w:tcPr>
          <w:p>
            <w:pPr>
              <w:spacing w:after="0"/>
              <w:rPr>
                <w:sz w:val="7"/>
                <w:szCs w:val="7"/>
                <w:color w:val="auto"/>
              </w:rPr>
            </w:pPr>
          </w:p>
        </w:tc>
        <w:tc>
          <w:tcPr>
            <w:tcW w:w="1500" w:type="dxa"/>
            <w:vAlign w:val="bottom"/>
            <w:shd w:val="clear" w:color="auto" w:fill="D8D8D8"/>
          </w:tcPr>
          <w:p>
            <w:pPr>
              <w:spacing w:after="0"/>
              <w:rPr>
                <w:sz w:val="7"/>
                <w:szCs w:val="7"/>
                <w:color w:val="auto"/>
              </w:rPr>
            </w:pPr>
          </w:p>
        </w:tc>
        <w:tc>
          <w:tcPr>
            <w:tcW w:w="800" w:type="dxa"/>
            <w:vAlign w:val="bottom"/>
            <w:shd w:val="clear" w:color="auto" w:fill="D8D8D8"/>
          </w:tcPr>
          <w:p>
            <w:pPr>
              <w:spacing w:after="0"/>
              <w:rPr>
                <w:sz w:val="7"/>
                <w:szCs w:val="7"/>
                <w:color w:val="auto"/>
              </w:rPr>
            </w:pPr>
          </w:p>
        </w:tc>
        <w:tc>
          <w:tcPr>
            <w:tcW w:w="820" w:type="dxa"/>
            <w:vAlign w:val="bottom"/>
            <w:shd w:val="clear" w:color="auto" w:fill="D8D8D8"/>
          </w:tcPr>
          <w:p>
            <w:pPr>
              <w:spacing w:after="0"/>
              <w:rPr>
                <w:sz w:val="7"/>
                <w:szCs w:val="7"/>
                <w:color w:val="auto"/>
              </w:rPr>
            </w:pPr>
          </w:p>
        </w:tc>
        <w:tc>
          <w:tcPr>
            <w:tcW w:w="1060" w:type="dxa"/>
            <w:vAlign w:val="bottom"/>
            <w:shd w:val="clear" w:color="auto" w:fill="D8D8D8"/>
          </w:tcPr>
          <w:p>
            <w:pPr>
              <w:spacing w:after="0"/>
              <w:rPr>
                <w:sz w:val="7"/>
                <w:szCs w:val="7"/>
                <w:color w:val="auto"/>
              </w:rPr>
            </w:pPr>
          </w:p>
        </w:tc>
        <w:tc>
          <w:tcPr>
            <w:tcW w:w="1040" w:type="dxa"/>
            <w:vAlign w:val="bottom"/>
            <w:gridSpan w:val="2"/>
            <w:shd w:val="clear" w:color="auto" w:fill="D8D8D8"/>
          </w:tcPr>
          <w:p>
            <w:pPr>
              <w:spacing w:after="0"/>
              <w:rPr>
                <w:sz w:val="7"/>
                <w:szCs w:val="7"/>
                <w:color w:val="auto"/>
              </w:rPr>
            </w:pPr>
          </w:p>
        </w:tc>
        <w:tc>
          <w:tcPr>
            <w:tcW w:w="1300" w:type="dxa"/>
            <w:vAlign w:val="bottom"/>
            <w:shd w:val="clear" w:color="auto" w:fill="D8D8D8"/>
          </w:tcPr>
          <w:p>
            <w:pPr>
              <w:spacing w:after="0"/>
              <w:rPr>
                <w:sz w:val="7"/>
                <w:szCs w:val="7"/>
                <w:color w:val="auto"/>
              </w:rPr>
            </w:pPr>
          </w:p>
        </w:tc>
        <w:tc>
          <w:tcPr>
            <w:tcW w:w="280" w:type="dxa"/>
            <w:vAlign w:val="bottom"/>
            <w:shd w:val="clear" w:color="auto" w:fill="D8D8D8"/>
          </w:tcPr>
          <w:p>
            <w:pPr>
              <w:spacing w:after="0"/>
              <w:rPr>
                <w:sz w:val="7"/>
                <w:szCs w:val="7"/>
                <w:color w:val="auto"/>
              </w:rPr>
            </w:pPr>
          </w:p>
        </w:tc>
        <w:tc>
          <w:tcPr>
            <w:tcW w:w="880" w:type="dxa"/>
            <w:vAlign w:val="bottom"/>
            <w:tcBorders>
              <w:right w:val="single" w:sz="8" w:color="7F7F7F"/>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460" w:type="dxa"/>
            <w:vAlign w:val="bottom"/>
            <w:tcBorders>
              <w:left w:val="single" w:sz="8" w:color="7F7F7F"/>
            </w:tcBorders>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1/25/2017</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62,200</w:t>
            </w:r>
          </w:p>
        </w:tc>
        <w:tc>
          <w:tcPr>
            <w:tcW w:w="1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$ 117.24</w:t>
            </w:r>
          </w:p>
        </w:tc>
        <w:tc>
          <w:tcPr>
            <w:tcW w:w="820" w:type="dxa"/>
            <w:vAlign w:val="bottom"/>
          </w:tcPr>
          <w:p>
            <w:pPr>
              <w:jc w:val="right"/>
              <w:spacing w:after="0"/>
              <w:rPr>
                <w:sz w:val="20"/>
                <w:szCs w:val="20"/>
                <w:color w:val="auto"/>
              </w:rPr>
            </w:pPr>
            <w:r>
              <w:rPr>
                <w:rFonts w:ascii="Arial" w:cs="Arial" w:eastAsia="Arial" w:hAnsi="Arial"/>
                <w:sz w:val="14"/>
                <w:szCs w:val="14"/>
                <w:color w:val="auto"/>
              </w:rPr>
              <w:t>1/25/2027</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9,688</w:t>
            </w:r>
          </w:p>
        </w:tc>
        <w:tc>
          <w:tcPr>
            <w:tcW w:w="1040" w:type="dxa"/>
            <w:vAlign w:val="bottom"/>
            <w:gridSpan w:val="2"/>
          </w:tcPr>
          <w:p>
            <w:pPr>
              <w:jc w:val="right"/>
              <w:ind w:right="129"/>
              <w:spacing w:after="0"/>
              <w:rPr>
                <w:sz w:val="20"/>
                <w:szCs w:val="20"/>
                <w:color w:val="auto"/>
              </w:rPr>
            </w:pPr>
            <w:r>
              <w:rPr>
                <w:rFonts w:ascii="Arial" w:cs="Arial" w:eastAsia="Arial" w:hAnsi="Arial"/>
                <w:sz w:val="14"/>
                <w:szCs w:val="14"/>
                <w:color w:val="auto"/>
              </w:rPr>
              <w:t>$ 1,136,870</w:t>
            </w: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right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460" w:type="dxa"/>
            <w:vAlign w:val="bottom"/>
            <w:tcBorders>
              <w:left w:val="single" w:sz="8" w:color="7F7F7F"/>
            </w:tcBorders>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Borders>
              <w:right w:val="single" w:sz="8" w:color="7F7F7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1460" w:type="dxa"/>
            <w:vAlign w:val="bottom"/>
            <w:tcBorders>
              <w:left w:val="single" w:sz="8" w:color="7F7F7F"/>
            </w:tcBorders>
          </w:tcPr>
          <w:p>
            <w:pPr>
              <w:spacing w:after="0"/>
              <w:rPr>
                <w:sz w:val="21"/>
                <w:szCs w:val="21"/>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1/27/2016</w:t>
            </w:r>
          </w:p>
        </w:tc>
        <w:tc>
          <w:tcPr>
            <w:tcW w:w="102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239,900</w:t>
            </w:r>
          </w:p>
        </w:tc>
        <w:tc>
          <w:tcPr>
            <w:tcW w:w="1500" w:type="dxa"/>
            <w:vAlign w:val="bottom"/>
            <w:shd w:val="clear" w:color="auto" w:fill="D8D8D8"/>
          </w:tcPr>
          <w:p>
            <w:pPr>
              <w:spacing w:after="0"/>
              <w:rPr>
                <w:sz w:val="21"/>
                <w:szCs w:val="21"/>
                <w:color w:val="auto"/>
              </w:rPr>
            </w:pP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  83.29</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1/27/2026</w:t>
            </w:r>
          </w:p>
        </w:tc>
        <w:tc>
          <w:tcPr>
            <w:tcW w:w="1060" w:type="dxa"/>
            <w:vAlign w:val="bottom"/>
            <w:shd w:val="clear" w:color="auto" w:fill="D8D8D8"/>
          </w:tcPr>
          <w:p>
            <w:pPr>
              <w:spacing w:after="0"/>
              <w:rPr>
                <w:sz w:val="21"/>
                <w:szCs w:val="21"/>
                <w:color w:val="auto"/>
              </w:rPr>
            </w:pPr>
          </w:p>
        </w:tc>
        <w:tc>
          <w:tcPr>
            <w:tcW w:w="160" w:type="dxa"/>
            <w:vAlign w:val="bottom"/>
            <w:shd w:val="clear" w:color="auto" w:fill="D8D8D8"/>
          </w:tcPr>
          <w:p>
            <w:pPr>
              <w:spacing w:after="0"/>
              <w:rPr>
                <w:sz w:val="21"/>
                <w:szCs w:val="21"/>
                <w:color w:val="auto"/>
              </w:rPr>
            </w:pPr>
          </w:p>
        </w:tc>
        <w:tc>
          <w:tcPr>
            <w:tcW w:w="880" w:type="dxa"/>
            <w:vAlign w:val="bottom"/>
            <w:shd w:val="clear" w:color="auto" w:fill="D8D8D8"/>
          </w:tcPr>
          <w:p>
            <w:pPr>
              <w:spacing w:after="0"/>
              <w:rPr>
                <w:sz w:val="21"/>
                <w:szCs w:val="21"/>
                <w:color w:val="auto"/>
              </w:rPr>
            </w:pPr>
          </w:p>
        </w:tc>
        <w:tc>
          <w:tcPr>
            <w:tcW w:w="1300" w:type="dxa"/>
            <w:vAlign w:val="bottom"/>
            <w:shd w:val="clear" w:color="auto" w:fill="D8D8D8"/>
          </w:tcPr>
          <w:p>
            <w:pPr>
              <w:spacing w:after="0"/>
              <w:rPr>
                <w:sz w:val="21"/>
                <w:szCs w:val="21"/>
                <w:color w:val="auto"/>
              </w:rPr>
            </w:pPr>
          </w:p>
        </w:tc>
        <w:tc>
          <w:tcPr>
            <w:tcW w:w="280" w:type="dxa"/>
            <w:vAlign w:val="bottom"/>
            <w:shd w:val="clear" w:color="auto" w:fill="D8D8D8"/>
          </w:tcPr>
          <w:p>
            <w:pPr>
              <w:spacing w:after="0"/>
              <w:rPr>
                <w:sz w:val="21"/>
                <w:szCs w:val="21"/>
                <w:color w:val="auto"/>
              </w:rPr>
            </w:pPr>
          </w:p>
        </w:tc>
        <w:tc>
          <w:tcPr>
            <w:tcW w:w="880" w:type="dxa"/>
            <w:vAlign w:val="bottom"/>
            <w:tcBorders>
              <w:right w:val="single" w:sz="8" w:color="7F7F7F"/>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1460" w:type="dxa"/>
            <w:vAlign w:val="bottom"/>
            <w:tcBorders>
              <w:left w:val="single" w:sz="8" w:color="7F7F7F"/>
            </w:tcBorders>
          </w:tcPr>
          <w:p>
            <w:pPr>
              <w:spacing w:after="0"/>
              <w:rPr>
                <w:sz w:val="7"/>
                <w:szCs w:val="7"/>
                <w:color w:val="auto"/>
              </w:rPr>
            </w:pPr>
          </w:p>
        </w:tc>
        <w:tc>
          <w:tcPr>
            <w:tcW w:w="880" w:type="dxa"/>
            <w:vAlign w:val="bottom"/>
            <w:shd w:val="clear" w:color="auto" w:fill="D8D8D8"/>
          </w:tcPr>
          <w:p>
            <w:pPr>
              <w:spacing w:after="0"/>
              <w:rPr>
                <w:sz w:val="7"/>
                <w:szCs w:val="7"/>
                <w:color w:val="auto"/>
              </w:rPr>
            </w:pPr>
          </w:p>
        </w:tc>
        <w:tc>
          <w:tcPr>
            <w:tcW w:w="1020" w:type="dxa"/>
            <w:vAlign w:val="bottom"/>
            <w:shd w:val="clear" w:color="auto" w:fill="D8D8D8"/>
          </w:tcPr>
          <w:p>
            <w:pPr>
              <w:spacing w:after="0"/>
              <w:rPr>
                <w:sz w:val="7"/>
                <w:szCs w:val="7"/>
                <w:color w:val="auto"/>
              </w:rPr>
            </w:pPr>
          </w:p>
        </w:tc>
        <w:tc>
          <w:tcPr>
            <w:tcW w:w="1500" w:type="dxa"/>
            <w:vAlign w:val="bottom"/>
            <w:shd w:val="clear" w:color="auto" w:fill="D8D8D8"/>
          </w:tcPr>
          <w:p>
            <w:pPr>
              <w:spacing w:after="0"/>
              <w:rPr>
                <w:sz w:val="7"/>
                <w:szCs w:val="7"/>
                <w:color w:val="auto"/>
              </w:rPr>
            </w:pPr>
          </w:p>
        </w:tc>
        <w:tc>
          <w:tcPr>
            <w:tcW w:w="800" w:type="dxa"/>
            <w:vAlign w:val="bottom"/>
            <w:shd w:val="clear" w:color="auto" w:fill="D8D8D8"/>
          </w:tcPr>
          <w:p>
            <w:pPr>
              <w:spacing w:after="0"/>
              <w:rPr>
                <w:sz w:val="7"/>
                <w:szCs w:val="7"/>
                <w:color w:val="auto"/>
              </w:rPr>
            </w:pPr>
          </w:p>
        </w:tc>
        <w:tc>
          <w:tcPr>
            <w:tcW w:w="820" w:type="dxa"/>
            <w:vAlign w:val="bottom"/>
            <w:shd w:val="clear" w:color="auto" w:fill="D8D8D8"/>
          </w:tcPr>
          <w:p>
            <w:pPr>
              <w:spacing w:after="0"/>
              <w:rPr>
                <w:sz w:val="7"/>
                <w:szCs w:val="7"/>
                <w:color w:val="auto"/>
              </w:rPr>
            </w:pPr>
          </w:p>
        </w:tc>
        <w:tc>
          <w:tcPr>
            <w:tcW w:w="1060" w:type="dxa"/>
            <w:vAlign w:val="bottom"/>
            <w:shd w:val="clear" w:color="auto" w:fill="D8D8D8"/>
          </w:tcPr>
          <w:p>
            <w:pPr>
              <w:spacing w:after="0"/>
              <w:rPr>
                <w:sz w:val="7"/>
                <w:szCs w:val="7"/>
                <w:color w:val="auto"/>
              </w:rPr>
            </w:pPr>
          </w:p>
        </w:tc>
        <w:tc>
          <w:tcPr>
            <w:tcW w:w="160" w:type="dxa"/>
            <w:vAlign w:val="bottom"/>
            <w:shd w:val="clear" w:color="auto" w:fill="D8D8D8"/>
          </w:tcPr>
          <w:p>
            <w:pPr>
              <w:spacing w:after="0"/>
              <w:rPr>
                <w:sz w:val="7"/>
                <w:szCs w:val="7"/>
                <w:color w:val="auto"/>
              </w:rPr>
            </w:pPr>
          </w:p>
        </w:tc>
        <w:tc>
          <w:tcPr>
            <w:tcW w:w="880" w:type="dxa"/>
            <w:vAlign w:val="bottom"/>
            <w:shd w:val="clear" w:color="auto" w:fill="D8D8D8"/>
          </w:tcPr>
          <w:p>
            <w:pPr>
              <w:spacing w:after="0"/>
              <w:rPr>
                <w:sz w:val="7"/>
                <w:szCs w:val="7"/>
                <w:color w:val="auto"/>
              </w:rPr>
            </w:pPr>
          </w:p>
        </w:tc>
        <w:tc>
          <w:tcPr>
            <w:tcW w:w="1300" w:type="dxa"/>
            <w:vAlign w:val="bottom"/>
            <w:shd w:val="clear" w:color="auto" w:fill="D8D8D8"/>
          </w:tcPr>
          <w:p>
            <w:pPr>
              <w:spacing w:after="0"/>
              <w:rPr>
                <w:sz w:val="7"/>
                <w:szCs w:val="7"/>
                <w:color w:val="auto"/>
              </w:rPr>
            </w:pPr>
          </w:p>
        </w:tc>
        <w:tc>
          <w:tcPr>
            <w:tcW w:w="280" w:type="dxa"/>
            <w:vAlign w:val="bottom"/>
            <w:shd w:val="clear" w:color="auto" w:fill="D8D8D8"/>
          </w:tcPr>
          <w:p>
            <w:pPr>
              <w:spacing w:after="0"/>
              <w:rPr>
                <w:sz w:val="7"/>
                <w:szCs w:val="7"/>
                <w:color w:val="auto"/>
              </w:rPr>
            </w:pPr>
          </w:p>
        </w:tc>
        <w:tc>
          <w:tcPr>
            <w:tcW w:w="880" w:type="dxa"/>
            <w:vAlign w:val="bottom"/>
            <w:tcBorders>
              <w:right w:val="single" w:sz="8" w:color="7F7F7F"/>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460" w:type="dxa"/>
            <w:vAlign w:val="bottom"/>
            <w:tcBorders>
              <w:left w:val="single" w:sz="8" w:color="7F7F7F"/>
            </w:tcBorders>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1/28/2015</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164,600</w:t>
            </w:r>
          </w:p>
        </w:tc>
        <w:tc>
          <w:tcPr>
            <w:tcW w:w="1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$ 103.71</w:t>
            </w:r>
          </w:p>
        </w:tc>
        <w:tc>
          <w:tcPr>
            <w:tcW w:w="820" w:type="dxa"/>
            <w:vAlign w:val="bottom"/>
          </w:tcPr>
          <w:p>
            <w:pPr>
              <w:jc w:val="right"/>
              <w:spacing w:after="0"/>
              <w:rPr>
                <w:sz w:val="20"/>
                <w:szCs w:val="20"/>
                <w:color w:val="auto"/>
              </w:rPr>
            </w:pPr>
            <w:r>
              <w:rPr>
                <w:rFonts w:ascii="Arial" w:cs="Arial" w:eastAsia="Arial" w:hAnsi="Arial"/>
                <w:sz w:val="14"/>
                <w:szCs w:val="14"/>
                <w:color w:val="auto"/>
              </w:rPr>
              <w:t>1/28/2025</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right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460" w:type="dxa"/>
            <w:vAlign w:val="bottom"/>
            <w:tcBorders>
              <w:left w:val="single" w:sz="8" w:color="7F7F7F"/>
            </w:tcBorders>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Borders>
              <w:right w:val="single" w:sz="8" w:color="7F7F7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1460" w:type="dxa"/>
            <w:vAlign w:val="bottom"/>
            <w:tcBorders>
              <w:left w:val="single" w:sz="8" w:color="7F7F7F"/>
            </w:tcBorders>
          </w:tcPr>
          <w:p>
            <w:pPr>
              <w:spacing w:after="0"/>
              <w:rPr>
                <w:sz w:val="21"/>
                <w:szCs w:val="21"/>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1/29/2014</w:t>
            </w:r>
          </w:p>
        </w:tc>
        <w:tc>
          <w:tcPr>
            <w:tcW w:w="102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90,000</w:t>
            </w:r>
          </w:p>
        </w:tc>
        <w:tc>
          <w:tcPr>
            <w:tcW w:w="1500" w:type="dxa"/>
            <w:vAlign w:val="bottom"/>
            <w:shd w:val="clear" w:color="auto" w:fill="D8D8D8"/>
          </w:tcPr>
          <w:p>
            <w:pPr>
              <w:spacing w:after="0"/>
              <w:rPr>
                <w:sz w:val="21"/>
                <w:szCs w:val="21"/>
                <w:color w:val="auto"/>
              </w:rPr>
            </w:pP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$ 116.00</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1/29/2024</w:t>
            </w:r>
          </w:p>
        </w:tc>
        <w:tc>
          <w:tcPr>
            <w:tcW w:w="1060" w:type="dxa"/>
            <w:vAlign w:val="bottom"/>
            <w:shd w:val="clear" w:color="auto" w:fill="D8D8D8"/>
          </w:tcPr>
          <w:p>
            <w:pPr>
              <w:spacing w:after="0"/>
              <w:rPr>
                <w:sz w:val="21"/>
                <w:szCs w:val="21"/>
                <w:color w:val="auto"/>
              </w:rPr>
            </w:pPr>
          </w:p>
        </w:tc>
        <w:tc>
          <w:tcPr>
            <w:tcW w:w="160" w:type="dxa"/>
            <w:vAlign w:val="bottom"/>
            <w:shd w:val="clear" w:color="auto" w:fill="D8D8D8"/>
          </w:tcPr>
          <w:p>
            <w:pPr>
              <w:spacing w:after="0"/>
              <w:rPr>
                <w:sz w:val="21"/>
                <w:szCs w:val="21"/>
                <w:color w:val="auto"/>
              </w:rPr>
            </w:pPr>
          </w:p>
        </w:tc>
        <w:tc>
          <w:tcPr>
            <w:tcW w:w="880" w:type="dxa"/>
            <w:vAlign w:val="bottom"/>
            <w:shd w:val="clear" w:color="auto" w:fill="D8D8D8"/>
          </w:tcPr>
          <w:p>
            <w:pPr>
              <w:spacing w:after="0"/>
              <w:rPr>
                <w:sz w:val="21"/>
                <w:szCs w:val="21"/>
                <w:color w:val="auto"/>
              </w:rPr>
            </w:pPr>
          </w:p>
        </w:tc>
        <w:tc>
          <w:tcPr>
            <w:tcW w:w="1300" w:type="dxa"/>
            <w:vAlign w:val="bottom"/>
            <w:shd w:val="clear" w:color="auto" w:fill="D8D8D8"/>
          </w:tcPr>
          <w:p>
            <w:pPr>
              <w:spacing w:after="0"/>
              <w:rPr>
                <w:sz w:val="21"/>
                <w:szCs w:val="21"/>
                <w:color w:val="auto"/>
              </w:rPr>
            </w:pPr>
          </w:p>
        </w:tc>
        <w:tc>
          <w:tcPr>
            <w:tcW w:w="280" w:type="dxa"/>
            <w:vAlign w:val="bottom"/>
            <w:shd w:val="clear" w:color="auto" w:fill="D8D8D8"/>
          </w:tcPr>
          <w:p>
            <w:pPr>
              <w:spacing w:after="0"/>
              <w:rPr>
                <w:sz w:val="21"/>
                <w:szCs w:val="21"/>
                <w:color w:val="auto"/>
              </w:rPr>
            </w:pPr>
          </w:p>
        </w:tc>
        <w:tc>
          <w:tcPr>
            <w:tcW w:w="880" w:type="dxa"/>
            <w:vAlign w:val="bottom"/>
            <w:tcBorders>
              <w:right w:val="single" w:sz="8" w:color="7F7F7F"/>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1460" w:type="dxa"/>
            <w:vAlign w:val="bottom"/>
            <w:tcBorders>
              <w:left w:val="single" w:sz="8" w:color="7F7F7F"/>
            </w:tcBorders>
          </w:tcPr>
          <w:p>
            <w:pPr>
              <w:spacing w:after="0"/>
              <w:rPr>
                <w:sz w:val="7"/>
                <w:szCs w:val="7"/>
                <w:color w:val="auto"/>
              </w:rPr>
            </w:pPr>
          </w:p>
        </w:tc>
        <w:tc>
          <w:tcPr>
            <w:tcW w:w="880" w:type="dxa"/>
            <w:vAlign w:val="bottom"/>
            <w:shd w:val="clear" w:color="auto" w:fill="D8D8D8"/>
          </w:tcPr>
          <w:p>
            <w:pPr>
              <w:spacing w:after="0"/>
              <w:rPr>
                <w:sz w:val="7"/>
                <w:szCs w:val="7"/>
                <w:color w:val="auto"/>
              </w:rPr>
            </w:pPr>
          </w:p>
        </w:tc>
        <w:tc>
          <w:tcPr>
            <w:tcW w:w="1020" w:type="dxa"/>
            <w:vAlign w:val="bottom"/>
            <w:shd w:val="clear" w:color="auto" w:fill="D8D8D8"/>
          </w:tcPr>
          <w:p>
            <w:pPr>
              <w:spacing w:after="0"/>
              <w:rPr>
                <w:sz w:val="7"/>
                <w:szCs w:val="7"/>
                <w:color w:val="auto"/>
              </w:rPr>
            </w:pPr>
          </w:p>
        </w:tc>
        <w:tc>
          <w:tcPr>
            <w:tcW w:w="1500" w:type="dxa"/>
            <w:vAlign w:val="bottom"/>
            <w:shd w:val="clear" w:color="auto" w:fill="D8D8D8"/>
          </w:tcPr>
          <w:p>
            <w:pPr>
              <w:spacing w:after="0"/>
              <w:rPr>
                <w:sz w:val="7"/>
                <w:szCs w:val="7"/>
                <w:color w:val="auto"/>
              </w:rPr>
            </w:pPr>
          </w:p>
        </w:tc>
        <w:tc>
          <w:tcPr>
            <w:tcW w:w="800" w:type="dxa"/>
            <w:vAlign w:val="bottom"/>
            <w:shd w:val="clear" w:color="auto" w:fill="D8D8D8"/>
          </w:tcPr>
          <w:p>
            <w:pPr>
              <w:spacing w:after="0"/>
              <w:rPr>
                <w:sz w:val="7"/>
                <w:szCs w:val="7"/>
                <w:color w:val="auto"/>
              </w:rPr>
            </w:pPr>
          </w:p>
        </w:tc>
        <w:tc>
          <w:tcPr>
            <w:tcW w:w="820" w:type="dxa"/>
            <w:vAlign w:val="bottom"/>
            <w:shd w:val="clear" w:color="auto" w:fill="D8D8D8"/>
          </w:tcPr>
          <w:p>
            <w:pPr>
              <w:spacing w:after="0"/>
              <w:rPr>
                <w:sz w:val="7"/>
                <w:szCs w:val="7"/>
                <w:color w:val="auto"/>
              </w:rPr>
            </w:pPr>
          </w:p>
        </w:tc>
        <w:tc>
          <w:tcPr>
            <w:tcW w:w="1060" w:type="dxa"/>
            <w:vAlign w:val="bottom"/>
            <w:shd w:val="clear" w:color="auto" w:fill="D8D8D8"/>
          </w:tcPr>
          <w:p>
            <w:pPr>
              <w:spacing w:after="0"/>
              <w:rPr>
                <w:sz w:val="7"/>
                <w:szCs w:val="7"/>
                <w:color w:val="auto"/>
              </w:rPr>
            </w:pPr>
          </w:p>
        </w:tc>
        <w:tc>
          <w:tcPr>
            <w:tcW w:w="160" w:type="dxa"/>
            <w:vAlign w:val="bottom"/>
            <w:shd w:val="clear" w:color="auto" w:fill="D8D8D8"/>
          </w:tcPr>
          <w:p>
            <w:pPr>
              <w:spacing w:after="0"/>
              <w:rPr>
                <w:sz w:val="7"/>
                <w:szCs w:val="7"/>
                <w:color w:val="auto"/>
              </w:rPr>
            </w:pPr>
          </w:p>
        </w:tc>
        <w:tc>
          <w:tcPr>
            <w:tcW w:w="880" w:type="dxa"/>
            <w:vAlign w:val="bottom"/>
            <w:shd w:val="clear" w:color="auto" w:fill="D8D8D8"/>
          </w:tcPr>
          <w:p>
            <w:pPr>
              <w:spacing w:after="0"/>
              <w:rPr>
                <w:sz w:val="7"/>
                <w:szCs w:val="7"/>
                <w:color w:val="auto"/>
              </w:rPr>
            </w:pPr>
          </w:p>
        </w:tc>
        <w:tc>
          <w:tcPr>
            <w:tcW w:w="1300" w:type="dxa"/>
            <w:vAlign w:val="bottom"/>
            <w:shd w:val="clear" w:color="auto" w:fill="D8D8D8"/>
          </w:tcPr>
          <w:p>
            <w:pPr>
              <w:spacing w:after="0"/>
              <w:rPr>
                <w:sz w:val="7"/>
                <w:szCs w:val="7"/>
                <w:color w:val="auto"/>
              </w:rPr>
            </w:pPr>
          </w:p>
        </w:tc>
        <w:tc>
          <w:tcPr>
            <w:tcW w:w="280" w:type="dxa"/>
            <w:vAlign w:val="bottom"/>
            <w:shd w:val="clear" w:color="auto" w:fill="D8D8D8"/>
          </w:tcPr>
          <w:p>
            <w:pPr>
              <w:spacing w:after="0"/>
              <w:rPr>
                <w:sz w:val="7"/>
                <w:szCs w:val="7"/>
                <w:color w:val="auto"/>
              </w:rPr>
            </w:pPr>
          </w:p>
        </w:tc>
        <w:tc>
          <w:tcPr>
            <w:tcW w:w="880" w:type="dxa"/>
            <w:vAlign w:val="bottom"/>
            <w:tcBorders>
              <w:right w:val="single" w:sz="8" w:color="7F7F7F"/>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460" w:type="dxa"/>
            <w:vAlign w:val="bottom"/>
            <w:tcBorders>
              <w:left w:val="single" w:sz="8" w:color="7F7F7F"/>
            </w:tcBorders>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1/30/2013</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54,000</w:t>
            </w:r>
          </w:p>
        </w:tc>
        <w:tc>
          <w:tcPr>
            <w:tcW w:w="1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$ 116.45</w:t>
            </w:r>
          </w:p>
        </w:tc>
        <w:tc>
          <w:tcPr>
            <w:tcW w:w="820" w:type="dxa"/>
            <w:vAlign w:val="bottom"/>
          </w:tcPr>
          <w:p>
            <w:pPr>
              <w:jc w:val="right"/>
              <w:spacing w:after="0"/>
              <w:rPr>
                <w:sz w:val="20"/>
                <w:szCs w:val="20"/>
                <w:color w:val="auto"/>
              </w:rPr>
            </w:pPr>
            <w:r>
              <w:rPr>
                <w:rFonts w:ascii="Arial" w:cs="Arial" w:eastAsia="Arial" w:hAnsi="Arial"/>
                <w:sz w:val="14"/>
                <w:szCs w:val="14"/>
                <w:color w:val="auto"/>
              </w:rPr>
              <w:t>1/30/2023</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right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460" w:type="dxa"/>
            <w:vAlign w:val="bottom"/>
            <w:tcBorders>
              <w:left w:val="single" w:sz="8" w:color="7F7F7F"/>
              <w:bottom w:val="single" w:sz="8" w:color="7F7F7F"/>
            </w:tcBorders>
          </w:tcPr>
          <w:p>
            <w:pPr>
              <w:spacing w:after="0"/>
              <w:rPr>
                <w:sz w:val="3"/>
                <w:szCs w:val="3"/>
                <w:color w:val="auto"/>
              </w:rPr>
            </w:pPr>
          </w:p>
        </w:tc>
        <w:tc>
          <w:tcPr>
            <w:tcW w:w="880" w:type="dxa"/>
            <w:vAlign w:val="bottom"/>
            <w:tcBorders>
              <w:bottom w:val="single" w:sz="8" w:color="7F7F7F"/>
            </w:tcBorders>
          </w:tcPr>
          <w:p>
            <w:pPr>
              <w:spacing w:after="0"/>
              <w:rPr>
                <w:sz w:val="3"/>
                <w:szCs w:val="3"/>
                <w:color w:val="auto"/>
              </w:rPr>
            </w:pPr>
          </w:p>
        </w:tc>
        <w:tc>
          <w:tcPr>
            <w:tcW w:w="1020" w:type="dxa"/>
            <w:vAlign w:val="bottom"/>
            <w:tcBorders>
              <w:bottom w:val="single" w:sz="8" w:color="7F7F7F"/>
            </w:tcBorders>
          </w:tcPr>
          <w:p>
            <w:pPr>
              <w:spacing w:after="0"/>
              <w:rPr>
                <w:sz w:val="3"/>
                <w:szCs w:val="3"/>
                <w:color w:val="auto"/>
              </w:rPr>
            </w:pPr>
          </w:p>
        </w:tc>
        <w:tc>
          <w:tcPr>
            <w:tcW w:w="1500" w:type="dxa"/>
            <w:vAlign w:val="bottom"/>
            <w:tcBorders>
              <w:bottom w:val="single" w:sz="8" w:color="7F7F7F"/>
            </w:tcBorders>
          </w:tcPr>
          <w:p>
            <w:pPr>
              <w:spacing w:after="0"/>
              <w:rPr>
                <w:sz w:val="3"/>
                <w:szCs w:val="3"/>
                <w:color w:val="auto"/>
              </w:rPr>
            </w:pPr>
          </w:p>
        </w:tc>
        <w:tc>
          <w:tcPr>
            <w:tcW w:w="800" w:type="dxa"/>
            <w:vAlign w:val="bottom"/>
            <w:tcBorders>
              <w:bottom w:val="single" w:sz="8" w:color="7F7F7F"/>
            </w:tcBorders>
          </w:tcPr>
          <w:p>
            <w:pPr>
              <w:spacing w:after="0"/>
              <w:rPr>
                <w:sz w:val="3"/>
                <w:szCs w:val="3"/>
                <w:color w:val="auto"/>
              </w:rPr>
            </w:pPr>
          </w:p>
        </w:tc>
        <w:tc>
          <w:tcPr>
            <w:tcW w:w="820" w:type="dxa"/>
            <w:vAlign w:val="bottom"/>
            <w:tcBorders>
              <w:bottom w:val="single" w:sz="8" w:color="7F7F7F"/>
            </w:tcBorders>
          </w:tcPr>
          <w:p>
            <w:pPr>
              <w:spacing w:after="0"/>
              <w:rPr>
                <w:sz w:val="3"/>
                <w:szCs w:val="3"/>
                <w:color w:val="auto"/>
              </w:rPr>
            </w:pPr>
          </w:p>
        </w:tc>
        <w:tc>
          <w:tcPr>
            <w:tcW w:w="106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gridSpan w:val="2"/>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280" w:type="dxa"/>
            <w:vAlign w:val="bottom"/>
            <w:tcBorders>
              <w:bottom w:val="single" w:sz="8" w:color="7F7F7F"/>
            </w:tcBorders>
          </w:tcPr>
          <w:p>
            <w:pPr>
              <w:spacing w:after="0"/>
              <w:rPr>
                <w:sz w:val="3"/>
                <w:szCs w:val="3"/>
                <w:color w:val="auto"/>
              </w:rPr>
            </w:pPr>
          </w:p>
        </w:tc>
        <w:tc>
          <w:tcPr>
            <w:tcW w:w="880" w:type="dxa"/>
            <w:vAlign w:val="bottom"/>
            <w:tcBorders>
              <w:bottom w:val="single" w:sz="8" w:color="7F7F7F"/>
              <w:right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1460" w:type="dxa"/>
            <w:vAlign w:val="bottom"/>
            <w:tcBorders>
              <w:left w:val="single" w:sz="8" w:color="7F7F7F"/>
            </w:tcBorders>
          </w:tcPr>
          <w:p>
            <w:pPr>
              <w:ind w:left="160"/>
              <w:spacing w:after="0"/>
              <w:rPr>
                <w:sz w:val="20"/>
                <w:szCs w:val="20"/>
                <w:color w:val="auto"/>
              </w:rPr>
            </w:pPr>
            <w:r>
              <w:rPr>
                <w:rFonts w:ascii="Arial" w:cs="Arial" w:eastAsia="Arial" w:hAnsi="Arial"/>
                <w:sz w:val="14"/>
                <w:szCs w:val="14"/>
                <w:color w:val="auto"/>
              </w:rPr>
              <w:t>M.A. Nelson</w:t>
            </w:r>
          </w:p>
        </w:tc>
        <w:tc>
          <w:tcPr>
            <w:tcW w:w="88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1/27/2021</w:t>
            </w:r>
          </w:p>
        </w:tc>
        <w:tc>
          <w:tcPr>
            <w:tcW w:w="1020" w:type="dxa"/>
            <w:vAlign w:val="bottom"/>
            <w:tcBorders>
              <w:bottom w:val="single" w:sz="8" w:color="D8D8D8"/>
            </w:tcBorders>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D8D8D8"/>
            </w:tcBorders>
            <w:shd w:val="clear" w:color="auto" w:fill="D8D8D8"/>
          </w:tcPr>
          <w:p>
            <w:pPr>
              <w:jc w:val="right"/>
              <w:ind w:right="409"/>
              <w:spacing w:after="0"/>
              <w:rPr>
                <w:sz w:val="20"/>
                <w:szCs w:val="20"/>
                <w:color w:val="auto"/>
              </w:rPr>
            </w:pPr>
            <w:r>
              <w:rPr>
                <w:rFonts w:ascii="Arial" w:cs="Arial" w:eastAsia="Arial" w:hAnsi="Arial"/>
                <w:sz w:val="14"/>
                <w:szCs w:val="14"/>
                <w:color w:val="auto"/>
              </w:rPr>
              <w:t>81,900</w:t>
            </w:r>
          </w:p>
        </w:tc>
        <w:tc>
          <w:tcPr>
            <w:tcW w:w="80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  88.20</w:t>
            </w:r>
          </w:p>
        </w:tc>
        <w:tc>
          <w:tcPr>
            <w:tcW w:w="82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1/27/2031</w:t>
            </w:r>
          </w:p>
        </w:tc>
        <w:tc>
          <w:tcPr>
            <w:tcW w:w="1060" w:type="dxa"/>
            <w:vAlign w:val="bottom"/>
            <w:tcBorders>
              <w:bottom w:val="single" w:sz="8" w:color="D8D8D8"/>
            </w:tcBorders>
            <w:shd w:val="clear" w:color="auto" w:fill="D8D8D8"/>
          </w:tcPr>
          <w:p>
            <w:pPr>
              <w:jc w:val="right"/>
              <w:ind w:right="149"/>
              <w:spacing w:after="0"/>
              <w:rPr>
                <w:sz w:val="20"/>
                <w:szCs w:val="20"/>
                <w:color w:val="auto"/>
              </w:rPr>
            </w:pPr>
            <w:r>
              <w:rPr>
                <w:rFonts w:ascii="Arial" w:cs="Arial" w:eastAsia="Arial" w:hAnsi="Arial"/>
                <w:sz w:val="14"/>
                <w:szCs w:val="14"/>
                <w:color w:val="auto"/>
              </w:rPr>
              <w:t>11,908</w:t>
            </w:r>
          </w:p>
        </w:tc>
        <w:tc>
          <w:tcPr>
            <w:tcW w:w="1040" w:type="dxa"/>
            <w:vAlign w:val="bottom"/>
            <w:tcBorders>
              <w:bottom w:val="single" w:sz="8" w:color="D8D8D8"/>
            </w:tcBorders>
            <w:gridSpan w:val="2"/>
            <w:shd w:val="clear" w:color="auto" w:fill="D8D8D8"/>
          </w:tcPr>
          <w:p>
            <w:pPr>
              <w:jc w:val="right"/>
              <w:ind w:right="129"/>
              <w:spacing w:after="0"/>
              <w:rPr>
                <w:sz w:val="20"/>
                <w:szCs w:val="20"/>
                <w:color w:val="auto"/>
              </w:rPr>
            </w:pPr>
            <w:r>
              <w:rPr>
                <w:rFonts w:ascii="Arial" w:cs="Arial" w:eastAsia="Arial" w:hAnsi="Arial"/>
                <w:sz w:val="14"/>
                <w:szCs w:val="14"/>
                <w:color w:val="auto"/>
              </w:rPr>
              <w:t>$ 1,397,458</w:t>
            </w:r>
          </w:p>
        </w:tc>
        <w:tc>
          <w:tcPr>
            <w:tcW w:w="1300" w:type="dxa"/>
            <w:vAlign w:val="bottom"/>
            <w:tcBorders>
              <w:bottom w:val="single" w:sz="8" w:color="D8D8D8"/>
            </w:tcBorders>
            <w:shd w:val="clear" w:color="auto" w:fill="D8D8D8"/>
          </w:tcPr>
          <w:p>
            <w:pPr>
              <w:jc w:val="right"/>
              <w:ind w:right="329"/>
              <w:spacing w:after="0"/>
              <w:rPr>
                <w:sz w:val="20"/>
                <w:szCs w:val="20"/>
                <w:color w:val="auto"/>
              </w:rPr>
            </w:pPr>
            <w:r>
              <w:rPr>
                <w:rFonts w:ascii="Arial" w:cs="Arial" w:eastAsia="Arial" w:hAnsi="Arial"/>
                <w:sz w:val="14"/>
                <w:szCs w:val="14"/>
                <w:color w:val="auto"/>
              </w:rPr>
              <w:t>47,655</w:t>
            </w:r>
          </w:p>
        </w:tc>
        <w:tc>
          <w:tcPr>
            <w:tcW w:w="280" w:type="dxa"/>
            <w:vAlign w:val="bottom"/>
            <w:tcBorders>
              <w:bottom w:val="single" w:sz="8" w:color="D8D8D8"/>
            </w:tcBorders>
            <w:shd w:val="clear" w:color="auto" w:fill="D8D8D8"/>
          </w:tcPr>
          <w:p>
            <w:pPr>
              <w:ind w:left="20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D8D8D8"/>
              <w:right w:val="single" w:sz="8" w:color="7F7F7F"/>
            </w:tcBorders>
            <w:shd w:val="clear" w:color="auto" w:fill="D8D8D8"/>
          </w:tcPr>
          <w:p>
            <w:pPr>
              <w:jc w:val="right"/>
              <w:ind w:right="28"/>
              <w:spacing w:after="0"/>
              <w:rPr>
                <w:sz w:val="20"/>
                <w:szCs w:val="20"/>
                <w:color w:val="auto"/>
              </w:rPr>
            </w:pPr>
            <w:r>
              <w:rPr>
                <w:rFonts w:ascii="Arial" w:cs="Arial" w:eastAsia="Arial" w:hAnsi="Arial"/>
                <w:sz w:val="14"/>
                <w:szCs w:val="14"/>
                <w:color w:val="auto"/>
              </w:rPr>
              <w:t>5,592,295</w:t>
            </w:r>
          </w:p>
        </w:tc>
        <w:tc>
          <w:tcPr>
            <w:tcW w:w="0" w:type="dxa"/>
            <w:vAlign w:val="bottom"/>
          </w:tcPr>
          <w:p>
            <w:pPr>
              <w:spacing w:after="0"/>
              <w:rPr>
                <w:sz w:val="1"/>
                <w:szCs w:val="1"/>
                <w:color w:val="auto"/>
              </w:rPr>
            </w:pPr>
          </w:p>
        </w:tc>
      </w:tr>
      <w:tr>
        <w:trPr>
          <w:trHeight w:val="195"/>
        </w:trPr>
        <w:tc>
          <w:tcPr>
            <w:tcW w:w="1460" w:type="dxa"/>
            <w:vAlign w:val="bottom"/>
            <w:tcBorders>
              <w:left w:val="single" w:sz="8" w:color="7F7F7F"/>
            </w:tcBorders>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1/29/2020</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25,666</w:t>
            </w:r>
          </w:p>
        </w:tc>
        <w:tc>
          <w:tcPr>
            <w:tcW w:w="1500" w:type="dxa"/>
            <w:vAlign w:val="bottom"/>
          </w:tcPr>
          <w:p>
            <w:pPr>
              <w:jc w:val="right"/>
              <w:ind w:right="409"/>
              <w:spacing w:after="0"/>
              <w:rPr>
                <w:sz w:val="20"/>
                <w:szCs w:val="20"/>
                <w:color w:val="auto"/>
              </w:rPr>
            </w:pPr>
            <w:r>
              <w:rPr>
                <w:rFonts w:ascii="Arial" w:cs="Arial" w:eastAsia="Arial" w:hAnsi="Arial"/>
                <w:sz w:val="14"/>
                <w:szCs w:val="14"/>
                <w:color w:val="auto"/>
              </w:rPr>
              <w:t>51,334</w:t>
            </w:r>
          </w:p>
        </w:tc>
        <w:tc>
          <w:tcPr>
            <w:tcW w:w="800" w:type="dxa"/>
            <w:vAlign w:val="bottom"/>
          </w:tcPr>
          <w:p>
            <w:pPr>
              <w:jc w:val="right"/>
              <w:spacing w:after="0"/>
              <w:rPr>
                <w:sz w:val="20"/>
                <w:szCs w:val="20"/>
                <w:color w:val="auto"/>
              </w:rPr>
            </w:pPr>
            <w:r>
              <w:rPr>
                <w:rFonts w:ascii="Arial" w:cs="Arial" w:eastAsia="Arial" w:hAnsi="Arial"/>
                <w:sz w:val="14"/>
                <w:szCs w:val="14"/>
                <w:color w:val="auto"/>
              </w:rPr>
              <w:t>$ 110.37</w:t>
            </w:r>
          </w:p>
        </w:tc>
        <w:tc>
          <w:tcPr>
            <w:tcW w:w="820" w:type="dxa"/>
            <w:vAlign w:val="bottom"/>
          </w:tcPr>
          <w:p>
            <w:pPr>
              <w:jc w:val="right"/>
              <w:spacing w:after="0"/>
              <w:rPr>
                <w:sz w:val="20"/>
                <w:szCs w:val="20"/>
                <w:color w:val="auto"/>
              </w:rPr>
            </w:pPr>
            <w:r>
              <w:rPr>
                <w:rFonts w:ascii="Arial" w:cs="Arial" w:eastAsia="Arial" w:hAnsi="Arial"/>
                <w:sz w:val="14"/>
                <w:szCs w:val="14"/>
                <w:color w:val="auto"/>
              </w:rPr>
              <w:t>1/29/2030</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9,746</w:t>
            </w:r>
          </w:p>
        </w:tc>
        <w:tc>
          <w:tcPr>
            <w:tcW w:w="1040" w:type="dxa"/>
            <w:vAlign w:val="bottom"/>
            <w:gridSpan w:val="2"/>
          </w:tcPr>
          <w:p>
            <w:pPr>
              <w:jc w:val="right"/>
              <w:ind w:right="129"/>
              <w:spacing w:after="0"/>
              <w:rPr>
                <w:sz w:val="20"/>
                <w:szCs w:val="20"/>
                <w:color w:val="auto"/>
              </w:rPr>
            </w:pPr>
            <w:r>
              <w:rPr>
                <w:rFonts w:ascii="Arial" w:cs="Arial" w:eastAsia="Arial" w:hAnsi="Arial"/>
                <w:sz w:val="14"/>
                <w:szCs w:val="14"/>
                <w:color w:val="auto"/>
              </w:rPr>
              <w:t>$ 1,143,730</w:t>
            </w:r>
          </w:p>
        </w:tc>
        <w:tc>
          <w:tcPr>
            <w:tcW w:w="1300" w:type="dxa"/>
            <w:vAlign w:val="bottom"/>
          </w:tcPr>
          <w:p>
            <w:pPr>
              <w:jc w:val="right"/>
              <w:ind w:right="329"/>
              <w:spacing w:after="0"/>
              <w:rPr>
                <w:sz w:val="20"/>
                <w:szCs w:val="20"/>
                <w:color w:val="auto"/>
              </w:rPr>
            </w:pPr>
            <w:r>
              <w:rPr>
                <w:rFonts w:ascii="Arial" w:cs="Arial" w:eastAsia="Arial" w:hAnsi="Arial"/>
                <w:sz w:val="14"/>
                <w:szCs w:val="14"/>
                <w:color w:val="auto"/>
              </w:rPr>
              <w:t>32,291</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880" w:type="dxa"/>
            <w:vAlign w:val="bottom"/>
            <w:tcBorders>
              <w:right w:val="single" w:sz="8" w:color="7F7F7F"/>
            </w:tcBorders>
          </w:tcPr>
          <w:p>
            <w:pPr>
              <w:jc w:val="right"/>
              <w:ind w:right="28"/>
              <w:spacing w:after="0"/>
              <w:rPr>
                <w:sz w:val="20"/>
                <w:szCs w:val="20"/>
                <w:color w:val="auto"/>
              </w:rPr>
            </w:pPr>
            <w:r>
              <w:rPr>
                <w:rFonts w:ascii="Arial" w:cs="Arial" w:eastAsia="Arial" w:hAnsi="Arial"/>
                <w:sz w:val="14"/>
                <w:szCs w:val="14"/>
                <w:color w:val="auto"/>
              </w:rPr>
              <w:t>3,789,316</w:t>
            </w:r>
          </w:p>
        </w:tc>
        <w:tc>
          <w:tcPr>
            <w:tcW w:w="0" w:type="dxa"/>
            <w:vAlign w:val="bottom"/>
          </w:tcPr>
          <w:p>
            <w:pPr>
              <w:spacing w:after="0"/>
              <w:rPr>
                <w:sz w:val="1"/>
                <w:szCs w:val="1"/>
                <w:color w:val="auto"/>
              </w:rPr>
            </w:pPr>
          </w:p>
        </w:tc>
      </w:tr>
      <w:tr>
        <w:trPr>
          <w:trHeight w:val="35"/>
        </w:trPr>
        <w:tc>
          <w:tcPr>
            <w:tcW w:w="1460" w:type="dxa"/>
            <w:vAlign w:val="bottom"/>
            <w:tcBorders>
              <w:left w:val="single" w:sz="8" w:color="7F7F7F"/>
            </w:tcBorders>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Borders>
              <w:right w:val="single" w:sz="8" w:color="7F7F7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1460" w:type="dxa"/>
            <w:vAlign w:val="bottom"/>
            <w:tcBorders>
              <w:left w:val="single" w:sz="8" w:color="7F7F7F"/>
            </w:tcBorders>
          </w:tcPr>
          <w:p>
            <w:pPr>
              <w:spacing w:after="0"/>
              <w:rPr>
                <w:sz w:val="21"/>
                <w:szCs w:val="21"/>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1/30/2019</w:t>
            </w:r>
          </w:p>
        </w:tc>
        <w:tc>
          <w:tcPr>
            <w:tcW w:w="102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41,733</w:t>
            </w:r>
          </w:p>
        </w:tc>
        <w:tc>
          <w:tcPr>
            <w:tcW w:w="1500" w:type="dxa"/>
            <w:vAlign w:val="bottom"/>
            <w:shd w:val="clear" w:color="auto" w:fill="D8D8D8"/>
          </w:tcPr>
          <w:p>
            <w:pPr>
              <w:jc w:val="right"/>
              <w:ind w:right="409"/>
              <w:spacing w:after="0"/>
              <w:rPr>
                <w:sz w:val="20"/>
                <w:szCs w:val="20"/>
                <w:color w:val="auto"/>
              </w:rPr>
            </w:pPr>
            <w:r>
              <w:rPr>
                <w:rFonts w:ascii="Arial" w:cs="Arial" w:eastAsia="Arial" w:hAnsi="Arial"/>
                <w:sz w:val="14"/>
                <w:szCs w:val="14"/>
                <w:color w:val="auto"/>
              </w:rPr>
              <w:t>20,867</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$ 113.01</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1/30/2029</w:t>
            </w:r>
          </w:p>
        </w:tc>
        <w:tc>
          <w:tcPr>
            <w:tcW w:w="106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9,799</w:t>
            </w:r>
          </w:p>
        </w:tc>
        <w:tc>
          <w:tcPr>
            <w:tcW w:w="1040" w:type="dxa"/>
            <w:vAlign w:val="bottom"/>
            <w:gridSpan w:val="2"/>
            <w:shd w:val="clear" w:color="auto" w:fill="D8D8D8"/>
          </w:tcPr>
          <w:p>
            <w:pPr>
              <w:jc w:val="right"/>
              <w:ind w:right="129"/>
              <w:spacing w:after="0"/>
              <w:rPr>
                <w:sz w:val="20"/>
                <w:szCs w:val="20"/>
                <w:color w:val="auto"/>
              </w:rPr>
            </w:pPr>
            <w:r>
              <w:rPr>
                <w:rFonts w:ascii="Arial" w:cs="Arial" w:eastAsia="Arial" w:hAnsi="Arial"/>
                <w:sz w:val="14"/>
                <w:szCs w:val="14"/>
                <w:color w:val="auto"/>
              </w:rPr>
              <w:t>$ 1,149,912</w:t>
            </w:r>
          </w:p>
        </w:tc>
        <w:tc>
          <w:tcPr>
            <w:tcW w:w="1300" w:type="dxa"/>
            <w:vAlign w:val="bottom"/>
            <w:shd w:val="clear" w:color="auto" w:fill="D8D8D8"/>
          </w:tcPr>
          <w:p>
            <w:pPr>
              <w:spacing w:after="0"/>
              <w:rPr>
                <w:sz w:val="21"/>
                <w:szCs w:val="21"/>
                <w:color w:val="auto"/>
              </w:rPr>
            </w:pPr>
          </w:p>
        </w:tc>
        <w:tc>
          <w:tcPr>
            <w:tcW w:w="280" w:type="dxa"/>
            <w:vAlign w:val="bottom"/>
            <w:shd w:val="clear" w:color="auto" w:fill="D8D8D8"/>
          </w:tcPr>
          <w:p>
            <w:pPr>
              <w:spacing w:after="0"/>
              <w:rPr>
                <w:sz w:val="21"/>
                <w:szCs w:val="21"/>
                <w:color w:val="auto"/>
              </w:rPr>
            </w:pPr>
          </w:p>
        </w:tc>
        <w:tc>
          <w:tcPr>
            <w:tcW w:w="880" w:type="dxa"/>
            <w:vAlign w:val="bottom"/>
            <w:tcBorders>
              <w:right w:val="single" w:sz="8" w:color="7F7F7F"/>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1460" w:type="dxa"/>
            <w:vAlign w:val="bottom"/>
            <w:tcBorders>
              <w:left w:val="single" w:sz="8" w:color="7F7F7F"/>
            </w:tcBorders>
          </w:tcPr>
          <w:p>
            <w:pPr>
              <w:spacing w:after="0"/>
              <w:rPr>
                <w:sz w:val="7"/>
                <w:szCs w:val="7"/>
                <w:color w:val="auto"/>
              </w:rPr>
            </w:pPr>
          </w:p>
        </w:tc>
        <w:tc>
          <w:tcPr>
            <w:tcW w:w="880" w:type="dxa"/>
            <w:vAlign w:val="bottom"/>
            <w:shd w:val="clear" w:color="auto" w:fill="D8D8D8"/>
          </w:tcPr>
          <w:p>
            <w:pPr>
              <w:spacing w:after="0"/>
              <w:rPr>
                <w:sz w:val="7"/>
                <w:szCs w:val="7"/>
                <w:color w:val="auto"/>
              </w:rPr>
            </w:pPr>
          </w:p>
        </w:tc>
        <w:tc>
          <w:tcPr>
            <w:tcW w:w="1020" w:type="dxa"/>
            <w:vAlign w:val="bottom"/>
            <w:shd w:val="clear" w:color="auto" w:fill="D8D8D8"/>
          </w:tcPr>
          <w:p>
            <w:pPr>
              <w:spacing w:after="0"/>
              <w:rPr>
                <w:sz w:val="7"/>
                <w:szCs w:val="7"/>
                <w:color w:val="auto"/>
              </w:rPr>
            </w:pPr>
          </w:p>
        </w:tc>
        <w:tc>
          <w:tcPr>
            <w:tcW w:w="1500" w:type="dxa"/>
            <w:vAlign w:val="bottom"/>
            <w:shd w:val="clear" w:color="auto" w:fill="D8D8D8"/>
          </w:tcPr>
          <w:p>
            <w:pPr>
              <w:spacing w:after="0"/>
              <w:rPr>
                <w:sz w:val="7"/>
                <w:szCs w:val="7"/>
                <w:color w:val="auto"/>
              </w:rPr>
            </w:pPr>
          </w:p>
        </w:tc>
        <w:tc>
          <w:tcPr>
            <w:tcW w:w="800" w:type="dxa"/>
            <w:vAlign w:val="bottom"/>
            <w:shd w:val="clear" w:color="auto" w:fill="D8D8D8"/>
          </w:tcPr>
          <w:p>
            <w:pPr>
              <w:spacing w:after="0"/>
              <w:rPr>
                <w:sz w:val="7"/>
                <w:szCs w:val="7"/>
                <w:color w:val="auto"/>
              </w:rPr>
            </w:pPr>
          </w:p>
        </w:tc>
        <w:tc>
          <w:tcPr>
            <w:tcW w:w="820" w:type="dxa"/>
            <w:vAlign w:val="bottom"/>
            <w:shd w:val="clear" w:color="auto" w:fill="D8D8D8"/>
          </w:tcPr>
          <w:p>
            <w:pPr>
              <w:spacing w:after="0"/>
              <w:rPr>
                <w:sz w:val="7"/>
                <w:szCs w:val="7"/>
                <w:color w:val="auto"/>
              </w:rPr>
            </w:pPr>
          </w:p>
        </w:tc>
        <w:tc>
          <w:tcPr>
            <w:tcW w:w="1060" w:type="dxa"/>
            <w:vAlign w:val="bottom"/>
            <w:shd w:val="clear" w:color="auto" w:fill="D8D8D8"/>
          </w:tcPr>
          <w:p>
            <w:pPr>
              <w:spacing w:after="0"/>
              <w:rPr>
                <w:sz w:val="7"/>
                <w:szCs w:val="7"/>
                <w:color w:val="auto"/>
              </w:rPr>
            </w:pPr>
          </w:p>
        </w:tc>
        <w:tc>
          <w:tcPr>
            <w:tcW w:w="160" w:type="dxa"/>
            <w:vAlign w:val="bottom"/>
            <w:shd w:val="clear" w:color="auto" w:fill="D8D8D8"/>
          </w:tcPr>
          <w:p>
            <w:pPr>
              <w:spacing w:after="0"/>
              <w:rPr>
                <w:sz w:val="7"/>
                <w:szCs w:val="7"/>
                <w:color w:val="auto"/>
              </w:rPr>
            </w:pPr>
          </w:p>
        </w:tc>
        <w:tc>
          <w:tcPr>
            <w:tcW w:w="880" w:type="dxa"/>
            <w:vAlign w:val="bottom"/>
            <w:shd w:val="clear" w:color="auto" w:fill="D8D8D8"/>
          </w:tcPr>
          <w:p>
            <w:pPr>
              <w:spacing w:after="0"/>
              <w:rPr>
                <w:sz w:val="7"/>
                <w:szCs w:val="7"/>
                <w:color w:val="auto"/>
              </w:rPr>
            </w:pPr>
          </w:p>
        </w:tc>
        <w:tc>
          <w:tcPr>
            <w:tcW w:w="1300" w:type="dxa"/>
            <w:vAlign w:val="bottom"/>
            <w:shd w:val="clear" w:color="auto" w:fill="D8D8D8"/>
          </w:tcPr>
          <w:p>
            <w:pPr>
              <w:spacing w:after="0"/>
              <w:rPr>
                <w:sz w:val="7"/>
                <w:szCs w:val="7"/>
                <w:color w:val="auto"/>
              </w:rPr>
            </w:pPr>
          </w:p>
        </w:tc>
        <w:tc>
          <w:tcPr>
            <w:tcW w:w="280" w:type="dxa"/>
            <w:vAlign w:val="bottom"/>
            <w:shd w:val="clear" w:color="auto" w:fill="D8D8D8"/>
          </w:tcPr>
          <w:p>
            <w:pPr>
              <w:spacing w:after="0"/>
              <w:rPr>
                <w:sz w:val="7"/>
                <w:szCs w:val="7"/>
                <w:color w:val="auto"/>
              </w:rPr>
            </w:pPr>
          </w:p>
        </w:tc>
        <w:tc>
          <w:tcPr>
            <w:tcW w:w="880" w:type="dxa"/>
            <w:vAlign w:val="bottom"/>
            <w:tcBorders>
              <w:right w:val="single" w:sz="8" w:color="7F7F7F"/>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460" w:type="dxa"/>
            <w:vAlign w:val="bottom"/>
            <w:tcBorders>
              <w:left w:val="single" w:sz="8" w:color="7F7F7F"/>
            </w:tcBorders>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1/31/2018</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27,700</w:t>
            </w:r>
          </w:p>
        </w:tc>
        <w:tc>
          <w:tcPr>
            <w:tcW w:w="1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$ 125.35</w:t>
            </w:r>
          </w:p>
        </w:tc>
        <w:tc>
          <w:tcPr>
            <w:tcW w:w="820" w:type="dxa"/>
            <w:vAlign w:val="bottom"/>
          </w:tcPr>
          <w:p>
            <w:pPr>
              <w:jc w:val="right"/>
              <w:spacing w:after="0"/>
              <w:rPr>
                <w:sz w:val="20"/>
                <w:szCs w:val="20"/>
                <w:color w:val="auto"/>
              </w:rPr>
            </w:pPr>
            <w:r>
              <w:rPr>
                <w:rFonts w:ascii="Arial" w:cs="Arial" w:eastAsia="Arial" w:hAnsi="Arial"/>
                <w:sz w:val="14"/>
                <w:szCs w:val="14"/>
                <w:color w:val="auto"/>
              </w:rPr>
              <w:t>1/31/2028</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4,617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541,770</w:t>
            </w: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right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460" w:type="dxa"/>
            <w:vAlign w:val="bottom"/>
            <w:tcBorders>
              <w:left w:val="single" w:sz="8" w:color="7F7F7F"/>
            </w:tcBorders>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Borders>
              <w:right w:val="single" w:sz="8" w:color="7F7F7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1460" w:type="dxa"/>
            <w:vAlign w:val="bottom"/>
            <w:tcBorders>
              <w:left w:val="single" w:sz="8" w:color="7F7F7F"/>
            </w:tcBorders>
          </w:tcPr>
          <w:p>
            <w:pPr>
              <w:spacing w:after="0"/>
              <w:rPr>
                <w:sz w:val="21"/>
                <w:szCs w:val="21"/>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1/25/2017</w:t>
            </w:r>
          </w:p>
        </w:tc>
        <w:tc>
          <w:tcPr>
            <w:tcW w:w="102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18,100</w:t>
            </w:r>
          </w:p>
        </w:tc>
        <w:tc>
          <w:tcPr>
            <w:tcW w:w="1500" w:type="dxa"/>
            <w:vAlign w:val="bottom"/>
            <w:shd w:val="clear" w:color="auto" w:fill="D8D8D8"/>
          </w:tcPr>
          <w:p>
            <w:pPr>
              <w:spacing w:after="0"/>
              <w:rPr>
                <w:sz w:val="21"/>
                <w:szCs w:val="21"/>
                <w:color w:val="auto"/>
              </w:rPr>
            </w:pP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$ 117.24</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1/25/2027</w:t>
            </w:r>
          </w:p>
        </w:tc>
        <w:tc>
          <w:tcPr>
            <w:tcW w:w="106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2,816</w:t>
            </w:r>
          </w:p>
        </w:tc>
        <w:tc>
          <w:tcPr>
            <w:tcW w:w="1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8D8D8"/>
          </w:tcPr>
          <w:p>
            <w:pPr>
              <w:jc w:val="right"/>
              <w:ind w:right="129"/>
              <w:spacing w:after="0"/>
              <w:rPr>
                <w:sz w:val="20"/>
                <w:szCs w:val="20"/>
                <w:color w:val="auto"/>
              </w:rPr>
            </w:pPr>
            <w:r>
              <w:rPr>
                <w:rFonts w:ascii="Arial" w:cs="Arial" w:eastAsia="Arial" w:hAnsi="Arial"/>
                <w:sz w:val="14"/>
                <w:szCs w:val="14"/>
                <w:color w:val="auto"/>
              </w:rPr>
              <w:t>330,430</w:t>
            </w:r>
          </w:p>
        </w:tc>
        <w:tc>
          <w:tcPr>
            <w:tcW w:w="1300" w:type="dxa"/>
            <w:vAlign w:val="bottom"/>
            <w:shd w:val="clear" w:color="auto" w:fill="D8D8D8"/>
          </w:tcPr>
          <w:p>
            <w:pPr>
              <w:spacing w:after="0"/>
              <w:rPr>
                <w:sz w:val="21"/>
                <w:szCs w:val="21"/>
                <w:color w:val="auto"/>
              </w:rPr>
            </w:pPr>
          </w:p>
        </w:tc>
        <w:tc>
          <w:tcPr>
            <w:tcW w:w="280" w:type="dxa"/>
            <w:vAlign w:val="bottom"/>
            <w:shd w:val="clear" w:color="auto" w:fill="D8D8D8"/>
          </w:tcPr>
          <w:p>
            <w:pPr>
              <w:spacing w:after="0"/>
              <w:rPr>
                <w:sz w:val="21"/>
                <w:szCs w:val="21"/>
                <w:color w:val="auto"/>
              </w:rPr>
            </w:pPr>
          </w:p>
        </w:tc>
        <w:tc>
          <w:tcPr>
            <w:tcW w:w="880" w:type="dxa"/>
            <w:vAlign w:val="bottom"/>
            <w:tcBorders>
              <w:right w:val="single" w:sz="8" w:color="7F7F7F"/>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1460" w:type="dxa"/>
            <w:vAlign w:val="bottom"/>
            <w:tcBorders>
              <w:left w:val="single" w:sz="8" w:color="7F7F7F"/>
            </w:tcBorders>
          </w:tcPr>
          <w:p>
            <w:pPr>
              <w:spacing w:after="0"/>
              <w:rPr>
                <w:sz w:val="7"/>
                <w:szCs w:val="7"/>
                <w:color w:val="auto"/>
              </w:rPr>
            </w:pPr>
          </w:p>
        </w:tc>
        <w:tc>
          <w:tcPr>
            <w:tcW w:w="880" w:type="dxa"/>
            <w:vAlign w:val="bottom"/>
            <w:shd w:val="clear" w:color="auto" w:fill="D8D8D8"/>
          </w:tcPr>
          <w:p>
            <w:pPr>
              <w:spacing w:after="0"/>
              <w:rPr>
                <w:sz w:val="7"/>
                <w:szCs w:val="7"/>
                <w:color w:val="auto"/>
              </w:rPr>
            </w:pPr>
          </w:p>
        </w:tc>
        <w:tc>
          <w:tcPr>
            <w:tcW w:w="1020" w:type="dxa"/>
            <w:vAlign w:val="bottom"/>
            <w:shd w:val="clear" w:color="auto" w:fill="D8D8D8"/>
          </w:tcPr>
          <w:p>
            <w:pPr>
              <w:spacing w:after="0"/>
              <w:rPr>
                <w:sz w:val="7"/>
                <w:szCs w:val="7"/>
                <w:color w:val="auto"/>
              </w:rPr>
            </w:pPr>
          </w:p>
        </w:tc>
        <w:tc>
          <w:tcPr>
            <w:tcW w:w="1500" w:type="dxa"/>
            <w:vAlign w:val="bottom"/>
            <w:shd w:val="clear" w:color="auto" w:fill="D8D8D8"/>
          </w:tcPr>
          <w:p>
            <w:pPr>
              <w:spacing w:after="0"/>
              <w:rPr>
                <w:sz w:val="7"/>
                <w:szCs w:val="7"/>
                <w:color w:val="auto"/>
              </w:rPr>
            </w:pPr>
          </w:p>
        </w:tc>
        <w:tc>
          <w:tcPr>
            <w:tcW w:w="800" w:type="dxa"/>
            <w:vAlign w:val="bottom"/>
            <w:shd w:val="clear" w:color="auto" w:fill="D8D8D8"/>
          </w:tcPr>
          <w:p>
            <w:pPr>
              <w:spacing w:after="0"/>
              <w:rPr>
                <w:sz w:val="7"/>
                <w:szCs w:val="7"/>
                <w:color w:val="auto"/>
              </w:rPr>
            </w:pPr>
          </w:p>
        </w:tc>
        <w:tc>
          <w:tcPr>
            <w:tcW w:w="820" w:type="dxa"/>
            <w:vAlign w:val="bottom"/>
            <w:shd w:val="clear" w:color="auto" w:fill="D8D8D8"/>
          </w:tcPr>
          <w:p>
            <w:pPr>
              <w:spacing w:after="0"/>
              <w:rPr>
                <w:sz w:val="7"/>
                <w:szCs w:val="7"/>
                <w:color w:val="auto"/>
              </w:rPr>
            </w:pPr>
          </w:p>
        </w:tc>
        <w:tc>
          <w:tcPr>
            <w:tcW w:w="1060" w:type="dxa"/>
            <w:vAlign w:val="bottom"/>
            <w:shd w:val="clear" w:color="auto" w:fill="D8D8D8"/>
          </w:tcPr>
          <w:p>
            <w:pPr>
              <w:spacing w:after="0"/>
              <w:rPr>
                <w:sz w:val="7"/>
                <w:szCs w:val="7"/>
                <w:color w:val="auto"/>
              </w:rPr>
            </w:pPr>
          </w:p>
        </w:tc>
        <w:tc>
          <w:tcPr>
            <w:tcW w:w="160" w:type="dxa"/>
            <w:vAlign w:val="bottom"/>
            <w:shd w:val="clear" w:color="auto" w:fill="D8D8D8"/>
          </w:tcPr>
          <w:p>
            <w:pPr>
              <w:spacing w:after="0"/>
              <w:rPr>
                <w:sz w:val="7"/>
                <w:szCs w:val="7"/>
                <w:color w:val="auto"/>
              </w:rPr>
            </w:pPr>
          </w:p>
        </w:tc>
        <w:tc>
          <w:tcPr>
            <w:tcW w:w="880" w:type="dxa"/>
            <w:vAlign w:val="bottom"/>
            <w:shd w:val="clear" w:color="auto" w:fill="D8D8D8"/>
          </w:tcPr>
          <w:p>
            <w:pPr>
              <w:spacing w:after="0"/>
              <w:rPr>
                <w:sz w:val="7"/>
                <w:szCs w:val="7"/>
                <w:color w:val="auto"/>
              </w:rPr>
            </w:pPr>
          </w:p>
        </w:tc>
        <w:tc>
          <w:tcPr>
            <w:tcW w:w="1300" w:type="dxa"/>
            <w:vAlign w:val="bottom"/>
            <w:shd w:val="clear" w:color="auto" w:fill="D8D8D8"/>
          </w:tcPr>
          <w:p>
            <w:pPr>
              <w:spacing w:after="0"/>
              <w:rPr>
                <w:sz w:val="7"/>
                <w:szCs w:val="7"/>
                <w:color w:val="auto"/>
              </w:rPr>
            </w:pPr>
          </w:p>
        </w:tc>
        <w:tc>
          <w:tcPr>
            <w:tcW w:w="280" w:type="dxa"/>
            <w:vAlign w:val="bottom"/>
            <w:shd w:val="clear" w:color="auto" w:fill="D8D8D8"/>
          </w:tcPr>
          <w:p>
            <w:pPr>
              <w:spacing w:after="0"/>
              <w:rPr>
                <w:sz w:val="7"/>
                <w:szCs w:val="7"/>
                <w:color w:val="auto"/>
              </w:rPr>
            </w:pPr>
          </w:p>
        </w:tc>
        <w:tc>
          <w:tcPr>
            <w:tcW w:w="880" w:type="dxa"/>
            <w:vAlign w:val="bottom"/>
            <w:tcBorders>
              <w:right w:val="single" w:sz="8" w:color="7F7F7F"/>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460" w:type="dxa"/>
            <w:vAlign w:val="bottom"/>
            <w:tcBorders>
              <w:left w:val="single" w:sz="8" w:color="7F7F7F"/>
            </w:tcBorders>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1/27/2016</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69,700</w:t>
            </w:r>
          </w:p>
        </w:tc>
        <w:tc>
          <w:tcPr>
            <w:tcW w:w="1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83.29</w:t>
            </w:r>
          </w:p>
        </w:tc>
        <w:tc>
          <w:tcPr>
            <w:tcW w:w="820" w:type="dxa"/>
            <w:vAlign w:val="bottom"/>
          </w:tcPr>
          <w:p>
            <w:pPr>
              <w:jc w:val="right"/>
              <w:spacing w:after="0"/>
              <w:rPr>
                <w:sz w:val="20"/>
                <w:szCs w:val="20"/>
                <w:color w:val="auto"/>
              </w:rPr>
            </w:pPr>
            <w:r>
              <w:rPr>
                <w:rFonts w:ascii="Arial" w:cs="Arial" w:eastAsia="Arial" w:hAnsi="Arial"/>
                <w:sz w:val="14"/>
                <w:szCs w:val="14"/>
                <w:color w:val="auto"/>
              </w:rPr>
              <w:t>1/27/2026</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right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460" w:type="dxa"/>
            <w:vAlign w:val="bottom"/>
            <w:tcBorders>
              <w:left w:val="single" w:sz="8" w:color="7F7F7F"/>
            </w:tcBorders>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Borders>
              <w:right w:val="single" w:sz="8" w:color="7F7F7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1460" w:type="dxa"/>
            <w:vAlign w:val="bottom"/>
            <w:tcBorders>
              <w:left w:val="single" w:sz="8" w:color="7F7F7F"/>
            </w:tcBorders>
          </w:tcPr>
          <w:p>
            <w:pPr>
              <w:spacing w:after="0"/>
              <w:rPr>
                <w:sz w:val="21"/>
                <w:szCs w:val="21"/>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1/28/2015</w:t>
            </w:r>
          </w:p>
        </w:tc>
        <w:tc>
          <w:tcPr>
            <w:tcW w:w="102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47,700</w:t>
            </w:r>
          </w:p>
        </w:tc>
        <w:tc>
          <w:tcPr>
            <w:tcW w:w="1500" w:type="dxa"/>
            <w:vAlign w:val="bottom"/>
            <w:shd w:val="clear" w:color="auto" w:fill="D8D8D8"/>
          </w:tcPr>
          <w:p>
            <w:pPr>
              <w:spacing w:after="0"/>
              <w:rPr>
                <w:sz w:val="21"/>
                <w:szCs w:val="21"/>
                <w:color w:val="auto"/>
              </w:rPr>
            </w:pP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$ 103.71</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1/28/2025</w:t>
            </w:r>
          </w:p>
        </w:tc>
        <w:tc>
          <w:tcPr>
            <w:tcW w:w="1060" w:type="dxa"/>
            <w:vAlign w:val="bottom"/>
            <w:shd w:val="clear" w:color="auto" w:fill="D8D8D8"/>
          </w:tcPr>
          <w:p>
            <w:pPr>
              <w:spacing w:after="0"/>
              <w:rPr>
                <w:sz w:val="21"/>
                <w:szCs w:val="21"/>
                <w:color w:val="auto"/>
              </w:rPr>
            </w:pPr>
          </w:p>
        </w:tc>
        <w:tc>
          <w:tcPr>
            <w:tcW w:w="160" w:type="dxa"/>
            <w:vAlign w:val="bottom"/>
            <w:shd w:val="clear" w:color="auto" w:fill="D8D8D8"/>
          </w:tcPr>
          <w:p>
            <w:pPr>
              <w:spacing w:after="0"/>
              <w:rPr>
                <w:sz w:val="21"/>
                <w:szCs w:val="21"/>
                <w:color w:val="auto"/>
              </w:rPr>
            </w:pPr>
          </w:p>
        </w:tc>
        <w:tc>
          <w:tcPr>
            <w:tcW w:w="880" w:type="dxa"/>
            <w:vAlign w:val="bottom"/>
            <w:shd w:val="clear" w:color="auto" w:fill="D8D8D8"/>
          </w:tcPr>
          <w:p>
            <w:pPr>
              <w:spacing w:after="0"/>
              <w:rPr>
                <w:sz w:val="21"/>
                <w:szCs w:val="21"/>
                <w:color w:val="auto"/>
              </w:rPr>
            </w:pPr>
          </w:p>
        </w:tc>
        <w:tc>
          <w:tcPr>
            <w:tcW w:w="1300" w:type="dxa"/>
            <w:vAlign w:val="bottom"/>
            <w:shd w:val="clear" w:color="auto" w:fill="D8D8D8"/>
          </w:tcPr>
          <w:p>
            <w:pPr>
              <w:spacing w:after="0"/>
              <w:rPr>
                <w:sz w:val="21"/>
                <w:szCs w:val="21"/>
                <w:color w:val="auto"/>
              </w:rPr>
            </w:pPr>
          </w:p>
        </w:tc>
        <w:tc>
          <w:tcPr>
            <w:tcW w:w="280" w:type="dxa"/>
            <w:vAlign w:val="bottom"/>
            <w:shd w:val="clear" w:color="auto" w:fill="D8D8D8"/>
          </w:tcPr>
          <w:p>
            <w:pPr>
              <w:spacing w:after="0"/>
              <w:rPr>
                <w:sz w:val="21"/>
                <w:szCs w:val="21"/>
                <w:color w:val="auto"/>
              </w:rPr>
            </w:pPr>
          </w:p>
        </w:tc>
        <w:tc>
          <w:tcPr>
            <w:tcW w:w="880" w:type="dxa"/>
            <w:vAlign w:val="bottom"/>
            <w:tcBorders>
              <w:right w:val="single" w:sz="8" w:color="7F7F7F"/>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1460" w:type="dxa"/>
            <w:vAlign w:val="bottom"/>
            <w:tcBorders>
              <w:left w:val="single" w:sz="8" w:color="7F7F7F"/>
            </w:tcBorders>
          </w:tcPr>
          <w:p>
            <w:pPr>
              <w:spacing w:after="0"/>
              <w:rPr>
                <w:sz w:val="7"/>
                <w:szCs w:val="7"/>
                <w:color w:val="auto"/>
              </w:rPr>
            </w:pPr>
          </w:p>
        </w:tc>
        <w:tc>
          <w:tcPr>
            <w:tcW w:w="880" w:type="dxa"/>
            <w:vAlign w:val="bottom"/>
            <w:shd w:val="clear" w:color="auto" w:fill="D8D8D8"/>
          </w:tcPr>
          <w:p>
            <w:pPr>
              <w:spacing w:after="0"/>
              <w:rPr>
                <w:sz w:val="7"/>
                <w:szCs w:val="7"/>
                <w:color w:val="auto"/>
              </w:rPr>
            </w:pPr>
          </w:p>
        </w:tc>
        <w:tc>
          <w:tcPr>
            <w:tcW w:w="1020" w:type="dxa"/>
            <w:vAlign w:val="bottom"/>
            <w:shd w:val="clear" w:color="auto" w:fill="D8D8D8"/>
          </w:tcPr>
          <w:p>
            <w:pPr>
              <w:spacing w:after="0"/>
              <w:rPr>
                <w:sz w:val="7"/>
                <w:szCs w:val="7"/>
                <w:color w:val="auto"/>
              </w:rPr>
            </w:pPr>
          </w:p>
        </w:tc>
        <w:tc>
          <w:tcPr>
            <w:tcW w:w="1500" w:type="dxa"/>
            <w:vAlign w:val="bottom"/>
            <w:shd w:val="clear" w:color="auto" w:fill="D8D8D8"/>
          </w:tcPr>
          <w:p>
            <w:pPr>
              <w:spacing w:after="0"/>
              <w:rPr>
                <w:sz w:val="7"/>
                <w:szCs w:val="7"/>
                <w:color w:val="auto"/>
              </w:rPr>
            </w:pPr>
          </w:p>
        </w:tc>
        <w:tc>
          <w:tcPr>
            <w:tcW w:w="800" w:type="dxa"/>
            <w:vAlign w:val="bottom"/>
            <w:shd w:val="clear" w:color="auto" w:fill="D8D8D8"/>
          </w:tcPr>
          <w:p>
            <w:pPr>
              <w:spacing w:after="0"/>
              <w:rPr>
                <w:sz w:val="7"/>
                <w:szCs w:val="7"/>
                <w:color w:val="auto"/>
              </w:rPr>
            </w:pPr>
          </w:p>
        </w:tc>
        <w:tc>
          <w:tcPr>
            <w:tcW w:w="820" w:type="dxa"/>
            <w:vAlign w:val="bottom"/>
            <w:shd w:val="clear" w:color="auto" w:fill="D8D8D8"/>
          </w:tcPr>
          <w:p>
            <w:pPr>
              <w:spacing w:after="0"/>
              <w:rPr>
                <w:sz w:val="7"/>
                <w:szCs w:val="7"/>
                <w:color w:val="auto"/>
              </w:rPr>
            </w:pPr>
          </w:p>
        </w:tc>
        <w:tc>
          <w:tcPr>
            <w:tcW w:w="1060" w:type="dxa"/>
            <w:vAlign w:val="bottom"/>
            <w:shd w:val="clear" w:color="auto" w:fill="D8D8D8"/>
          </w:tcPr>
          <w:p>
            <w:pPr>
              <w:spacing w:after="0"/>
              <w:rPr>
                <w:sz w:val="7"/>
                <w:szCs w:val="7"/>
                <w:color w:val="auto"/>
              </w:rPr>
            </w:pPr>
          </w:p>
        </w:tc>
        <w:tc>
          <w:tcPr>
            <w:tcW w:w="160" w:type="dxa"/>
            <w:vAlign w:val="bottom"/>
            <w:shd w:val="clear" w:color="auto" w:fill="D8D8D8"/>
          </w:tcPr>
          <w:p>
            <w:pPr>
              <w:spacing w:after="0"/>
              <w:rPr>
                <w:sz w:val="7"/>
                <w:szCs w:val="7"/>
                <w:color w:val="auto"/>
              </w:rPr>
            </w:pPr>
          </w:p>
        </w:tc>
        <w:tc>
          <w:tcPr>
            <w:tcW w:w="880" w:type="dxa"/>
            <w:vAlign w:val="bottom"/>
            <w:shd w:val="clear" w:color="auto" w:fill="D8D8D8"/>
          </w:tcPr>
          <w:p>
            <w:pPr>
              <w:spacing w:after="0"/>
              <w:rPr>
                <w:sz w:val="7"/>
                <w:szCs w:val="7"/>
                <w:color w:val="auto"/>
              </w:rPr>
            </w:pPr>
          </w:p>
        </w:tc>
        <w:tc>
          <w:tcPr>
            <w:tcW w:w="1300" w:type="dxa"/>
            <w:vAlign w:val="bottom"/>
            <w:shd w:val="clear" w:color="auto" w:fill="D8D8D8"/>
          </w:tcPr>
          <w:p>
            <w:pPr>
              <w:spacing w:after="0"/>
              <w:rPr>
                <w:sz w:val="7"/>
                <w:szCs w:val="7"/>
                <w:color w:val="auto"/>
              </w:rPr>
            </w:pPr>
          </w:p>
        </w:tc>
        <w:tc>
          <w:tcPr>
            <w:tcW w:w="280" w:type="dxa"/>
            <w:vAlign w:val="bottom"/>
            <w:shd w:val="clear" w:color="auto" w:fill="D8D8D8"/>
          </w:tcPr>
          <w:p>
            <w:pPr>
              <w:spacing w:after="0"/>
              <w:rPr>
                <w:sz w:val="7"/>
                <w:szCs w:val="7"/>
                <w:color w:val="auto"/>
              </w:rPr>
            </w:pPr>
          </w:p>
        </w:tc>
        <w:tc>
          <w:tcPr>
            <w:tcW w:w="880" w:type="dxa"/>
            <w:vAlign w:val="bottom"/>
            <w:tcBorders>
              <w:right w:val="single" w:sz="8" w:color="7F7F7F"/>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460" w:type="dxa"/>
            <w:vAlign w:val="bottom"/>
            <w:tcBorders>
              <w:left w:val="single" w:sz="8" w:color="7F7F7F"/>
            </w:tcBorders>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1/29/2014</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25,000</w:t>
            </w:r>
          </w:p>
        </w:tc>
        <w:tc>
          <w:tcPr>
            <w:tcW w:w="1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$ 116.00</w:t>
            </w:r>
          </w:p>
        </w:tc>
        <w:tc>
          <w:tcPr>
            <w:tcW w:w="820" w:type="dxa"/>
            <w:vAlign w:val="bottom"/>
          </w:tcPr>
          <w:p>
            <w:pPr>
              <w:jc w:val="right"/>
              <w:spacing w:after="0"/>
              <w:rPr>
                <w:sz w:val="20"/>
                <w:szCs w:val="20"/>
                <w:color w:val="auto"/>
              </w:rPr>
            </w:pPr>
            <w:r>
              <w:rPr>
                <w:rFonts w:ascii="Arial" w:cs="Arial" w:eastAsia="Arial" w:hAnsi="Arial"/>
                <w:sz w:val="14"/>
                <w:szCs w:val="14"/>
                <w:color w:val="auto"/>
              </w:rPr>
              <w:t>1/29/2024</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right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460" w:type="dxa"/>
            <w:vAlign w:val="bottom"/>
            <w:tcBorders>
              <w:left w:val="single" w:sz="8" w:color="7F7F7F"/>
            </w:tcBorders>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Borders>
              <w:right w:val="single" w:sz="8" w:color="7F7F7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1460" w:type="dxa"/>
            <w:vAlign w:val="bottom"/>
            <w:tcBorders>
              <w:left w:val="single" w:sz="8" w:color="7F7F7F"/>
            </w:tcBorders>
          </w:tcPr>
          <w:p>
            <w:pPr>
              <w:spacing w:after="0"/>
              <w:rPr>
                <w:sz w:val="21"/>
                <w:szCs w:val="21"/>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1/30/2013</w:t>
            </w:r>
          </w:p>
        </w:tc>
        <w:tc>
          <w:tcPr>
            <w:tcW w:w="102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29,500</w:t>
            </w:r>
          </w:p>
        </w:tc>
        <w:tc>
          <w:tcPr>
            <w:tcW w:w="1500" w:type="dxa"/>
            <w:vAlign w:val="bottom"/>
            <w:shd w:val="clear" w:color="auto" w:fill="D8D8D8"/>
          </w:tcPr>
          <w:p>
            <w:pPr>
              <w:spacing w:after="0"/>
              <w:rPr>
                <w:sz w:val="21"/>
                <w:szCs w:val="21"/>
                <w:color w:val="auto"/>
              </w:rPr>
            </w:pP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$ 116.45</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1/30/2023</w:t>
            </w:r>
          </w:p>
        </w:tc>
        <w:tc>
          <w:tcPr>
            <w:tcW w:w="1060" w:type="dxa"/>
            <w:vAlign w:val="bottom"/>
            <w:shd w:val="clear" w:color="auto" w:fill="D8D8D8"/>
          </w:tcPr>
          <w:p>
            <w:pPr>
              <w:spacing w:after="0"/>
              <w:rPr>
                <w:sz w:val="21"/>
                <w:szCs w:val="21"/>
                <w:color w:val="auto"/>
              </w:rPr>
            </w:pPr>
          </w:p>
        </w:tc>
        <w:tc>
          <w:tcPr>
            <w:tcW w:w="160" w:type="dxa"/>
            <w:vAlign w:val="bottom"/>
            <w:shd w:val="clear" w:color="auto" w:fill="D8D8D8"/>
          </w:tcPr>
          <w:p>
            <w:pPr>
              <w:spacing w:after="0"/>
              <w:rPr>
                <w:sz w:val="21"/>
                <w:szCs w:val="21"/>
                <w:color w:val="auto"/>
              </w:rPr>
            </w:pPr>
          </w:p>
        </w:tc>
        <w:tc>
          <w:tcPr>
            <w:tcW w:w="880" w:type="dxa"/>
            <w:vAlign w:val="bottom"/>
            <w:shd w:val="clear" w:color="auto" w:fill="D8D8D8"/>
          </w:tcPr>
          <w:p>
            <w:pPr>
              <w:spacing w:after="0"/>
              <w:rPr>
                <w:sz w:val="21"/>
                <w:szCs w:val="21"/>
                <w:color w:val="auto"/>
              </w:rPr>
            </w:pPr>
          </w:p>
        </w:tc>
        <w:tc>
          <w:tcPr>
            <w:tcW w:w="1300" w:type="dxa"/>
            <w:vAlign w:val="bottom"/>
            <w:shd w:val="clear" w:color="auto" w:fill="D8D8D8"/>
          </w:tcPr>
          <w:p>
            <w:pPr>
              <w:spacing w:after="0"/>
              <w:rPr>
                <w:sz w:val="21"/>
                <w:szCs w:val="21"/>
                <w:color w:val="auto"/>
              </w:rPr>
            </w:pPr>
          </w:p>
        </w:tc>
        <w:tc>
          <w:tcPr>
            <w:tcW w:w="280" w:type="dxa"/>
            <w:vAlign w:val="bottom"/>
            <w:shd w:val="clear" w:color="auto" w:fill="D8D8D8"/>
          </w:tcPr>
          <w:p>
            <w:pPr>
              <w:spacing w:after="0"/>
              <w:rPr>
                <w:sz w:val="21"/>
                <w:szCs w:val="21"/>
                <w:color w:val="auto"/>
              </w:rPr>
            </w:pPr>
          </w:p>
        </w:tc>
        <w:tc>
          <w:tcPr>
            <w:tcW w:w="880" w:type="dxa"/>
            <w:vAlign w:val="bottom"/>
            <w:tcBorders>
              <w:right w:val="single" w:sz="8" w:color="7F7F7F"/>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1460" w:type="dxa"/>
            <w:vAlign w:val="bottom"/>
            <w:tcBorders>
              <w:left w:val="single" w:sz="8" w:color="7F7F7F"/>
              <w:bottom w:val="single" w:sz="8" w:color="7F7F7F"/>
            </w:tcBorders>
          </w:tcPr>
          <w:p>
            <w:pPr>
              <w:spacing w:after="0"/>
              <w:rPr>
                <w:sz w:val="7"/>
                <w:szCs w:val="7"/>
                <w:color w:val="auto"/>
              </w:rPr>
            </w:pPr>
          </w:p>
        </w:tc>
        <w:tc>
          <w:tcPr>
            <w:tcW w:w="880" w:type="dxa"/>
            <w:vAlign w:val="bottom"/>
            <w:tcBorders>
              <w:bottom w:val="single" w:sz="8" w:color="7F7F7F"/>
            </w:tcBorders>
            <w:shd w:val="clear" w:color="auto" w:fill="D8D8D8"/>
          </w:tcPr>
          <w:p>
            <w:pPr>
              <w:spacing w:after="0"/>
              <w:rPr>
                <w:sz w:val="7"/>
                <w:szCs w:val="7"/>
                <w:color w:val="auto"/>
              </w:rPr>
            </w:pPr>
          </w:p>
        </w:tc>
        <w:tc>
          <w:tcPr>
            <w:tcW w:w="1020" w:type="dxa"/>
            <w:vAlign w:val="bottom"/>
            <w:tcBorders>
              <w:bottom w:val="single" w:sz="8" w:color="7F7F7F"/>
            </w:tcBorders>
            <w:shd w:val="clear" w:color="auto" w:fill="D8D8D8"/>
          </w:tcPr>
          <w:p>
            <w:pPr>
              <w:spacing w:after="0"/>
              <w:rPr>
                <w:sz w:val="7"/>
                <w:szCs w:val="7"/>
                <w:color w:val="auto"/>
              </w:rPr>
            </w:pPr>
          </w:p>
        </w:tc>
        <w:tc>
          <w:tcPr>
            <w:tcW w:w="1500" w:type="dxa"/>
            <w:vAlign w:val="bottom"/>
            <w:tcBorders>
              <w:bottom w:val="single" w:sz="8" w:color="7F7F7F"/>
            </w:tcBorders>
            <w:shd w:val="clear" w:color="auto" w:fill="D8D8D8"/>
          </w:tcPr>
          <w:p>
            <w:pPr>
              <w:spacing w:after="0"/>
              <w:rPr>
                <w:sz w:val="7"/>
                <w:szCs w:val="7"/>
                <w:color w:val="auto"/>
              </w:rPr>
            </w:pPr>
          </w:p>
        </w:tc>
        <w:tc>
          <w:tcPr>
            <w:tcW w:w="800" w:type="dxa"/>
            <w:vAlign w:val="bottom"/>
            <w:tcBorders>
              <w:bottom w:val="single" w:sz="8" w:color="7F7F7F"/>
            </w:tcBorders>
            <w:shd w:val="clear" w:color="auto" w:fill="D8D8D8"/>
          </w:tcPr>
          <w:p>
            <w:pPr>
              <w:spacing w:after="0"/>
              <w:rPr>
                <w:sz w:val="7"/>
                <w:szCs w:val="7"/>
                <w:color w:val="auto"/>
              </w:rPr>
            </w:pPr>
          </w:p>
        </w:tc>
        <w:tc>
          <w:tcPr>
            <w:tcW w:w="820" w:type="dxa"/>
            <w:vAlign w:val="bottom"/>
            <w:tcBorders>
              <w:bottom w:val="single" w:sz="8" w:color="7F7F7F"/>
            </w:tcBorders>
            <w:shd w:val="clear" w:color="auto" w:fill="D8D8D8"/>
          </w:tcPr>
          <w:p>
            <w:pPr>
              <w:spacing w:after="0"/>
              <w:rPr>
                <w:sz w:val="7"/>
                <w:szCs w:val="7"/>
                <w:color w:val="auto"/>
              </w:rPr>
            </w:pPr>
          </w:p>
        </w:tc>
        <w:tc>
          <w:tcPr>
            <w:tcW w:w="1060" w:type="dxa"/>
            <w:vAlign w:val="bottom"/>
            <w:tcBorders>
              <w:bottom w:val="single" w:sz="8" w:color="7F7F7F"/>
            </w:tcBorders>
            <w:shd w:val="clear" w:color="auto" w:fill="D8D8D8"/>
          </w:tcPr>
          <w:p>
            <w:pPr>
              <w:spacing w:after="0"/>
              <w:rPr>
                <w:sz w:val="7"/>
                <w:szCs w:val="7"/>
                <w:color w:val="auto"/>
              </w:rPr>
            </w:pPr>
          </w:p>
        </w:tc>
        <w:tc>
          <w:tcPr>
            <w:tcW w:w="160" w:type="dxa"/>
            <w:vAlign w:val="bottom"/>
            <w:tcBorders>
              <w:bottom w:val="single" w:sz="8" w:color="7F7F7F"/>
            </w:tcBorders>
            <w:shd w:val="clear" w:color="auto" w:fill="D8D8D8"/>
          </w:tcPr>
          <w:p>
            <w:pPr>
              <w:spacing w:after="0"/>
              <w:rPr>
                <w:sz w:val="7"/>
                <w:szCs w:val="7"/>
                <w:color w:val="auto"/>
              </w:rPr>
            </w:pPr>
          </w:p>
        </w:tc>
        <w:tc>
          <w:tcPr>
            <w:tcW w:w="880" w:type="dxa"/>
            <w:vAlign w:val="bottom"/>
            <w:tcBorders>
              <w:bottom w:val="single" w:sz="8" w:color="7F7F7F"/>
            </w:tcBorders>
            <w:shd w:val="clear" w:color="auto" w:fill="D8D8D8"/>
          </w:tcPr>
          <w:p>
            <w:pPr>
              <w:spacing w:after="0"/>
              <w:rPr>
                <w:sz w:val="7"/>
                <w:szCs w:val="7"/>
                <w:color w:val="auto"/>
              </w:rPr>
            </w:pPr>
          </w:p>
        </w:tc>
        <w:tc>
          <w:tcPr>
            <w:tcW w:w="1300" w:type="dxa"/>
            <w:vAlign w:val="bottom"/>
            <w:tcBorders>
              <w:bottom w:val="single" w:sz="8" w:color="7F7F7F"/>
            </w:tcBorders>
            <w:shd w:val="clear" w:color="auto" w:fill="D8D8D8"/>
          </w:tcPr>
          <w:p>
            <w:pPr>
              <w:spacing w:after="0"/>
              <w:rPr>
                <w:sz w:val="7"/>
                <w:szCs w:val="7"/>
                <w:color w:val="auto"/>
              </w:rPr>
            </w:pPr>
          </w:p>
        </w:tc>
        <w:tc>
          <w:tcPr>
            <w:tcW w:w="280" w:type="dxa"/>
            <w:vAlign w:val="bottom"/>
            <w:tcBorders>
              <w:bottom w:val="single" w:sz="8" w:color="7F7F7F"/>
            </w:tcBorders>
            <w:shd w:val="clear" w:color="auto" w:fill="D8D8D8"/>
          </w:tcPr>
          <w:p>
            <w:pPr>
              <w:spacing w:after="0"/>
              <w:rPr>
                <w:sz w:val="7"/>
                <w:szCs w:val="7"/>
                <w:color w:val="auto"/>
              </w:rPr>
            </w:pPr>
          </w:p>
        </w:tc>
        <w:tc>
          <w:tcPr>
            <w:tcW w:w="880" w:type="dxa"/>
            <w:vAlign w:val="bottom"/>
            <w:tcBorders>
              <w:bottom w:val="single" w:sz="8" w:color="7F7F7F"/>
              <w:right w:val="single" w:sz="8" w:color="7F7F7F"/>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-4397375</wp:posOffset>
            </wp:positionV>
            <wp:extent cx="600900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09005" cy="8890"/>
                    </a:xfrm>
                    <a:prstGeom prst="rect">
                      <a:avLst/>
                    </a:prstGeom>
                    <a:noFill/>
                  </pic:spPr>
                </pic:pic>
              </a:graphicData>
            </a:graphic>
          </wp:anchor>
        </w:drawing>
      </w:r>
    </w:p>
    <w:p>
      <w:pPr>
        <w:spacing w:after="0" w:line="38" w:lineRule="exact"/>
        <w:rPr>
          <w:sz w:val="20"/>
          <w:szCs w:val="20"/>
          <w:color w:val="auto"/>
        </w:rPr>
      </w:pPr>
    </w:p>
    <w:p>
      <w:pPr>
        <w:ind w:left="540" w:right="20" w:hanging="424"/>
        <w:spacing w:after="0" w:line="256" w:lineRule="auto"/>
        <w:tabs>
          <w:tab w:leader="none" w:pos="5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Termination for reasons other than for misconduct may result in full or partial vesting of awards granted under the LTIP. Full or partial vesting depends upon the sum of an NEO’s age plus their years of service. This policy is a reflection of our belief that the LTIP should be designed to encourage retention and support long-term employment. For a description of the effect of this policy on the outstanding LTIP awards of our NEOs, refer to the “Potential Payments Upon Termination or Change-in-Control” section of this Proxy Statement.</w:t>
      </w:r>
    </w:p>
    <w:p>
      <w:pPr>
        <w:spacing w:after="0" w:line="28" w:lineRule="exact"/>
        <w:rPr>
          <w:rFonts w:ascii="Arial" w:cs="Arial" w:eastAsia="Arial" w:hAnsi="Arial"/>
          <w:sz w:val="14"/>
          <w:szCs w:val="14"/>
          <w:color w:val="auto"/>
        </w:rPr>
      </w:pPr>
    </w:p>
    <w:p>
      <w:pPr>
        <w:ind w:left="540" w:right="360" w:hanging="424"/>
        <w:spacing w:after="0" w:line="263" w:lineRule="auto"/>
        <w:tabs>
          <w:tab w:leader="none" w:pos="5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Stock options have a 10-year term. 2016 and earlier grants vest at the rate of one-third per year, with vesting occurring on the first, second, and third annual anniversary of the grant date. For 2017 and later grants, one-third vests each January 31, starting with the January 31 that is at least one year following the grant date. Stock option awards do not accrue dividends or dividend equivalents.</w:t>
      </w:r>
    </w:p>
    <w:p>
      <w:pPr>
        <w:spacing w:after="0" w:line="24" w:lineRule="exact"/>
        <w:rPr>
          <w:rFonts w:ascii="Arial" w:cs="Arial" w:eastAsia="Arial" w:hAnsi="Arial"/>
          <w:sz w:val="14"/>
          <w:szCs w:val="14"/>
          <w:color w:val="auto"/>
        </w:rPr>
      </w:pPr>
    </w:p>
    <w:p>
      <w:pPr>
        <w:ind w:left="540" w:right="80" w:hanging="424"/>
        <w:spacing w:after="0" w:line="285" w:lineRule="auto"/>
        <w:tabs>
          <w:tab w:leader="none" w:pos="5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Represents unvested RSUs and dividend equivalents, rounded to whole units, that are paid out in cash at the end of the five-year vesting period. For Mr. Geagea, the 2021 amount also includes additional RSU awards, that are paid out in cash at the end of the three-year vesting period.</w:t>
      </w:r>
    </w:p>
    <w:p>
      <w:pPr>
        <w:spacing w:after="0" w:line="9" w:lineRule="exact"/>
        <w:rPr>
          <w:rFonts w:ascii="Arial" w:cs="Arial" w:eastAsia="Arial" w:hAnsi="Arial"/>
          <w:sz w:val="14"/>
          <w:szCs w:val="14"/>
          <w:color w:val="auto"/>
        </w:rPr>
      </w:pPr>
    </w:p>
    <w:p>
      <w:pPr>
        <w:ind w:left="540" w:right="420" w:hanging="424"/>
        <w:spacing w:after="0" w:line="285" w:lineRule="auto"/>
        <w:tabs>
          <w:tab w:leader="none" w:pos="5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Market value is based upon number of RSUs that have not been vested or released, including, when applicable, dividend equivalents, multiplied by $117.35, the closing price of Chevron common stock on December 31, 2021.</w:t>
      </w:r>
    </w:p>
    <w:p>
      <w:pPr>
        <w:spacing w:after="0" w:line="9" w:lineRule="exact"/>
        <w:rPr>
          <w:rFonts w:ascii="Arial" w:cs="Arial" w:eastAsia="Arial" w:hAnsi="Arial"/>
          <w:sz w:val="14"/>
          <w:szCs w:val="14"/>
          <w:color w:val="auto"/>
        </w:rPr>
      </w:pPr>
    </w:p>
    <w:p>
      <w:pPr>
        <w:ind w:left="540" w:right="200" w:hanging="424"/>
        <w:spacing w:after="0" w:line="263" w:lineRule="auto"/>
        <w:tabs>
          <w:tab w:leader="none" w:pos="5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Represents performance shares and dividend equivalents, rounded to whole shares, that vest and are paid out in cash at the end of the applicable three-year performance period. The estimated shares for the 2020 grant are based upon a 160% performance modifier, and the estimated shares for the 2021 grant are based upon a 200% performance modifier.</w:t>
      </w:r>
    </w:p>
    <w:p>
      <w:pPr>
        <w:spacing w:after="0" w:line="24" w:lineRule="exact"/>
        <w:rPr>
          <w:rFonts w:ascii="Arial" w:cs="Arial" w:eastAsia="Arial" w:hAnsi="Arial"/>
          <w:sz w:val="14"/>
          <w:szCs w:val="14"/>
          <w:color w:val="auto"/>
        </w:rPr>
      </w:pPr>
    </w:p>
    <w:p>
      <w:pPr>
        <w:ind w:left="540" w:right="260" w:hanging="424"/>
        <w:spacing w:after="0" w:line="252" w:lineRule="auto"/>
        <w:tabs>
          <w:tab w:leader="none" w:pos="5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Represents the estimated cash payout value of performance shares based upon the number of performance shares, including dividend equivalents, multiplied by $117.35 the closing price of Chevron common stock on December 31, 2021. The estimated payout value for the 2020 grant is based upon a 160% performance modifier and the estimated shares for the 2021 grant is based upon a 200% performance modifier. The estimated payout value may not necessarily reflect the final payout. The final payout will be calculated in the manner described in footnote 2 to the “Option Exercises and Stock Vested in Fiscal Year 2021” table in this Proxy Statement.</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67</w:t>
      </w:r>
    </w:p>
    <w:p>
      <w:pPr>
        <w:sectPr>
          <w:pgSz w:w="11900" w:h="16838" w:orient="portrait"/>
          <w:cols w:equalWidth="0" w:num="1">
            <w:col w:w="11140"/>
          </w:cols>
          <w:pgMar w:left="320" w:top="455" w:right="4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405890" cy="1454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405890" cy="145415"/>
                    </a:xfrm>
                    <a:prstGeom prst="rect">
                      <a:avLst/>
                    </a:prstGeom>
                    <a:noFill/>
                  </pic:spPr>
                </pic:pic>
              </a:graphicData>
            </a:graphic>
          </wp:anchor>
        </w:drawing>
      </w:r>
    </w:p>
    <w:p>
      <w:pPr>
        <w:spacing w:after="0" w:line="33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Executive compensation</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0B2D71"/>
        </w:rPr>
        <w:t>Option exercises and stock vested in fiscal year 2021</w:t>
      </w:r>
    </w:p>
    <w:p>
      <w:pPr>
        <w:spacing w:after="0" w:line="209"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The following table sets forth information concerning the cash value realized by each of our NEOs upon exercise of stock options; vesting of performance share and restricted stock unit awards in 2021; and withholding of portions of unvested restricted stock unit awards to pay taxes.</w:t>
      </w:r>
    </w:p>
    <w:p>
      <w:pPr>
        <w:spacing w:after="0" w:line="170" w:lineRule="exact"/>
        <w:rPr>
          <w:sz w:val="20"/>
          <w:szCs w:val="20"/>
          <w:color w:val="auto"/>
        </w:rPr>
      </w:pPr>
    </w:p>
    <w:tbl>
      <w:tblPr>
        <w:tblLayout w:type="fixed"/>
        <w:tblInd w:w="130" w:type="dxa"/>
        <w:tblCellMar>
          <w:top w:w="0" w:type="dxa"/>
          <w:left w:w="0" w:type="dxa"/>
          <w:bottom w:w="0" w:type="dxa"/>
          <w:right w:w="0" w:type="dxa"/>
        </w:tblCellMar>
      </w:tblPr>
      <w:tr>
        <w:trPr>
          <w:trHeight w:val="257"/>
        </w:trPr>
        <w:tc>
          <w:tcPr>
            <w:tcW w:w="1800" w:type="dxa"/>
            <w:vAlign w:val="bottom"/>
            <w:tcBorders>
              <w:left w:val="single" w:sz="8" w:color="7F7F7F"/>
            </w:tcBorders>
            <w:shd w:val="clear" w:color="auto" w:fill="0066B2"/>
          </w:tcPr>
          <w:p>
            <w:pPr>
              <w:spacing w:after="0"/>
              <w:rPr>
                <w:sz w:val="22"/>
                <w:szCs w:val="22"/>
                <w:color w:val="auto"/>
              </w:rPr>
            </w:pPr>
          </w:p>
        </w:tc>
        <w:tc>
          <w:tcPr>
            <w:tcW w:w="2480" w:type="dxa"/>
            <w:vAlign w:val="bottom"/>
            <w:shd w:val="clear" w:color="auto" w:fill="0066B2"/>
          </w:tcPr>
          <w:p>
            <w:pPr>
              <w:jc w:val="right"/>
              <w:ind w:right="85"/>
              <w:spacing w:after="0"/>
              <w:rPr>
                <w:sz w:val="20"/>
                <w:szCs w:val="20"/>
                <w:color w:val="auto"/>
              </w:rPr>
            </w:pPr>
            <w:r>
              <w:rPr>
                <w:rFonts w:ascii="Arial" w:cs="Arial" w:eastAsia="Arial" w:hAnsi="Arial"/>
                <w:sz w:val="16"/>
                <w:szCs w:val="16"/>
                <w:b w:val="1"/>
                <w:bCs w:val="1"/>
                <w:color w:val="FFFFFF"/>
              </w:rPr>
              <w:t>Options</w:t>
            </w:r>
          </w:p>
        </w:tc>
        <w:tc>
          <w:tcPr>
            <w:tcW w:w="260" w:type="dxa"/>
            <w:vAlign w:val="bottom"/>
            <w:shd w:val="clear" w:color="auto" w:fill="0066B2"/>
          </w:tcPr>
          <w:p>
            <w:pPr>
              <w:spacing w:after="0"/>
              <w:rPr>
                <w:sz w:val="22"/>
                <w:szCs w:val="22"/>
                <w:color w:val="auto"/>
              </w:rPr>
            </w:pPr>
          </w:p>
        </w:tc>
        <w:tc>
          <w:tcPr>
            <w:tcW w:w="1580" w:type="dxa"/>
            <w:vAlign w:val="bottom"/>
            <w:shd w:val="clear" w:color="auto" w:fill="0066B2"/>
          </w:tcPr>
          <w:p>
            <w:pPr>
              <w:spacing w:after="0"/>
              <w:rPr>
                <w:sz w:val="22"/>
                <w:szCs w:val="22"/>
                <w:color w:val="auto"/>
              </w:rPr>
            </w:pPr>
          </w:p>
        </w:tc>
        <w:tc>
          <w:tcPr>
            <w:tcW w:w="2840" w:type="dxa"/>
            <w:vAlign w:val="bottom"/>
            <w:shd w:val="clear" w:color="auto" w:fill="0066B2"/>
          </w:tcPr>
          <w:p>
            <w:pPr>
              <w:jc w:val="right"/>
              <w:spacing w:after="0"/>
              <w:rPr>
                <w:sz w:val="20"/>
                <w:szCs w:val="20"/>
                <w:color w:val="auto"/>
              </w:rPr>
            </w:pPr>
            <w:r>
              <w:rPr>
                <w:rFonts w:ascii="Arial" w:cs="Arial" w:eastAsia="Arial" w:hAnsi="Arial"/>
                <w:sz w:val="16"/>
                <w:szCs w:val="16"/>
                <w:b w:val="1"/>
                <w:bCs w:val="1"/>
                <w:color w:val="FFFFFF"/>
              </w:rPr>
              <w:t>Stock awards</w:t>
            </w:r>
          </w:p>
        </w:tc>
        <w:tc>
          <w:tcPr>
            <w:tcW w:w="120" w:type="dxa"/>
            <w:vAlign w:val="bottom"/>
            <w:shd w:val="clear" w:color="auto" w:fill="0066B2"/>
          </w:tcPr>
          <w:p>
            <w:pPr>
              <w:spacing w:after="0"/>
              <w:rPr>
                <w:sz w:val="22"/>
                <w:szCs w:val="22"/>
                <w:color w:val="auto"/>
              </w:rPr>
            </w:pPr>
          </w:p>
        </w:tc>
        <w:tc>
          <w:tcPr>
            <w:tcW w:w="1960" w:type="dxa"/>
            <w:vAlign w:val="bottom"/>
            <w:tcBorders>
              <w:right w:val="single" w:sz="8" w:color="7F7F7F"/>
            </w:tcBorders>
            <w:shd w:val="clear" w:color="auto" w:fill="0066B2"/>
          </w:tcPr>
          <w:p>
            <w:pPr>
              <w:spacing w:after="0"/>
              <w:rPr>
                <w:sz w:val="22"/>
                <w:szCs w:val="22"/>
                <w:color w:val="auto"/>
              </w:rPr>
            </w:pPr>
          </w:p>
        </w:tc>
      </w:tr>
      <w:tr>
        <w:trPr>
          <w:trHeight w:val="185"/>
        </w:trPr>
        <w:tc>
          <w:tcPr>
            <w:tcW w:w="1800" w:type="dxa"/>
            <w:vAlign w:val="bottom"/>
            <w:tcBorders>
              <w:left w:val="single" w:sz="8" w:color="7F7F7F"/>
            </w:tcBorders>
            <w:shd w:val="clear" w:color="auto" w:fill="0066B2"/>
          </w:tcPr>
          <w:p>
            <w:pPr>
              <w:spacing w:after="0"/>
              <w:rPr>
                <w:sz w:val="16"/>
                <w:szCs w:val="16"/>
                <w:color w:val="auto"/>
              </w:rPr>
            </w:pPr>
          </w:p>
        </w:tc>
        <w:tc>
          <w:tcPr>
            <w:tcW w:w="2480" w:type="dxa"/>
            <w:vAlign w:val="bottom"/>
            <w:shd w:val="clear" w:color="auto" w:fill="0066B2"/>
          </w:tcPr>
          <w:p>
            <w:pPr>
              <w:jc w:val="right"/>
              <w:ind w:right="725"/>
              <w:spacing w:after="0"/>
              <w:rPr>
                <w:sz w:val="20"/>
                <w:szCs w:val="20"/>
                <w:color w:val="auto"/>
              </w:rPr>
            </w:pPr>
            <w:r>
              <w:rPr>
                <w:rFonts w:ascii="Arial" w:cs="Arial" w:eastAsia="Arial" w:hAnsi="Arial"/>
                <w:sz w:val="16"/>
                <w:szCs w:val="16"/>
                <w:b w:val="1"/>
                <w:bCs w:val="1"/>
                <w:color w:val="FFFFFF"/>
              </w:rPr>
              <w:t>Number of shares</w:t>
            </w:r>
          </w:p>
        </w:tc>
        <w:tc>
          <w:tcPr>
            <w:tcW w:w="1840" w:type="dxa"/>
            <w:vAlign w:val="bottom"/>
            <w:gridSpan w:val="2"/>
            <w:shd w:val="clear" w:color="auto" w:fill="0066B2"/>
          </w:tcPr>
          <w:p>
            <w:pPr>
              <w:ind w:left="160"/>
              <w:spacing w:after="0"/>
              <w:rPr>
                <w:sz w:val="20"/>
                <w:szCs w:val="20"/>
                <w:color w:val="auto"/>
              </w:rPr>
            </w:pPr>
            <w:r>
              <w:rPr>
                <w:rFonts w:ascii="Arial" w:cs="Arial" w:eastAsia="Arial" w:hAnsi="Arial"/>
                <w:sz w:val="16"/>
                <w:szCs w:val="16"/>
                <w:b w:val="1"/>
                <w:bCs w:val="1"/>
                <w:color w:val="FFFFFF"/>
              </w:rPr>
              <w:t>Value realized on</w:t>
            </w:r>
          </w:p>
        </w:tc>
        <w:tc>
          <w:tcPr>
            <w:tcW w:w="2840" w:type="dxa"/>
            <w:vAlign w:val="bottom"/>
            <w:shd w:val="clear" w:color="auto" w:fill="0066B2"/>
          </w:tcPr>
          <w:p>
            <w:pPr>
              <w:jc w:val="right"/>
              <w:ind w:right="825"/>
              <w:spacing w:after="0"/>
              <w:rPr>
                <w:sz w:val="20"/>
                <w:szCs w:val="20"/>
                <w:color w:val="auto"/>
              </w:rPr>
            </w:pPr>
            <w:r>
              <w:rPr>
                <w:rFonts w:ascii="Arial" w:cs="Arial" w:eastAsia="Arial" w:hAnsi="Arial"/>
                <w:sz w:val="16"/>
                <w:szCs w:val="16"/>
                <w:b w:val="1"/>
                <w:bCs w:val="1"/>
                <w:color w:val="FFFFFF"/>
              </w:rPr>
              <w:t>Number of shares</w:t>
            </w:r>
          </w:p>
        </w:tc>
        <w:tc>
          <w:tcPr>
            <w:tcW w:w="120" w:type="dxa"/>
            <w:vAlign w:val="bottom"/>
            <w:shd w:val="clear" w:color="auto" w:fill="0066B2"/>
          </w:tcPr>
          <w:p>
            <w:pPr>
              <w:spacing w:after="0"/>
              <w:rPr>
                <w:sz w:val="16"/>
                <w:szCs w:val="16"/>
                <w:color w:val="auto"/>
              </w:rPr>
            </w:pPr>
          </w:p>
        </w:tc>
        <w:tc>
          <w:tcPr>
            <w:tcW w:w="1960" w:type="dxa"/>
            <w:vAlign w:val="bottom"/>
            <w:tcBorders>
              <w:right w:val="single" w:sz="8" w:color="7F7F7F"/>
            </w:tcBorders>
            <w:shd w:val="clear" w:color="auto" w:fill="0066B2"/>
          </w:tcPr>
          <w:p>
            <w:pPr>
              <w:jc w:val="right"/>
              <w:ind w:right="807"/>
              <w:spacing w:after="0"/>
              <w:rPr>
                <w:sz w:val="20"/>
                <w:szCs w:val="20"/>
                <w:color w:val="auto"/>
              </w:rPr>
            </w:pPr>
            <w:r>
              <w:rPr>
                <w:rFonts w:ascii="Arial" w:cs="Arial" w:eastAsia="Arial" w:hAnsi="Arial"/>
                <w:sz w:val="16"/>
                <w:szCs w:val="16"/>
                <w:b w:val="1"/>
                <w:bCs w:val="1"/>
                <w:color w:val="FFFFFF"/>
                <w:w w:val="99"/>
              </w:rPr>
              <w:t>Value realized</w:t>
            </w:r>
          </w:p>
        </w:tc>
      </w:tr>
      <w:tr>
        <w:trPr>
          <w:trHeight w:val="233"/>
        </w:trPr>
        <w:tc>
          <w:tcPr>
            <w:tcW w:w="1800" w:type="dxa"/>
            <w:vAlign w:val="bottom"/>
            <w:tcBorders>
              <w:left w:val="single" w:sz="8" w:color="7F7F7F"/>
            </w:tcBorders>
            <w:shd w:val="clear" w:color="auto" w:fill="0066B2"/>
          </w:tcPr>
          <w:p>
            <w:pPr>
              <w:ind w:left="160"/>
              <w:spacing w:after="0"/>
              <w:rPr>
                <w:sz w:val="20"/>
                <w:szCs w:val="20"/>
                <w:color w:val="auto"/>
              </w:rPr>
            </w:pPr>
            <w:r>
              <w:rPr>
                <w:rFonts w:ascii="Arial" w:cs="Arial" w:eastAsia="Arial" w:hAnsi="Arial"/>
                <w:sz w:val="16"/>
                <w:szCs w:val="16"/>
                <w:b w:val="1"/>
                <w:bCs w:val="1"/>
                <w:color w:val="FFFFFF"/>
              </w:rPr>
              <w:t>Name</w:t>
            </w:r>
          </w:p>
        </w:tc>
        <w:tc>
          <w:tcPr>
            <w:tcW w:w="2480" w:type="dxa"/>
            <w:vAlign w:val="bottom"/>
            <w:shd w:val="clear" w:color="auto" w:fill="0066B2"/>
          </w:tcPr>
          <w:p>
            <w:pPr>
              <w:jc w:val="right"/>
              <w:ind w:right="485"/>
              <w:spacing w:after="0"/>
              <w:rPr>
                <w:sz w:val="20"/>
                <w:szCs w:val="20"/>
                <w:color w:val="auto"/>
              </w:rPr>
            </w:pPr>
            <w:r>
              <w:rPr>
                <w:rFonts w:ascii="Arial" w:cs="Arial" w:eastAsia="Arial" w:hAnsi="Arial"/>
                <w:sz w:val="16"/>
                <w:szCs w:val="16"/>
                <w:b w:val="1"/>
                <w:bCs w:val="1"/>
                <w:color w:val="FFFFFF"/>
              </w:rPr>
              <w:t>acquired on exercise (#)</w:t>
            </w:r>
          </w:p>
        </w:tc>
        <w:tc>
          <w:tcPr>
            <w:tcW w:w="260" w:type="dxa"/>
            <w:vAlign w:val="bottom"/>
            <w:shd w:val="clear" w:color="auto" w:fill="0066B2"/>
          </w:tcPr>
          <w:p>
            <w:pPr>
              <w:spacing w:after="0"/>
              <w:rPr>
                <w:sz w:val="20"/>
                <w:szCs w:val="20"/>
                <w:color w:val="auto"/>
              </w:rPr>
            </w:pPr>
          </w:p>
        </w:tc>
        <w:tc>
          <w:tcPr>
            <w:tcW w:w="1580" w:type="dxa"/>
            <w:vAlign w:val="bottom"/>
            <w:shd w:val="clear" w:color="auto" w:fill="0066B2"/>
          </w:tcPr>
          <w:p>
            <w:pPr>
              <w:ind w:left="20"/>
              <w:spacing w:after="0" w:line="233" w:lineRule="exact"/>
              <w:rPr>
                <w:sz w:val="20"/>
                <w:szCs w:val="20"/>
                <w:color w:val="auto"/>
              </w:rPr>
            </w:pPr>
            <w:r>
              <w:rPr>
                <w:rFonts w:ascii="Arial" w:cs="Arial" w:eastAsia="Arial" w:hAnsi="Arial"/>
                <w:sz w:val="16"/>
                <w:szCs w:val="16"/>
                <w:b w:val="1"/>
                <w:bCs w:val="1"/>
                <w:color w:val="FFFFFF"/>
              </w:rPr>
              <w:t>exercise ($)</w:t>
            </w:r>
            <w:r>
              <w:rPr>
                <w:rFonts w:ascii="Arial" w:cs="Arial" w:eastAsia="Arial" w:hAnsi="Arial"/>
                <w:sz w:val="27"/>
                <w:szCs w:val="27"/>
                <w:b w:val="1"/>
                <w:bCs w:val="1"/>
                <w:color w:val="FFFFFF"/>
                <w:vertAlign w:val="superscript"/>
              </w:rPr>
              <w:t>(1)</w:t>
            </w:r>
          </w:p>
        </w:tc>
        <w:tc>
          <w:tcPr>
            <w:tcW w:w="2840" w:type="dxa"/>
            <w:vAlign w:val="bottom"/>
            <w:shd w:val="clear" w:color="auto" w:fill="0066B2"/>
          </w:tcPr>
          <w:p>
            <w:pPr>
              <w:jc w:val="right"/>
              <w:ind w:right="625"/>
              <w:spacing w:after="0"/>
              <w:rPr>
                <w:sz w:val="20"/>
                <w:szCs w:val="20"/>
                <w:color w:val="auto"/>
              </w:rPr>
            </w:pPr>
            <w:r>
              <w:rPr>
                <w:rFonts w:ascii="Arial" w:cs="Arial" w:eastAsia="Arial" w:hAnsi="Arial"/>
                <w:sz w:val="16"/>
                <w:szCs w:val="16"/>
                <w:b w:val="1"/>
                <w:bCs w:val="1"/>
                <w:color w:val="FFFFFF"/>
              </w:rPr>
              <w:t>acquired on vesting (#)</w:t>
            </w:r>
          </w:p>
        </w:tc>
        <w:tc>
          <w:tcPr>
            <w:tcW w:w="2080" w:type="dxa"/>
            <w:vAlign w:val="bottom"/>
            <w:tcBorders>
              <w:right w:val="single" w:sz="8" w:color="7F7F7F"/>
            </w:tcBorders>
            <w:gridSpan w:val="2"/>
            <w:shd w:val="clear" w:color="auto" w:fill="0066B2"/>
          </w:tcPr>
          <w:p>
            <w:pPr>
              <w:ind w:left="40"/>
              <w:spacing w:after="0" w:line="233" w:lineRule="exact"/>
              <w:rPr>
                <w:sz w:val="20"/>
                <w:szCs w:val="20"/>
                <w:color w:val="auto"/>
              </w:rPr>
            </w:pPr>
            <w:r>
              <w:rPr>
                <w:rFonts w:ascii="Arial" w:cs="Arial" w:eastAsia="Arial" w:hAnsi="Arial"/>
                <w:sz w:val="16"/>
                <w:szCs w:val="16"/>
                <w:b w:val="1"/>
                <w:bCs w:val="1"/>
                <w:color w:val="FFFFFF"/>
              </w:rPr>
              <w:t>on vesting ($)</w:t>
            </w:r>
            <w:r>
              <w:rPr>
                <w:rFonts w:ascii="Arial" w:cs="Arial" w:eastAsia="Arial" w:hAnsi="Arial"/>
                <w:sz w:val="27"/>
                <w:szCs w:val="27"/>
                <w:b w:val="1"/>
                <w:bCs w:val="1"/>
                <w:color w:val="FFFFFF"/>
                <w:vertAlign w:val="superscript"/>
              </w:rPr>
              <w:t>(2)</w:t>
            </w:r>
          </w:p>
        </w:tc>
      </w:tr>
      <w:tr>
        <w:trPr>
          <w:trHeight w:val="250"/>
        </w:trPr>
        <w:tc>
          <w:tcPr>
            <w:tcW w:w="1800" w:type="dxa"/>
            <w:vAlign w:val="bottom"/>
            <w:tcBorders>
              <w:left w:val="single" w:sz="8" w:color="7F7F7F"/>
              <w:bottom w:val="single" w:sz="8" w:color="D8D8D8"/>
            </w:tcBorders>
            <w:shd w:val="clear" w:color="auto" w:fill="D8D8D8"/>
          </w:tcPr>
          <w:p>
            <w:pPr>
              <w:ind w:left="160"/>
              <w:spacing w:after="0"/>
              <w:rPr>
                <w:sz w:val="20"/>
                <w:szCs w:val="20"/>
                <w:color w:val="auto"/>
              </w:rPr>
            </w:pPr>
            <w:r>
              <w:rPr>
                <w:rFonts w:ascii="Arial" w:cs="Arial" w:eastAsia="Arial" w:hAnsi="Arial"/>
                <w:sz w:val="16"/>
                <w:szCs w:val="16"/>
                <w:color w:val="auto"/>
              </w:rPr>
              <w:t>M.K. Wirth</w:t>
            </w:r>
          </w:p>
        </w:tc>
        <w:tc>
          <w:tcPr>
            <w:tcW w:w="2480" w:type="dxa"/>
            <w:vAlign w:val="bottom"/>
            <w:tcBorders>
              <w:bottom w:val="single" w:sz="8" w:color="D8D8D8"/>
            </w:tcBorders>
            <w:shd w:val="clear" w:color="auto" w:fill="D8D8D8"/>
          </w:tcPr>
          <w:p>
            <w:pPr>
              <w:jc w:val="right"/>
              <w:ind w:right="485"/>
              <w:spacing w:after="0"/>
              <w:rPr>
                <w:sz w:val="20"/>
                <w:szCs w:val="20"/>
                <w:color w:val="auto"/>
              </w:rPr>
            </w:pPr>
            <w:r>
              <w:rPr>
                <w:rFonts w:ascii="Arial" w:cs="Arial" w:eastAsia="Arial" w:hAnsi="Arial"/>
                <w:sz w:val="14"/>
                <w:szCs w:val="14"/>
                <w:color w:val="auto"/>
              </w:rPr>
              <w:t>237,000</w:t>
            </w:r>
          </w:p>
        </w:tc>
        <w:tc>
          <w:tcPr>
            <w:tcW w:w="260" w:type="dxa"/>
            <w:vAlign w:val="bottom"/>
            <w:tcBorders>
              <w:bottom w:val="single" w:sz="8" w:color="D8D8D8"/>
            </w:tcBorders>
            <w:shd w:val="clear" w:color="auto" w:fill="D8D8D8"/>
          </w:tcPr>
          <w:p>
            <w:pPr>
              <w:ind w:left="16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D8D8D8"/>
            </w:tcBorders>
            <w:shd w:val="clear" w:color="auto" w:fill="D8D8D8"/>
          </w:tcPr>
          <w:p>
            <w:pPr>
              <w:ind w:left="700"/>
              <w:spacing w:after="0"/>
              <w:rPr>
                <w:sz w:val="20"/>
                <w:szCs w:val="20"/>
                <w:color w:val="auto"/>
              </w:rPr>
            </w:pPr>
            <w:r>
              <w:rPr>
                <w:rFonts w:ascii="Arial" w:cs="Arial" w:eastAsia="Arial" w:hAnsi="Arial"/>
                <w:sz w:val="14"/>
                <w:szCs w:val="14"/>
                <w:color w:val="auto"/>
              </w:rPr>
              <w:t>771,333</w:t>
            </w:r>
          </w:p>
        </w:tc>
        <w:tc>
          <w:tcPr>
            <w:tcW w:w="2840" w:type="dxa"/>
            <w:vAlign w:val="bottom"/>
            <w:tcBorders>
              <w:bottom w:val="single" w:sz="8" w:color="D8D8D8"/>
            </w:tcBorders>
            <w:shd w:val="clear" w:color="auto" w:fill="D8D8D8"/>
          </w:tcPr>
          <w:p>
            <w:pPr>
              <w:jc w:val="right"/>
              <w:ind w:right="605"/>
              <w:spacing w:after="0"/>
              <w:rPr>
                <w:sz w:val="20"/>
                <w:szCs w:val="20"/>
                <w:color w:val="auto"/>
              </w:rPr>
            </w:pPr>
            <w:r>
              <w:rPr>
                <w:rFonts w:ascii="Arial" w:cs="Arial" w:eastAsia="Arial" w:hAnsi="Arial"/>
                <w:sz w:val="14"/>
                <w:szCs w:val="14"/>
                <w:color w:val="auto"/>
              </w:rPr>
              <w:t>78,562</w:t>
            </w:r>
          </w:p>
        </w:tc>
        <w:tc>
          <w:tcPr>
            <w:tcW w:w="1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D8D8D8"/>
              <w:right w:val="single" w:sz="8" w:color="7F7F7F"/>
            </w:tcBorders>
            <w:shd w:val="clear" w:color="auto" w:fill="D8D8D8"/>
          </w:tcPr>
          <w:p>
            <w:pPr>
              <w:jc w:val="right"/>
              <w:ind w:right="647"/>
              <w:spacing w:after="0"/>
              <w:rPr>
                <w:sz w:val="20"/>
                <w:szCs w:val="20"/>
                <w:color w:val="auto"/>
              </w:rPr>
            </w:pPr>
            <w:r>
              <w:rPr>
                <w:rFonts w:ascii="Arial" w:cs="Arial" w:eastAsia="Arial" w:hAnsi="Arial"/>
                <w:sz w:val="14"/>
                <w:szCs w:val="14"/>
                <w:color w:val="auto"/>
              </w:rPr>
              <w:t>6,978,721</w:t>
            </w:r>
          </w:p>
        </w:tc>
      </w:tr>
      <w:tr>
        <w:trPr>
          <w:trHeight w:val="241"/>
        </w:trPr>
        <w:tc>
          <w:tcPr>
            <w:tcW w:w="180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P.R. Breber</w:t>
            </w:r>
          </w:p>
        </w:tc>
        <w:tc>
          <w:tcPr>
            <w:tcW w:w="2480" w:type="dxa"/>
            <w:vAlign w:val="bottom"/>
          </w:tcPr>
          <w:p>
            <w:pPr>
              <w:jc w:val="right"/>
              <w:ind w:right="485"/>
              <w:spacing w:after="0"/>
              <w:rPr>
                <w:sz w:val="20"/>
                <w:szCs w:val="20"/>
                <w:color w:val="auto"/>
              </w:rPr>
            </w:pPr>
            <w:r>
              <w:rPr>
                <w:rFonts w:ascii="Arial" w:cs="Arial" w:eastAsia="Arial" w:hAnsi="Arial"/>
                <w:sz w:val="14"/>
                <w:szCs w:val="14"/>
                <w:color w:val="auto"/>
              </w:rPr>
              <w:t>50,000</w:t>
            </w: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1580" w:type="dxa"/>
            <w:vAlign w:val="bottom"/>
          </w:tcPr>
          <w:p>
            <w:pPr>
              <w:ind w:left="700"/>
              <w:spacing w:after="0"/>
              <w:rPr>
                <w:sz w:val="20"/>
                <w:szCs w:val="20"/>
                <w:color w:val="auto"/>
              </w:rPr>
            </w:pPr>
            <w:r>
              <w:rPr>
                <w:rFonts w:ascii="Arial" w:cs="Arial" w:eastAsia="Arial" w:hAnsi="Arial"/>
                <w:sz w:val="14"/>
                <w:szCs w:val="14"/>
                <w:color w:val="auto"/>
              </w:rPr>
              <w:t>287,061</w:t>
            </w:r>
          </w:p>
        </w:tc>
        <w:tc>
          <w:tcPr>
            <w:tcW w:w="2840" w:type="dxa"/>
            <w:vAlign w:val="bottom"/>
          </w:tcPr>
          <w:p>
            <w:pPr>
              <w:jc w:val="right"/>
              <w:ind w:right="605"/>
              <w:spacing w:after="0"/>
              <w:rPr>
                <w:sz w:val="20"/>
                <w:szCs w:val="20"/>
                <w:color w:val="auto"/>
              </w:rPr>
            </w:pPr>
            <w:r>
              <w:rPr>
                <w:rFonts w:ascii="Arial" w:cs="Arial" w:eastAsia="Arial" w:hAnsi="Arial"/>
                <w:sz w:val="14"/>
                <w:szCs w:val="14"/>
                <w:color w:val="auto"/>
              </w:rPr>
              <w:t>20,724</w:t>
            </w: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1960" w:type="dxa"/>
            <w:vAlign w:val="bottom"/>
            <w:tcBorders>
              <w:right w:val="single" w:sz="8" w:color="7F7F7F"/>
            </w:tcBorders>
          </w:tcPr>
          <w:p>
            <w:pPr>
              <w:jc w:val="right"/>
              <w:ind w:right="647"/>
              <w:spacing w:after="0"/>
              <w:rPr>
                <w:sz w:val="20"/>
                <w:szCs w:val="20"/>
                <w:color w:val="auto"/>
              </w:rPr>
            </w:pPr>
            <w:r>
              <w:rPr>
                <w:rFonts w:ascii="Arial" w:cs="Arial" w:eastAsia="Arial" w:hAnsi="Arial"/>
                <w:sz w:val="14"/>
                <w:szCs w:val="14"/>
                <w:color w:val="auto"/>
              </w:rPr>
              <w:t>1,840,306</w:t>
            </w:r>
          </w:p>
        </w:tc>
      </w:tr>
      <w:tr>
        <w:trPr>
          <w:trHeight w:val="29"/>
        </w:trPr>
        <w:tc>
          <w:tcPr>
            <w:tcW w:w="1800" w:type="dxa"/>
            <w:vAlign w:val="bottom"/>
            <w:tcBorders>
              <w:left w:val="single" w:sz="8" w:color="7F7F7F"/>
            </w:tcBorders>
          </w:tcPr>
          <w:p>
            <w:pPr>
              <w:spacing w:after="0"/>
              <w:rPr>
                <w:sz w:val="2"/>
                <w:szCs w:val="2"/>
                <w:color w:val="auto"/>
              </w:rPr>
            </w:pPr>
          </w:p>
        </w:tc>
        <w:tc>
          <w:tcPr>
            <w:tcW w:w="2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right w:val="single" w:sz="8" w:color="7F7F7F"/>
            </w:tcBorders>
          </w:tcPr>
          <w:p>
            <w:pPr>
              <w:spacing w:after="0"/>
              <w:rPr>
                <w:sz w:val="2"/>
                <w:szCs w:val="2"/>
                <w:color w:val="auto"/>
              </w:rPr>
            </w:pPr>
          </w:p>
        </w:tc>
      </w:tr>
      <w:tr>
        <w:trPr>
          <w:trHeight w:val="250"/>
        </w:trPr>
        <w:tc>
          <w:tcPr>
            <w:tcW w:w="1800" w:type="dxa"/>
            <w:vAlign w:val="bottom"/>
            <w:tcBorders>
              <w:left w:val="single" w:sz="8" w:color="7F7F7F"/>
              <w:bottom w:val="single" w:sz="8" w:color="D8D8D8"/>
            </w:tcBorders>
            <w:shd w:val="clear" w:color="auto" w:fill="D8D8D8"/>
          </w:tcPr>
          <w:p>
            <w:pPr>
              <w:ind w:left="160"/>
              <w:spacing w:after="0"/>
              <w:rPr>
                <w:sz w:val="20"/>
                <w:szCs w:val="20"/>
                <w:color w:val="auto"/>
              </w:rPr>
            </w:pPr>
            <w:r>
              <w:rPr>
                <w:rFonts w:ascii="Arial" w:cs="Arial" w:eastAsia="Arial" w:hAnsi="Arial"/>
                <w:sz w:val="16"/>
                <w:szCs w:val="16"/>
                <w:color w:val="auto"/>
              </w:rPr>
              <w:t>J.W. Johnson</w:t>
            </w:r>
          </w:p>
        </w:tc>
        <w:tc>
          <w:tcPr>
            <w:tcW w:w="2480" w:type="dxa"/>
            <w:vAlign w:val="bottom"/>
            <w:tcBorders>
              <w:bottom w:val="single" w:sz="8" w:color="D8D8D8"/>
            </w:tcBorders>
            <w:shd w:val="clear" w:color="auto" w:fill="D8D8D8"/>
          </w:tcPr>
          <w:p>
            <w:pPr>
              <w:jc w:val="right"/>
              <w:ind w:right="485"/>
              <w:spacing w:after="0"/>
              <w:rPr>
                <w:sz w:val="20"/>
                <w:szCs w:val="20"/>
                <w:color w:val="auto"/>
              </w:rPr>
            </w:pPr>
            <w:r>
              <w:rPr>
                <w:rFonts w:ascii="Arial" w:cs="Arial" w:eastAsia="Arial" w:hAnsi="Arial"/>
                <w:sz w:val="14"/>
                <w:szCs w:val="14"/>
                <w:color w:val="auto"/>
              </w:rPr>
              <w:t>93,000</w:t>
            </w:r>
          </w:p>
        </w:tc>
        <w:tc>
          <w:tcPr>
            <w:tcW w:w="260" w:type="dxa"/>
            <w:vAlign w:val="bottom"/>
            <w:tcBorders>
              <w:bottom w:val="single" w:sz="8" w:color="D8D8D8"/>
            </w:tcBorders>
            <w:shd w:val="clear" w:color="auto" w:fill="D8D8D8"/>
          </w:tcPr>
          <w:p>
            <w:pPr>
              <w:ind w:left="16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D8D8D8"/>
            </w:tcBorders>
            <w:shd w:val="clear" w:color="auto" w:fill="D8D8D8"/>
          </w:tcPr>
          <w:p>
            <w:pPr>
              <w:ind w:left="700"/>
              <w:spacing w:after="0"/>
              <w:rPr>
                <w:sz w:val="20"/>
                <w:szCs w:val="20"/>
                <w:color w:val="auto"/>
              </w:rPr>
            </w:pPr>
            <w:r>
              <w:rPr>
                <w:rFonts w:ascii="Arial" w:cs="Arial" w:eastAsia="Arial" w:hAnsi="Arial"/>
                <w:sz w:val="14"/>
                <w:szCs w:val="14"/>
                <w:color w:val="auto"/>
              </w:rPr>
              <w:t>456,087</w:t>
            </w:r>
          </w:p>
        </w:tc>
        <w:tc>
          <w:tcPr>
            <w:tcW w:w="2840" w:type="dxa"/>
            <w:vAlign w:val="bottom"/>
            <w:tcBorders>
              <w:bottom w:val="single" w:sz="8" w:color="D8D8D8"/>
            </w:tcBorders>
            <w:shd w:val="clear" w:color="auto" w:fill="D8D8D8"/>
          </w:tcPr>
          <w:p>
            <w:pPr>
              <w:jc w:val="right"/>
              <w:ind w:right="605"/>
              <w:spacing w:after="0"/>
              <w:rPr>
                <w:sz w:val="20"/>
                <w:szCs w:val="20"/>
                <w:color w:val="auto"/>
              </w:rPr>
            </w:pPr>
            <w:r>
              <w:rPr>
                <w:rFonts w:ascii="Arial" w:cs="Arial" w:eastAsia="Arial" w:hAnsi="Arial"/>
                <w:sz w:val="14"/>
                <w:szCs w:val="14"/>
                <w:color w:val="auto"/>
              </w:rPr>
              <w:t>26,929</w:t>
            </w:r>
          </w:p>
        </w:tc>
        <w:tc>
          <w:tcPr>
            <w:tcW w:w="1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D8D8D8"/>
              <w:right w:val="single" w:sz="8" w:color="7F7F7F"/>
            </w:tcBorders>
            <w:shd w:val="clear" w:color="auto" w:fill="D8D8D8"/>
          </w:tcPr>
          <w:p>
            <w:pPr>
              <w:jc w:val="right"/>
              <w:ind w:right="647"/>
              <w:spacing w:after="0"/>
              <w:rPr>
                <w:sz w:val="20"/>
                <w:szCs w:val="20"/>
                <w:color w:val="auto"/>
              </w:rPr>
            </w:pPr>
            <w:r>
              <w:rPr>
                <w:rFonts w:ascii="Arial" w:cs="Arial" w:eastAsia="Arial" w:hAnsi="Arial"/>
                <w:sz w:val="14"/>
                <w:szCs w:val="14"/>
                <w:color w:val="auto"/>
              </w:rPr>
              <w:t>2,391,213</w:t>
            </w:r>
          </w:p>
        </w:tc>
      </w:tr>
      <w:tr>
        <w:trPr>
          <w:trHeight w:val="241"/>
        </w:trPr>
        <w:tc>
          <w:tcPr>
            <w:tcW w:w="180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J.C. Geagea</w:t>
            </w:r>
          </w:p>
        </w:tc>
        <w:tc>
          <w:tcPr>
            <w:tcW w:w="2480" w:type="dxa"/>
            <w:vAlign w:val="bottom"/>
          </w:tcPr>
          <w:p>
            <w:pPr>
              <w:jc w:val="right"/>
              <w:ind w:right="485"/>
              <w:spacing w:after="0"/>
              <w:rPr>
                <w:sz w:val="20"/>
                <w:szCs w:val="20"/>
                <w:color w:val="auto"/>
              </w:rPr>
            </w:pPr>
            <w:r>
              <w:rPr>
                <w:rFonts w:ascii="Arial" w:cs="Arial" w:eastAsia="Arial" w:hAnsi="Arial"/>
                <w:sz w:val="14"/>
                <w:szCs w:val="14"/>
                <w:color w:val="auto"/>
              </w:rPr>
              <w:t>37,000</w:t>
            </w: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1580" w:type="dxa"/>
            <w:vAlign w:val="bottom"/>
          </w:tcPr>
          <w:p>
            <w:pPr>
              <w:ind w:left="700"/>
              <w:spacing w:after="0"/>
              <w:rPr>
                <w:sz w:val="20"/>
                <w:szCs w:val="20"/>
                <w:color w:val="auto"/>
              </w:rPr>
            </w:pPr>
            <w:r>
              <w:rPr>
                <w:rFonts w:ascii="Arial" w:cs="Arial" w:eastAsia="Arial" w:hAnsi="Arial"/>
                <w:sz w:val="14"/>
                <w:szCs w:val="14"/>
                <w:color w:val="auto"/>
              </w:rPr>
              <w:t>262,173</w:t>
            </w:r>
          </w:p>
        </w:tc>
        <w:tc>
          <w:tcPr>
            <w:tcW w:w="2840" w:type="dxa"/>
            <w:vAlign w:val="bottom"/>
          </w:tcPr>
          <w:p>
            <w:pPr>
              <w:jc w:val="right"/>
              <w:ind w:right="605"/>
              <w:spacing w:after="0"/>
              <w:rPr>
                <w:sz w:val="20"/>
                <w:szCs w:val="20"/>
                <w:color w:val="auto"/>
              </w:rPr>
            </w:pPr>
            <w:r>
              <w:rPr>
                <w:rFonts w:ascii="Arial" w:cs="Arial" w:eastAsia="Arial" w:hAnsi="Arial"/>
                <w:sz w:val="14"/>
                <w:szCs w:val="14"/>
                <w:color w:val="auto"/>
              </w:rPr>
              <w:t>20,713</w:t>
            </w: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1960" w:type="dxa"/>
            <w:vAlign w:val="bottom"/>
            <w:tcBorders>
              <w:right w:val="single" w:sz="8" w:color="7F7F7F"/>
            </w:tcBorders>
          </w:tcPr>
          <w:p>
            <w:pPr>
              <w:jc w:val="right"/>
              <w:ind w:right="647"/>
              <w:spacing w:after="0"/>
              <w:rPr>
                <w:sz w:val="20"/>
                <w:szCs w:val="20"/>
                <w:color w:val="auto"/>
              </w:rPr>
            </w:pPr>
            <w:r>
              <w:rPr>
                <w:rFonts w:ascii="Arial" w:cs="Arial" w:eastAsia="Arial" w:hAnsi="Arial"/>
                <w:sz w:val="14"/>
                <w:szCs w:val="14"/>
                <w:color w:val="auto"/>
              </w:rPr>
              <w:t>1,838,994</w:t>
            </w:r>
          </w:p>
        </w:tc>
      </w:tr>
      <w:tr>
        <w:trPr>
          <w:trHeight w:val="29"/>
        </w:trPr>
        <w:tc>
          <w:tcPr>
            <w:tcW w:w="1800" w:type="dxa"/>
            <w:vAlign w:val="bottom"/>
            <w:tcBorders>
              <w:left w:val="single" w:sz="8" w:color="7F7F7F"/>
            </w:tcBorders>
          </w:tcPr>
          <w:p>
            <w:pPr>
              <w:spacing w:after="0"/>
              <w:rPr>
                <w:sz w:val="2"/>
                <w:szCs w:val="2"/>
                <w:color w:val="auto"/>
              </w:rPr>
            </w:pPr>
          </w:p>
        </w:tc>
        <w:tc>
          <w:tcPr>
            <w:tcW w:w="2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right w:val="single" w:sz="8" w:color="7F7F7F"/>
            </w:tcBorders>
          </w:tcPr>
          <w:p>
            <w:pPr>
              <w:spacing w:after="0"/>
              <w:rPr>
                <w:sz w:val="2"/>
                <w:szCs w:val="2"/>
                <w:color w:val="auto"/>
              </w:rPr>
            </w:pPr>
          </w:p>
        </w:tc>
      </w:tr>
      <w:tr>
        <w:trPr>
          <w:trHeight w:val="250"/>
        </w:trPr>
        <w:tc>
          <w:tcPr>
            <w:tcW w:w="1800" w:type="dxa"/>
            <w:vAlign w:val="bottom"/>
            <w:tcBorders>
              <w:left w:val="single" w:sz="8" w:color="7F7F7F"/>
              <w:bottom w:val="single" w:sz="8" w:color="D8D8D8"/>
            </w:tcBorders>
            <w:shd w:val="clear" w:color="auto" w:fill="D8D8D8"/>
          </w:tcPr>
          <w:p>
            <w:pPr>
              <w:ind w:left="160"/>
              <w:spacing w:after="0"/>
              <w:rPr>
                <w:sz w:val="20"/>
                <w:szCs w:val="20"/>
                <w:color w:val="auto"/>
              </w:rPr>
            </w:pPr>
            <w:r>
              <w:rPr>
                <w:rFonts w:ascii="Arial" w:cs="Arial" w:eastAsia="Arial" w:hAnsi="Arial"/>
                <w:sz w:val="16"/>
                <w:szCs w:val="16"/>
                <w:color w:val="auto"/>
              </w:rPr>
              <w:t>M.A. Nelson</w:t>
            </w:r>
          </w:p>
        </w:tc>
        <w:tc>
          <w:tcPr>
            <w:tcW w:w="2480" w:type="dxa"/>
            <w:vAlign w:val="bottom"/>
            <w:tcBorders>
              <w:bottom w:val="single" w:sz="8" w:color="D8D8D8"/>
            </w:tcBorders>
            <w:shd w:val="clear" w:color="auto" w:fill="D8D8D8"/>
          </w:tcPr>
          <w:p>
            <w:pPr>
              <w:jc w:val="right"/>
              <w:ind w:right="645"/>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8D8D8"/>
            </w:tcBorders>
            <w:shd w:val="clear" w:color="auto" w:fill="D8D8D8"/>
          </w:tcPr>
          <w:p>
            <w:pPr>
              <w:spacing w:after="0"/>
              <w:rPr>
                <w:sz w:val="21"/>
                <w:szCs w:val="21"/>
                <w:color w:val="auto"/>
              </w:rPr>
            </w:pPr>
          </w:p>
        </w:tc>
        <w:tc>
          <w:tcPr>
            <w:tcW w:w="1580" w:type="dxa"/>
            <w:vAlign w:val="bottom"/>
            <w:tcBorders>
              <w:bottom w:val="single" w:sz="8" w:color="D8D8D8"/>
            </w:tcBorders>
            <w:shd w:val="clear" w:color="auto" w:fill="D8D8D8"/>
          </w:tcPr>
          <w:p>
            <w:pPr>
              <w:ind w:left="700"/>
              <w:spacing w:after="0"/>
              <w:rPr>
                <w:sz w:val="20"/>
                <w:szCs w:val="20"/>
                <w:color w:val="auto"/>
              </w:rPr>
            </w:pPr>
            <w:r>
              <w:rPr>
                <w:rFonts w:ascii="Arial" w:cs="Arial" w:eastAsia="Arial" w:hAnsi="Arial"/>
                <w:sz w:val="14"/>
                <w:szCs w:val="14"/>
                <w:color w:val="auto"/>
              </w:rPr>
              <w:t>–</w:t>
            </w:r>
          </w:p>
        </w:tc>
        <w:tc>
          <w:tcPr>
            <w:tcW w:w="2840" w:type="dxa"/>
            <w:vAlign w:val="bottom"/>
            <w:tcBorders>
              <w:bottom w:val="single" w:sz="8" w:color="D8D8D8"/>
            </w:tcBorders>
            <w:shd w:val="clear" w:color="auto" w:fill="D8D8D8"/>
          </w:tcPr>
          <w:p>
            <w:pPr>
              <w:jc w:val="right"/>
              <w:ind w:right="605"/>
              <w:spacing w:after="0"/>
              <w:rPr>
                <w:sz w:val="20"/>
                <w:szCs w:val="20"/>
                <w:color w:val="auto"/>
              </w:rPr>
            </w:pPr>
            <w:r>
              <w:rPr>
                <w:rFonts w:ascii="Arial" w:cs="Arial" w:eastAsia="Arial" w:hAnsi="Arial"/>
                <w:sz w:val="14"/>
                <w:szCs w:val="14"/>
                <w:color w:val="auto"/>
              </w:rPr>
              <w:t>20,641</w:t>
            </w:r>
          </w:p>
        </w:tc>
        <w:tc>
          <w:tcPr>
            <w:tcW w:w="1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D8D8D8"/>
              <w:right w:val="single" w:sz="8" w:color="7F7F7F"/>
            </w:tcBorders>
            <w:shd w:val="clear" w:color="auto" w:fill="D8D8D8"/>
          </w:tcPr>
          <w:p>
            <w:pPr>
              <w:jc w:val="right"/>
              <w:ind w:right="647"/>
              <w:spacing w:after="0"/>
              <w:rPr>
                <w:sz w:val="20"/>
                <w:szCs w:val="20"/>
                <w:color w:val="auto"/>
              </w:rPr>
            </w:pPr>
            <w:r>
              <w:rPr>
                <w:rFonts w:ascii="Arial" w:cs="Arial" w:eastAsia="Arial" w:hAnsi="Arial"/>
                <w:sz w:val="14"/>
                <w:szCs w:val="14"/>
                <w:color w:val="auto"/>
              </w:rPr>
              <w:t>1,830,806</w:t>
            </w:r>
          </w:p>
        </w:tc>
      </w:tr>
      <w:tr>
        <w:trPr>
          <w:trHeight w:val="20"/>
        </w:trPr>
        <w:tc>
          <w:tcPr>
            <w:tcW w:w="1800" w:type="dxa"/>
            <w:vAlign w:val="bottom"/>
            <w:tcBorders>
              <w:left w:val="single" w:sz="8" w:color="7F7F7F"/>
            </w:tcBorders>
            <w:shd w:val="clear" w:color="auto" w:fill="7F7F7F"/>
          </w:tcPr>
          <w:p>
            <w:pPr>
              <w:spacing w:after="0" w:line="20" w:lineRule="exact"/>
              <w:rPr>
                <w:sz w:val="1"/>
                <w:szCs w:val="1"/>
                <w:color w:val="auto"/>
              </w:rPr>
            </w:pPr>
          </w:p>
        </w:tc>
        <w:tc>
          <w:tcPr>
            <w:tcW w:w="2480" w:type="dxa"/>
            <w:vAlign w:val="bottom"/>
            <w:shd w:val="clear" w:color="auto" w:fill="7F7F7F"/>
          </w:tcPr>
          <w:p>
            <w:pPr>
              <w:spacing w:after="0" w:line="20" w:lineRule="exact"/>
              <w:rPr>
                <w:sz w:val="1"/>
                <w:szCs w:val="1"/>
                <w:color w:val="auto"/>
              </w:rPr>
            </w:pPr>
          </w:p>
        </w:tc>
        <w:tc>
          <w:tcPr>
            <w:tcW w:w="260" w:type="dxa"/>
            <w:vAlign w:val="bottom"/>
            <w:shd w:val="clear" w:color="auto" w:fill="7F7F7F"/>
          </w:tcPr>
          <w:p>
            <w:pPr>
              <w:spacing w:after="0" w:line="20" w:lineRule="exact"/>
              <w:rPr>
                <w:sz w:val="1"/>
                <w:szCs w:val="1"/>
                <w:color w:val="auto"/>
              </w:rPr>
            </w:pPr>
          </w:p>
        </w:tc>
        <w:tc>
          <w:tcPr>
            <w:tcW w:w="1580" w:type="dxa"/>
            <w:vAlign w:val="bottom"/>
            <w:shd w:val="clear" w:color="auto" w:fill="7F7F7F"/>
          </w:tcPr>
          <w:p>
            <w:pPr>
              <w:spacing w:after="0" w:line="20" w:lineRule="exact"/>
              <w:rPr>
                <w:sz w:val="1"/>
                <w:szCs w:val="1"/>
                <w:color w:val="auto"/>
              </w:rPr>
            </w:pPr>
          </w:p>
        </w:tc>
        <w:tc>
          <w:tcPr>
            <w:tcW w:w="2840" w:type="dxa"/>
            <w:vAlign w:val="bottom"/>
            <w:shd w:val="clear" w:color="auto" w:fill="7F7F7F"/>
          </w:tcPr>
          <w:p>
            <w:pPr>
              <w:spacing w:after="0" w:line="20" w:lineRule="exact"/>
              <w:rPr>
                <w:sz w:val="1"/>
                <w:szCs w:val="1"/>
                <w:color w:val="auto"/>
              </w:rPr>
            </w:pPr>
          </w:p>
        </w:tc>
        <w:tc>
          <w:tcPr>
            <w:tcW w:w="120" w:type="dxa"/>
            <w:vAlign w:val="bottom"/>
            <w:shd w:val="clear" w:color="auto" w:fill="7F7F7F"/>
          </w:tcPr>
          <w:p>
            <w:pPr>
              <w:spacing w:after="0" w:line="20" w:lineRule="exact"/>
              <w:rPr>
                <w:sz w:val="1"/>
                <w:szCs w:val="1"/>
                <w:color w:val="auto"/>
              </w:rPr>
            </w:pPr>
          </w:p>
        </w:tc>
        <w:tc>
          <w:tcPr>
            <w:tcW w:w="1960" w:type="dxa"/>
            <w:vAlign w:val="bottom"/>
            <w:tcBorders>
              <w:right w:val="single" w:sz="8" w:color="7F7F7F"/>
            </w:tcBorders>
            <w:shd w:val="clear" w:color="auto" w:fill="7F7F7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-1130935</wp:posOffset>
            </wp:positionV>
            <wp:extent cx="537464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374640" cy="8255"/>
                    </a:xfrm>
                    <a:prstGeom prst="rect">
                      <a:avLst/>
                    </a:prstGeom>
                    <a:noFill/>
                  </pic:spPr>
                </pic:pic>
              </a:graphicData>
            </a:graphic>
          </wp:anchor>
        </w:drawing>
      </w:r>
    </w:p>
    <w:p>
      <w:pPr>
        <w:spacing w:after="0" w:line="187" w:lineRule="exact"/>
        <w:rPr>
          <w:sz w:val="20"/>
          <w:szCs w:val="20"/>
          <w:color w:val="auto"/>
        </w:rPr>
      </w:pPr>
    </w:p>
    <w:p>
      <w:pPr>
        <w:ind w:left="540" w:right="20" w:hanging="424"/>
        <w:spacing w:after="0" w:line="285" w:lineRule="auto"/>
        <w:tabs>
          <w:tab w:leader="none" w:pos="5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Value realized upon exercise was determined by multiplying the number of stock options exercised by the difference between the fair market value of Chevron common stock on the exercise date and the exercise price of the stock options.</w:t>
      </w:r>
    </w:p>
    <w:p>
      <w:pPr>
        <w:spacing w:after="0" w:line="194" w:lineRule="exact"/>
        <w:rPr>
          <w:sz w:val="20"/>
          <w:szCs w:val="20"/>
          <w:color w:val="auto"/>
        </w:rPr>
      </w:pPr>
    </w:p>
    <w:tbl>
      <w:tblPr>
        <w:tblLayout w:type="fixed"/>
        <w:tblInd w:w="130" w:type="dxa"/>
        <w:tblCellMar>
          <w:top w:w="0" w:type="dxa"/>
          <w:left w:w="0" w:type="dxa"/>
          <w:bottom w:w="0" w:type="dxa"/>
          <w:right w:w="0" w:type="dxa"/>
        </w:tblCellMar>
      </w:tblPr>
      <w:tr>
        <w:trPr>
          <w:trHeight w:val="242"/>
        </w:trPr>
        <w:tc>
          <w:tcPr>
            <w:tcW w:w="2320" w:type="dxa"/>
            <w:vAlign w:val="bottom"/>
            <w:tcBorders>
              <w:left w:val="single" w:sz="8" w:color="7F7F7F"/>
            </w:tcBorders>
            <w:shd w:val="clear" w:color="auto" w:fill="0066B2"/>
          </w:tcPr>
          <w:p>
            <w:pPr>
              <w:spacing w:after="0"/>
              <w:rPr>
                <w:sz w:val="21"/>
                <w:szCs w:val="21"/>
                <w:color w:val="auto"/>
              </w:rPr>
            </w:pPr>
          </w:p>
        </w:tc>
        <w:tc>
          <w:tcPr>
            <w:tcW w:w="2000" w:type="dxa"/>
            <w:vAlign w:val="bottom"/>
            <w:shd w:val="clear" w:color="auto" w:fill="0066B2"/>
          </w:tcPr>
          <w:p>
            <w:pPr>
              <w:jc w:val="right"/>
              <w:ind w:right="107"/>
              <w:spacing w:after="0"/>
              <w:rPr>
                <w:sz w:val="20"/>
                <w:szCs w:val="20"/>
                <w:color w:val="auto"/>
              </w:rPr>
            </w:pPr>
            <w:r>
              <w:rPr>
                <w:rFonts w:ascii="Arial" w:cs="Arial" w:eastAsia="Arial" w:hAnsi="Arial"/>
                <w:sz w:val="16"/>
                <w:szCs w:val="16"/>
                <w:b w:val="1"/>
                <w:bCs w:val="1"/>
                <w:color w:val="FFFFFF"/>
              </w:rPr>
              <w:t>Shares acquired on</w:t>
            </w:r>
          </w:p>
        </w:tc>
        <w:tc>
          <w:tcPr>
            <w:tcW w:w="1080" w:type="dxa"/>
            <w:vAlign w:val="bottom"/>
            <w:shd w:val="clear" w:color="auto" w:fill="0066B2"/>
          </w:tcPr>
          <w:p>
            <w:pPr>
              <w:jc w:val="right"/>
              <w:ind w:right="307"/>
              <w:spacing w:after="0"/>
              <w:rPr>
                <w:sz w:val="20"/>
                <w:szCs w:val="20"/>
                <w:color w:val="auto"/>
              </w:rPr>
            </w:pPr>
            <w:r>
              <w:rPr>
                <w:rFonts w:ascii="Arial" w:cs="Arial" w:eastAsia="Arial" w:hAnsi="Arial"/>
                <w:sz w:val="16"/>
                <w:szCs w:val="16"/>
                <w:b w:val="1"/>
                <w:bCs w:val="1"/>
                <w:color w:val="FFFFFF"/>
              </w:rPr>
              <w:t>Grant</w:t>
            </w:r>
          </w:p>
        </w:tc>
        <w:tc>
          <w:tcPr>
            <w:tcW w:w="1260" w:type="dxa"/>
            <w:vAlign w:val="bottom"/>
            <w:gridSpan w:val="2"/>
            <w:shd w:val="clear" w:color="auto" w:fill="0066B2"/>
          </w:tcPr>
          <w:p>
            <w:pPr>
              <w:ind w:left="300"/>
              <w:spacing w:after="0"/>
              <w:rPr>
                <w:sz w:val="20"/>
                <w:szCs w:val="20"/>
                <w:color w:val="auto"/>
              </w:rPr>
            </w:pPr>
            <w:r>
              <w:rPr>
                <w:rFonts w:ascii="Arial" w:cs="Arial" w:eastAsia="Arial" w:hAnsi="Arial"/>
                <w:sz w:val="16"/>
                <w:szCs w:val="16"/>
                <w:b w:val="1"/>
                <w:bCs w:val="1"/>
                <w:color w:val="FFFFFF"/>
              </w:rPr>
              <w:t>Exercise</w:t>
            </w:r>
          </w:p>
        </w:tc>
        <w:tc>
          <w:tcPr>
            <w:tcW w:w="1280" w:type="dxa"/>
            <w:vAlign w:val="bottom"/>
            <w:shd w:val="clear" w:color="auto" w:fill="0066B2"/>
          </w:tcPr>
          <w:p>
            <w:pPr>
              <w:jc w:val="right"/>
              <w:ind w:right="247"/>
              <w:spacing w:after="0"/>
              <w:rPr>
                <w:sz w:val="20"/>
                <w:szCs w:val="20"/>
                <w:color w:val="auto"/>
              </w:rPr>
            </w:pPr>
            <w:r>
              <w:rPr>
                <w:rFonts w:ascii="Arial" w:cs="Arial" w:eastAsia="Arial" w:hAnsi="Arial"/>
                <w:sz w:val="16"/>
                <w:szCs w:val="16"/>
                <w:b w:val="1"/>
                <w:bCs w:val="1"/>
                <w:color w:val="FFFFFF"/>
              </w:rPr>
              <w:t>Exercise</w:t>
            </w:r>
          </w:p>
        </w:tc>
        <w:tc>
          <w:tcPr>
            <w:tcW w:w="1500" w:type="dxa"/>
            <w:vAlign w:val="bottom"/>
            <w:gridSpan w:val="2"/>
            <w:shd w:val="clear" w:color="auto" w:fill="0066B2"/>
          </w:tcPr>
          <w:p>
            <w:pPr>
              <w:ind w:left="280"/>
              <w:spacing w:after="0"/>
              <w:rPr>
                <w:sz w:val="20"/>
                <w:szCs w:val="20"/>
                <w:color w:val="auto"/>
              </w:rPr>
            </w:pPr>
            <w:r>
              <w:rPr>
                <w:rFonts w:ascii="Arial" w:cs="Arial" w:eastAsia="Arial" w:hAnsi="Arial"/>
                <w:sz w:val="16"/>
                <w:szCs w:val="16"/>
                <w:b w:val="1"/>
                <w:bCs w:val="1"/>
                <w:color w:val="FFFFFF"/>
              </w:rPr>
              <w:t>Market price</w:t>
            </w:r>
          </w:p>
        </w:tc>
        <w:tc>
          <w:tcPr>
            <w:tcW w:w="1600" w:type="dxa"/>
            <w:vAlign w:val="bottom"/>
            <w:tcBorders>
              <w:right w:val="single" w:sz="8" w:color="7F7F7F"/>
            </w:tcBorders>
            <w:gridSpan w:val="2"/>
            <w:shd w:val="clear" w:color="auto" w:fill="0066B2"/>
          </w:tcPr>
          <w:p>
            <w:pPr>
              <w:ind w:left="280"/>
              <w:spacing w:after="0"/>
              <w:rPr>
                <w:sz w:val="20"/>
                <w:szCs w:val="20"/>
                <w:color w:val="auto"/>
              </w:rPr>
            </w:pPr>
            <w:r>
              <w:rPr>
                <w:rFonts w:ascii="Arial" w:cs="Arial" w:eastAsia="Arial" w:hAnsi="Arial"/>
                <w:sz w:val="16"/>
                <w:szCs w:val="16"/>
                <w:b w:val="1"/>
                <w:bCs w:val="1"/>
                <w:color w:val="FFFFFF"/>
              </w:rPr>
              <w:t>Value realized</w:t>
            </w:r>
          </w:p>
        </w:tc>
      </w:tr>
      <w:tr>
        <w:trPr>
          <w:trHeight w:val="217"/>
        </w:trPr>
        <w:tc>
          <w:tcPr>
            <w:tcW w:w="2320" w:type="dxa"/>
            <w:vAlign w:val="bottom"/>
            <w:tcBorders>
              <w:left w:val="single" w:sz="8" w:color="7F7F7F"/>
            </w:tcBorders>
            <w:shd w:val="clear" w:color="auto" w:fill="0066B2"/>
          </w:tcPr>
          <w:p>
            <w:pPr>
              <w:ind w:left="160"/>
              <w:spacing w:after="0"/>
              <w:rPr>
                <w:sz w:val="20"/>
                <w:szCs w:val="20"/>
                <w:color w:val="auto"/>
              </w:rPr>
            </w:pPr>
            <w:r>
              <w:rPr>
                <w:rFonts w:ascii="Arial" w:cs="Arial" w:eastAsia="Arial" w:hAnsi="Arial"/>
                <w:sz w:val="16"/>
                <w:szCs w:val="16"/>
                <w:b w:val="1"/>
                <w:bCs w:val="1"/>
                <w:color w:val="FFFFFF"/>
              </w:rPr>
              <w:t>Name</w:t>
            </w:r>
          </w:p>
        </w:tc>
        <w:tc>
          <w:tcPr>
            <w:tcW w:w="2000" w:type="dxa"/>
            <w:vAlign w:val="bottom"/>
            <w:shd w:val="clear" w:color="auto" w:fill="0066B2"/>
          </w:tcPr>
          <w:p>
            <w:pPr>
              <w:jc w:val="right"/>
              <w:ind w:right="547"/>
              <w:spacing w:after="0"/>
              <w:rPr>
                <w:sz w:val="20"/>
                <w:szCs w:val="20"/>
                <w:color w:val="auto"/>
              </w:rPr>
            </w:pPr>
            <w:r>
              <w:rPr>
                <w:rFonts w:ascii="Arial" w:cs="Arial" w:eastAsia="Arial" w:hAnsi="Arial"/>
                <w:sz w:val="16"/>
                <w:szCs w:val="16"/>
                <w:b w:val="1"/>
                <w:bCs w:val="1"/>
                <w:color w:val="FFFFFF"/>
              </w:rPr>
              <w:t>exercise</w:t>
            </w:r>
          </w:p>
        </w:tc>
        <w:tc>
          <w:tcPr>
            <w:tcW w:w="1080" w:type="dxa"/>
            <w:vAlign w:val="bottom"/>
            <w:shd w:val="clear" w:color="auto" w:fill="0066B2"/>
          </w:tcPr>
          <w:p>
            <w:pPr>
              <w:jc w:val="right"/>
              <w:ind w:right="367"/>
              <w:spacing w:after="0"/>
              <w:rPr>
                <w:sz w:val="20"/>
                <w:szCs w:val="20"/>
                <w:color w:val="auto"/>
              </w:rPr>
            </w:pPr>
            <w:r>
              <w:rPr>
                <w:rFonts w:ascii="Arial" w:cs="Arial" w:eastAsia="Arial" w:hAnsi="Arial"/>
                <w:sz w:val="16"/>
                <w:szCs w:val="16"/>
                <w:b w:val="1"/>
                <w:bCs w:val="1"/>
                <w:color w:val="FFFFFF"/>
              </w:rPr>
              <w:t>date</w:t>
            </w:r>
          </w:p>
        </w:tc>
        <w:tc>
          <w:tcPr>
            <w:tcW w:w="400" w:type="dxa"/>
            <w:vAlign w:val="bottom"/>
            <w:shd w:val="clear" w:color="auto" w:fill="0066B2"/>
          </w:tcPr>
          <w:p>
            <w:pPr>
              <w:spacing w:after="0"/>
              <w:rPr>
                <w:sz w:val="18"/>
                <w:szCs w:val="18"/>
                <w:color w:val="auto"/>
              </w:rPr>
            </w:pPr>
          </w:p>
        </w:tc>
        <w:tc>
          <w:tcPr>
            <w:tcW w:w="860" w:type="dxa"/>
            <w:vAlign w:val="bottom"/>
            <w:shd w:val="clear" w:color="auto" w:fill="0066B2"/>
          </w:tcPr>
          <w:p>
            <w:pPr>
              <w:jc w:val="right"/>
              <w:ind w:right="368"/>
              <w:spacing w:after="0"/>
              <w:rPr>
                <w:sz w:val="20"/>
                <w:szCs w:val="20"/>
                <w:color w:val="auto"/>
              </w:rPr>
            </w:pPr>
            <w:r>
              <w:rPr>
                <w:rFonts w:ascii="Arial" w:cs="Arial" w:eastAsia="Arial" w:hAnsi="Arial"/>
                <w:sz w:val="16"/>
                <w:szCs w:val="16"/>
                <w:b w:val="1"/>
                <w:bCs w:val="1"/>
                <w:color w:val="FFFFFF"/>
              </w:rPr>
              <w:t>price</w:t>
            </w:r>
          </w:p>
        </w:tc>
        <w:tc>
          <w:tcPr>
            <w:tcW w:w="1280" w:type="dxa"/>
            <w:vAlign w:val="bottom"/>
            <w:shd w:val="clear" w:color="auto" w:fill="0066B2"/>
          </w:tcPr>
          <w:p>
            <w:pPr>
              <w:jc w:val="right"/>
              <w:ind w:right="407"/>
              <w:spacing w:after="0"/>
              <w:rPr>
                <w:sz w:val="20"/>
                <w:szCs w:val="20"/>
                <w:color w:val="auto"/>
              </w:rPr>
            </w:pPr>
            <w:r>
              <w:rPr>
                <w:rFonts w:ascii="Arial" w:cs="Arial" w:eastAsia="Arial" w:hAnsi="Arial"/>
                <w:sz w:val="16"/>
                <w:szCs w:val="16"/>
                <w:b w:val="1"/>
                <w:bCs w:val="1"/>
                <w:color w:val="FFFFFF"/>
              </w:rPr>
              <w:t>date</w:t>
            </w:r>
          </w:p>
        </w:tc>
        <w:tc>
          <w:tcPr>
            <w:tcW w:w="1500" w:type="dxa"/>
            <w:vAlign w:val="bottom"/>
            <w:gridSpan w:val="2"/>
            <w:shd w:val="clear" w:color="auto" w:fill="0066B2"/>
          </w:tcPr>
          <w:p>
            <w:pPr>
              <w:ind w:left="340"/>
              <w:spacing w:after="0"/>
              <w:rPr>
                <w:sz w:val="20"/>
                <w:szCs w:val="20"/>
                <w:color w:val="auto"/>
              </w:rPr>
            </w:pPr>
            <w:r>
              <w:rPr>
                <w:rFonts w:ascii="Arial" w:cs="Arial" w:eastAsia="Arial" w:hAnsi="Arial"/>
                <w:sz w:val="16"/>
                <w:szCs w:val="16"/>
                <w:b w:val="1"/>
                <w:bCs w:val="1"/>
                <w:color w:val="FFFFFF"/>
              </w:rPr>
              <w:t>at exercise</w:t>
            </w:r>
          </w:p>
        </w:tc>
        <w:tc>
          <w:tcPr>
            <w:tcW w:w="360" w:type="dxa"/>
            <w:vAlign w:val="bottom"/>
            <w:shd w:val="clear" w:color="auto" w:fill="0066B2"/>
          </w:tcPr>
          <w:p>
            <w:pPr>
              <w:spacing w:after="0"/>
              <w:rPr>
                <w:sz w:val="18"/>
                <w:szCs w:val="18"/>
                <w:color w:val="auto"/>
              </w:rPr>
            </w:pPr>
          </w:p>
        </w:tc>
        <w:tc>
          <w:tcPr>
            <w:tcW w:w="1240" w:type="dxa"/>
            <w:vAlign w:val="bottom"/>
            <w:tcBorders>
              <w:right w:val="single" w:sz="8" w:color="7F7F7F"/>
            </w:tcBorders>
            <w:shd w:val="clear" w:color="auto" w:fill="0066B2"/>
          </w:tcPr>
          <w:p>
            <w:pPr>
              <w:jc w:val="right"/>
              <w:ind w:right="268"/>
              <w:spacing w:after="0"/>
              <w:rPr>
                <w:sz w:val="20"/>
                <w:szCs w:val="20"/>
                <w:color w:val="auto"/>
              </w:rPr>
            </w:pPr>
            <w:r>
              <w:rPr>
                <w:rFonts w:ascii="Arial" w:cs="Arial" w:eastAsia="Arial" w:hAnsi="Arial"/>
                <w:sz w:val="16"/>
                <w:szCs w:val="16"/>
                <w:b w:val="1"/>
                <w:bCs w:val="1"/>
                <w:color w:val="FFFFFF"/>
                <w:w w:val="99"/>
              </w:rPr>
              <w:t>on exercise</w:t>
            </w:r>
          </w:p>
        </w:tc>
      </w:tr>
      <w:tr>
        <w:trPr>
          <w:trHeight w:val="250"/>
        </w:trPr>
        <w:tc>
          <w:tcPr>
            <w:tcW w:w="2320" w:type="dxa"/>
            <w:vAlign w:val="bottom"/>
            <w:tcBorders>
              <w:left w:val="single" w:sz="8" w:color="7F7F7F"/>
              <w:bottom w:val="single" w:sz="8" w:color="D8D8D8"/>
            </w:tcBorders>
            <w:shd w:val="clear" w:color="auto" w:fill="D8D8D8"/>
          </w:tcPr>
          <w:p>
            <w:pPr>
              <w:ind w:left="160"/>
              <w:spacing w:after="0"/>
              <w:rPr>
                <w:sz w:val="20"/>
                <w:szCs w:val="20"/>
                <w:color w:val="auto"/>
              </w:rPr>
            </w:pPr>
            <w:r>
              <w:rPr>
                <w:rFonts w:ascii="Arial" w:cs="Arial" w:eastAsia="Arial" w:hAnsi="Arial"/>
                <w:sz w:val="16"/>
                <w:szCs w:val="16"/>
                <w:color w:val="auto"/>
              </w:rPr>
              <w:t>M.K. Wirth</w:t>
            </w:r>
          </w:p>
        </w:tc>
        <w:tc>
          <w:tcPr>
            <w:tcW w:w="2000" w:type="dxa"/>
            <w:vAlign w:val="bottom"/>
            <w:tcBorders>
              <w:bottom w:val="single" w:sz="8" w:color="D8D8D8"/>
            </w:tcBorders>
            <w:shd w:val="clear" w:color="auto" w:fill="D8D8D8"/>
          </w:tcPr>
          <w:p>
            <w:pPr>
              <w:jc w:val="right"/>
              <w:ind w:right="647"/>
              <w:spacing w:after="0"/>
              <w:rPr>
                <w:sz w:val="20"/>
                <w:szCs w:val="20"/>
                <w:color w:val="auto"/>
              </w:rPr>
            </w:pPr>
            <w:r>
              <w:rPr>
                <w:rFonts w:ascii="Arial" w:cs="Arial" w:eastAsia="Arial" w:hAnsi="Arial"/>
                <w:sz w:val="14"/>
                <w:szCs w:val="14"/>
                <w:color w:val="auto"/>
              </w:rPr>
              <w:t>33,000</w:t>
            </w:r>
          </w:p>
        </w:tc>
        <w:tc>
          <w:tcPr>
            <w:tcW w:w="1080" w:type="dxa"/>
            <w:vAlign w:val="bottom"/>
            <w:tcBorders>
              <w:bottom w:val="single" w:sz="8" w:color="D8D8D8"/>
            </w:tcBorders>
            <w:shd w:val="clear" w:color="auto" w:fill="D8D8D8"/>
          </w:tcPr>
          <w:p>
            <w:pPr>
              <w:jc w:val="right"/>
              <w:ind w:right="187"/>
              <w:spacing w:after="0"/>
              <w:rPr>
                <w:sz w:val="20"/>
                <w:szCs w:val="20"/>
                <w:color w:val="auto"/>
              </w:rPr>
            </w:pPr>
            <w:r>
              <w:rPr>
                <w:rFonts w:ascii="Arial" w:cs="Arial" w:eastAsia="Arial" w:hAnsi="Arial"/>
                <w:sz w:val="14"/>
                <w:szCs w:val="14"/>
                <w:color w:val="auto"/>
              </w:rPr>
              <w:t>1/26/2011</w:t>
            </w:r>
          </w:p>
        </w:tc>
        <w:tc>
          <w:tcPr>
            <w:tcW w:w="40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8D8D8"/>
            </w:tcBorders>
            <w:shd w:val="clear" w:color="auto" w:fill="D8D8D8"/>
          </w:tcPr>
          <w:p>
            <w:pPr>
              <w:jc w:val="right"/>
              <w:ind w:right="228"/>
              <w:spacing w:after="0"/>
              <w:rPr>
                <w:sz w:val="20"/>
                <w:szCs w:val="20"/>
                <w:color w:val="auto"/>
              </w:rPr>
            </w:pPr>
            <w:r>
              <w:rPr>
                <w:rFonts w:ascii="Arial" w:cs="Arial" w:eastAsia="Arial" w:hAnsi="Arial"/>
                <w:sz w:val="14"/>
                <w:szCs w:val="14"/>
                <w:color w:val="auto"/>
              </w:rPr>
              <w:t>94.64</w:t>
            </w:r>
          </w:p>
        </w:tc>
        <w:tc>
          <w:tcPr>
            <w:tcW w:w="1280" w:type="dxa"/>
            <w:vAlign w:val="bottom"/>
            <w:tcBorders>
              <w:bottom w:val="single" w:sz="8" w:color="D8D8D8"/>
            </w:tcBorders>
            <w:shd w:val="clear" w:color="auto" w:fill="D8D8D8"/>
          </w:tcPr>
          <w:p>
            <w:pPr>
              <w:jc w:val="right"/>
              <w:ind w:right="187"/>
              <w:spacing w:after="0"/>
              <w:rPr>
                <w:sz w:val="20"/>
                <w:szCs w:val="20"/>
                <w:color w:val="auto"/>
              </w:rPr>
            </w:pPr>
            <w:r>
              <w:rPr>
                <w:rFonts w:ascii="Arial" w:cs="Arial" w:eastAsia="Arial" w:hAnsi="Arial"/>
                <w:sz w:val="14"/>
                <w:szCs w:val="14"/>
                <w:color w:val="auto"/>
              </w:rPr>
              <w:t>1/19/2021</w:t>
            </w:r>
          </w:p>
        </w:tc>
        <w:tc>
          <w:tcPr>
            <w:tcW w:w="50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8D8D8"/>
            </w:tcBorders>
            <w:shd w:val="clear" w:color="auto" w:fill="D8D8D8"/>
          </w:tcPr>
          <w:p>
            <w:pPr>
              <w:jc w:val="right"/>
              <w:ind w:right="188"/>
              <w:spacing w:after="0"/>
              <w:rPr>
                <w:sz w:val="20"/>
                <w:szCs w:val="20"/>
                <w:color w:val="auto"/>
              </w:rPr>
            </w:pPr>
            <w:r>
              <w:rPr>
                <w:rFonts w:ascii="Arial" w:cs="Arial" w:eastAsia="Arial" w:hAnsi="Arial"/>
                <w:sz w:val="14"/>
                <w:szCs w:val="14"/>
                <w:color w:val="auto"/>
              </w:rPr>
              <w:t>94.7141</w:t>
            </w:r>
          </w:p>
        </w:tc>
        <w:tc>
          <w:tcPr>
            <w:tcW w:w="36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D8D8D8"/>
              <w:right w:val="single" w:sz="8" w:color="7F7F7F"/>
            </w:tcBorders>
            <w:shd w:val="clear" w:color="auto" w:fill="D8D8D8"/>
          </w:tcPr>
          <w:p>
            <w:pPr>
              <w:jc w:val="right"/>
              <w:ind w:right="168"/>
              <w:spacing w:after="0"/>
              <w:rPr>
                <w:sz w:val="20"/>
                <w:szCs w:val="20"/>
                <w:color w:val="auto"/>
              </w:rPr>
            </w:pPr>
            <w:r>
              <w:rPr>
                <w:rFonts w:ascii="Arial" w:cs="Arial" w:eastAsia="Arial" w:hAnsi="Arial"/>
                <w:sz w:val="14"/>
                <w:szCs w:val="14"/>
                <w:color w:val="auto"/>
              </w:rPr>
              <w:t>2,445</w:t>
            </w:r>
          </w:p>
        </w:tc>
      </w:tr>
      <w:tr>
        <w:trPr>
          <w:trHeight w:val="241"/>
        </w:trPr>
        <w:tc>
          <w:tcPr>
            <w:tcW w:w="232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M.K. Wirth</w:t>
            </w:r>
          </w:p>
        </w:tc>
        <w:tc>
          <w:tcPr>
            <w:tcW w:w="2000" w:type="dxa"/>
            <w:vAlign w:val="bottom"/>
          </w:tcPr>
          <w:p>
            <w:pPr>
              <w:jc w:val="right"/>
              <w:ind w:right="647"/>
              <w:spacing w:after="0"/>
              <w:rPr>
                <w:sz w:val="20"/>
                <w:szCs w:val="20"/>
                <w:color w:val="auto"/>
              </w:rPr>
            </w:pPr>
            <w:r>
              <w:rPr>
                <w:rFonts w:ascii="Arial" w:cs="Arial" w:eastAsia="Arial" w:hAnsi="Arial"/>
                <w:sz w:val="14"/>
                <w:szCs w:val="14"/>
                <w:color w:val="auto"/>
              </w:rPr>
              <w:t>33,000</w:t>
            </w:r>
          </w:p>
        </w:tc>
        <w:tc>
          <w:tcPr>
            <w:tcW w:w="1080" w:type="dxa"/>
            <w:vAlign w:val="bottom"/>
          </w:tcPr>
          <w:p>
            <w:pPr>
              <w:jc w:val="right"/>
              <w:ind w:right="187"/>
              <w:spacing w:after="0"/>
              <w:rPr>
                <w:sz w:val="20"/>
                <w:szCs w:val="20"/>
                <w:color w:val="auto"/>
              </w:rPr>
            </w:pPr>
            <w:r>
              <w:rPr>
                <w:rFonts w:ascii="Arial" w:cs="Arial" w:eastAsia="Arial" w:hAnsi="Arial"/>
                <w:sz w:val="14"/>
                <w:szCs w:val="14"/>
                <w:color w:val="auto"/>
              </w:rPr>
              <w:t>1/26/2011</w:t>
            </w:r>
          </w:p>
        </w:tc>
        <w:tc>
          <w:tcPr>
            <w:tcW w:w="400" w:type="dxa"/>
            <w:vAlign w:val="bottom"/>
          </w:tcPr>
          <w:p>
            <w:pPr>
              <w:ind w:left="2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94.64</w:t>
            </w:r>
          </w:p>
        </w:tc>
        <w:tc>
          <w:tcPr>
            <w:tcW w:w="1280" w:type="dxa"/>
            <w:vAlign w:val="bottom"/>
          </w:tcPr>
          <w:p>
            <w:pPr>
              <w:jc w:val="right"/>
              <w:ind w:right="187"/>
              <w:spacing w:after="0"/>
              <w:rPr>
                <w:sz w:val="20"/>
                <w:szCs w:val="20"/>
                <w:color w:val="auto"/>
              </w:rPr>
            </w:pPr>
            <w:r>
              <w:rPr>
                <w:rFonts w:ascii="Arial" w:cs="Arial" w:eastAsia="Arial" w:hAnsi="Arial"/>
                <w:sz w:val="14"/>
                <w:szCs w:val="14"/>
                <w:color w:val="auto"/>
              </w:rPr>
              <w:t>1/19/2021</w:t>
            </w:r>
          </w:p>
        </w:tc>
        <w:tc>
          <w:tcPr>
            <w:tcW w:w="500" w:type="dxa"/>
            <w:vAlign w:val="bottom"/>
          </w:tcPr>
          <w:p>
            <w:pPr>
              <w:ind w:left="2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94.7226</w:t>
            </w:r>
          </w:p>
        </w:tc>
        <w:tc>
          <w:tcPr>
            <w:tcW w:w="360" w:type="dxa"/>
            <w:vAlign w:val="bottom"/>
          </w:tcPr>
          <w:p>
            <w:pPr>
              <w:ind w:left="280"/>
              <w:spacing w:after="0"/>
              <w:rPr>
                <w:sz w:val="20"/>
                <w:szCs w:val="20"/>
                <w:color w:val="auto"/>
              </w:rPr>
            </w:pPr>
            <w:r>
              <w:rPr>
                <w:rFonts w:ascii="Arial" w:cs="Arial" w:eastAsia="Arial" w:hAnsi="Arial"/>
                <w:sz w:val="14"/>
                <w:szCs w:val="14"/>
                <w:color w:val="auto"/>
                <w:w w:val="76"/>
              </w:rPr>
              <w:t>$</w:t>
            </w:r>
          </w:p>
        </w:tc>
        <w:tc>
          <w:tcPr>
            <w:tcW w:w="1240" w:type="dxa"/>
            <w:vAlign w:val="bottom"/>
            <w:tcBorders>
              <w:right w:val="single" w:sz="8" w:color="7F7F7F"/>
            </w:tcBorders>
          </w:tcPr>
          <w:p>
            <w:pPr>
              <w:jc w:val="right"/>
              <w:ind w:right="168"/>
              <w:spacing w:after="0"/>
              <w:rPr>
                <w:sz w:val="20"/>
                <w:szCs w:val="20"/>
                <w:color w:val="auto"/>
              </w:rPr>
            </w:pPr>
            <w:r>
              <w:rPr>
                <w:rFonts w:ascii="Arial" w:cs="Arial" w:eastAsia="Arial" w:hAnsi="Arial"/>
                <w:sz w:val="14"/>
                <w:szCs w:val="14"/>
                <w:color w:val="auto"/>
              </w:rPr>
              <w:t>2,726</w:t>
            </w:r>
          </w:p>
        </w:tc>
      </w:tr>
      <w:tr>
        <w:trPr>
          <w:trHeight w:val="29"/>
        </w:trPr>
        <w:tc>
          <w:tcPr>
            <w:tcW w:w="2320" w:type="dxa"/>
            <w:vAlign w:val="bottom"/>
            <w:tcBorders>
              <w:left w:val="single" w:sz="8" w:color="7F7F7F"/>
            </w:tcBorders>
          </w:tcPr>
          <w:p>
            <w:pPr>
              <w:spacing w:after="0"/>
              <w:rPr>
                <w:sz w:val="2"/>
                <w:szCs w:val="2"/>
                <w:color w:val="auto"/>
              </w:rPr>
            </w:pPr>
          </w:p>
        </w:tc>
        <w:tc>
          <w:tcPr>
            <w:tcW w:w="2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Borders>
              <w:right w:val="single" w:sz="8" w:color="7F7F7F"/>
            </w:tcBorders>
          </w:tcPr>
          <w:p>
            <w:pPr>
              <w:spacing w:after="0"/>
              <w:rPr>
                <w:sz w:val="2"/>
                <w:szCs w:val="2"/>
                <w:color w:val="auto"/>
              </w:rPr>
            </w:pPr>
          </w:p>
        </w:tc>
      </w:tr>
      <w:tr>
        <w:trPr>
          <w:trHeight w:val="250"/>
        </w:trPr>
        <w:tc>
          <w:tcPr>
            <w:tcW w:w="2320" w:type="dxa"/>
            <w:vAlign w:val="bottom"/>
            <w:tcBorders>
              <w:left w:val="single" w:sz="8" w:color="7F7F7F"/>
              <w:bottom w:val="single" w:sz="8" w:color="D8D8D8"/>
            </w:tcBorders>
            <w:shd w:val="clear" w:color="auto" w:fill="D8D8D8"/>
          </w:tcPr>
          <w:p>
            <w:pPr>
              <w:ind w:left="160"/>
              <w:spacing w:after="0"/>
              <w:rPr>
                <w:sz w:val="20"/>
                <w:szCs w:val="20"/>
                <w:color w:val="auto"/>
              </w:rPr>
            </w:pPr>
            <w:r>
              <w:rPr>
                <w:rFonts w:ascii="Arial" w:cs="Arial" w:eastAsia="Arial" w:hAnsi="Arial"/>
                <w:sz w:val="16"/>
                <w:szCs w:val="16"/>
                <w:color w:val="auto"/>
              </w:rPr>
              <w:t>M.K. Wirth</w:t>
            </w:r>
          </w:p>
        </w:tc>
        <w:tc>
          <w:tcPr>
            <w:tcW w:w="2000" w:type="dxa"/>
            <w:vAlign w:val="bottom"/>
            <w:tcBorders>
              <w:bottom w:val="single" w:sz="8" w:color="D8D8D8"/>
            </w:tcBorders>
            <w:shd w:val="clear" w:color="auto" w:fill="D8D8D8"/>
          </w:tcPr>
          <w:p>
            <w:pPr>
              <w:jc w:val="right"/>
              <w:ind w:right="647"/>
              <w:spacing w:after="0"/>
              <w:rPr>
                <w:sz w:val="20"/>
                <w:szCs w:val="20"/>
                <w:color w:val="auto"/>
              </w:rPr>
            </w:pPr>
            <w:r>
              <w:rPr>
                <w:rFonts w:ascii="Arial" w:cs="Arial" w:eastAsia="Arial" w:hAnsi="Arial"/>
                <w:sz w:val="14"/>
                <w:szCs w:val="14"/>
                <w:color w:val="auto"/>
              </w:rPr>
              <w:t>33,000</w:t>
            </w:r>
          </w:p>
        </w:tc>
        <w:tc>
          <w:tcPr>
            <w:tcW w:w="1080" w:type="dxa"/>
            <w:vAlign w:val="bottom"/>
            <w:tcBorders>
              <w:bottom w:val="single" w:sz="8" w:color="D8D8D8"/>
            </w:tcBorders>
            <w:shd w:val="clear" w:color="auto" w:fill="D8D8D8"/>
          </w:tcPr>
          <w:p>
            <w:pPr>
              <w:jc w:val="right"/>
              <w:ind w:right="187"/>
              <w:spacing w:after="0"/>
              <w:rPr>
                <w:sz w:val="20"/>
                <w:szCs w:val="20"/>
                <w:color w:val="auto"/>
              </w:rPr>
            </w:pPr>
            <w:r>
              <w:rPr>
                <w:rFonts w:ascii="Arial" w:cs="Arial" w:eastAsia="Arial" w:hAnsi="Arial"/>
                <w:sz w:val="14"/>
                <w:szCs w:val="14"/>
                <w:color w:val="auto"/>
              </w:rPr>
              <w:t>1/26/2011</w:t>
            </w:r>
          </w:p>
        </w:tc>
        <w:tc>
          <w:tcPr>
            <w:tcW w:w="40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8D8D8"/>
            </w:tcBorders>
            <w:shd w:val="clear" w:color="auto" w:fill="D8D8D8"/>
          </w:tcPr>
          <w:p>
            <w:pPr>
              <w:jc w:val="right"/>
              <w:ind w:right="228"/>
              <w:spacing w:after="0"/>
              <w:rPr>
                <w:sz w:val="20"/>
                <w:szCs w:val="20"/>
                <w:color w:val="auto"/>
              </w:rPr>
            </w:pPr>
            <w:r>
              <w:rPr>
                <w:rFonts w:ascii="Arial" w:cs="Arial" w:eastAsia="Arial" w:hAnsi="Arial"/>
                <w:sz w:val="14"/>
                <w:szCs w:val="14"/>
                <w:color w:val="auto"/>
              </w:rPr>
              <w:t>94.64</w:t>
            </w:r>
          </w:p>
        </w:tc>
        <w:tc>
          <w:tcPr>
            <w:tcW w:w="1280" w:type="dxa"/>
            <w:vAlign w:val="bottom"/>
            <w:tcBorders>
              <w:bottom w:val="single" w:sz="8" w:color="D8D8D8"/>
            </w:tcBorders>
            <w:shd w:val="clear" w:color="auto" w:fill="D8D8D8"/>
          </w:tcPr>
          <w:p>
            <w:pPr>
              <w:jc w:val="right"/>
              <w:ind w:right="187"/>
              <w:spacing w:after="0"/>
              <w:rPr>
                <w:sz w:val="20"/>
                <w:szCs w:val="20"/>
                <w:color w:val="auto"/>
              </w:rPr>
            </w:pPr>
            <w:r>
              <w:rPr>
                <w:rFonts w:ascii="Arial" w:cs="Arial" w:eastAsia="Arial" w:hAnsi="Arial"/>
                <w:sz w:val="14"/>
                <w:szCs w:val="14"/>
                <w:color w:val="auto"/>
              </w:rPr>
              <w:t>1/19/2021</w:t>
            </w:r>
          </w:p>
        </w:tc>
        <w:tc>
          <w:tcPr>
            <w:tcW w:w="50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8D8D8"/>
            </w:tcBorders>
            <w:shd w:val="clear" w:color="auto" w:fill="D8D8D8"/>
          </w:tcPr>
          <w:p>
            <w:pPr>
              <w:jc w:val="right"/>
              <w:ind w:right="188"/>
              <w:spacing w:after="0"/>
              <w:rPr>
                <w:sz w:val="20"/>
                <w:szCs w:val="20"/>
                <w:color w:val="auto"/>
              </w:rPr>
            </w:pPr>
            <w:r>
              <w:rPr>
                <w:rFonts w:ascii="Arial" w:cs="Arial" w:eastAsia="Arial" w:hAnsi="Arial"/>
                <w:sz w:val="14"/>
                <w:szCs w:val="14"/>
                <w:color w:val="auto"/>
              </w:rPr>
              <w:t>94.7596</w:t>
            </w:r>
          </w:p>
        </w:tc>
        <w:tc>
          <w:tcPr>
            <w:tcW w:w="36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D8D8D8"/>
              <w:right w:val="single" w:sz="8" w:color="7F7F7F"/>
            </w:tcBorders>
            <w:shd w:val="clear" w:color="auto" w:fill="D8D8D8"/>
          </w:tcPr>
          <w:p>
            <w:pPr>
              <w:jc w:val="right"/>
              <w:ind w:right="168"/>
              <w:spacing w:after="0"/>
              <w:rPr>
                <w:sz w:val="20"/>
                <w:szCs w:val="20"/>
                <w:color w:val="auto"/>
              </w:rPr>
            </w:pPr>
            <w:r>
              <w:rPr>
                <w:rFonts w:ascii="Arial" w:cs="Arial" w:eastAsia="Arial" w:hAnsi="Arial"/>
                <w:sz w:val="14"/>
                <w:szCs w:val="14"/>
                <w:color w:val="auto"/>
              </w:rPr>
              <w:t>3,947</w:t>
            </w:r>
          </w:p>
        </w:tc>
      </w:tr>
      <w:tr>
        <w:trPr>
          <w:trHeight w:val="241"/>
        </w:trPr>
        <w:tc>
          <w:tcPr>
            <w:tcW w:w="232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M.K. Wirth</w:t>
            </w:r>
          </w:p>
        </w:tc>
        <w:tc>
          <w:tcPr>
            <w:tcW w:w="2000" w:type="dxa"/>
            <w:vAlign w:val="bottom"/>
          </w:tcPr>
          <w:p>
            <w:pPr>
              <w:jc w:val="right"/>
              <w:ind w:right="647"/>
              <w:spacing w:after="0"/>
              <w:rPr>
                <w:sz w:val="20"/>
                <w:szCs w:val="20"/>
                <w:color w:val="auto"/>
              </w:rPr>
            </w:pPr>
            <w:r>
              <w:rPr>
                <w:rFonts w:ascii="Arial" w:cs="Arial" w:eastAsia="Arial" w:hAnsi="Arial"/>
                <w:sz w:val="14"/>
                <w:szCs w:val="14"/>
                <w:color w:val="auto"/>
              </w:rPr>
              <w:t>33,000</w:t>
            </w:r>
          </w:p>
        </w:tc>
        <w:tc>
          <w:tcPr>
            <w:tcW w:w="1080" w:type="dxa"/>
            <w:vAlign w:val="bottom"/>
          </w:tcPr>
          <w:p>
            <w:pPr>
              <w:jc w:val="right"/>
              <w:ind w:right="187"/>
              <w:spacing w:after="0"/>
              <w:rPr>
                <w:sz w:val="20"/>
                <w:szCs w:val="20"/>
                <w:color w:val="auto"/>
              </w:rPr>
            </w:pPr>
            <w:r>
              <w:rPr>
                <w:rFonts w:ascii="Arial" w:cs="Arial" w:eastAsia="Arial" w:hAnsi="Arial"/>
                <w:sz w:val="14"/>
                <w:szCs w:val="14"/>
                <w:color w:val="auto"/>
              </w:rPr>
              <w:t>1/26/2011</w:t>
            </w:r>
          </w:p>
        </w:tc>
        <w:tc>
          <w:tcPr>
            <w:tcW w:w="400" w:type="dxa"/>
            <w:vAlign w:val="bottom"/>
          </w:tcPr>
          <w:p>
            <w:pPr>
              <w:ind w:left="2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94.64</w:t>
            </w:r>
          </w:p>
        </w:tc>
        <w:tc>
          <w:tcPr>
            <w:tcW w:w="1280" w:type="dxa"/>
            <w:vAlign w:val="bottom"/>
          </w:tcPr>
          <w:p>
            <w:pPr>
              <w:jc w:val="right"/>
              <w:ind w:right="187"/>
              <w:spacing w:after="0"/>
              <w:rPr>
                <w:sz w:val="20"/>
                <w:szCs w:val="20"/>
                <w:color w:val="auto"/>
              </w:rPr>
            </w:pPr>
            <w:r>
              <w:rPr>
                <w:rFonts w:ascii="Arial" w:cs="Arial" w:eastAsia="Arial" w:hAnsi="Arial"/>
                <w:sz w:val="14"/>
                <w:szCs w:val="14"/>
                <w:color w:val="auto"/>
              </w:rPr>
              <w:t>1/19/2021</w:t>
            </w:r>
          </w:p>
        </w:tc>
        <w:tc>
          <w:tcPr>
            <w:tcW w:w="500" w:type="dxa"/>
            <w:vAlign w:val="bottom"/>
          </w:tcPr>
          <w:p>
            <w:pPr>
              <w:ind w:left="2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94.7156</w:t>
            </w:r>
          </w:p>
        </w:tc>
        <w:tc>
          <w:tcPr>
            <w:tcW w:w="360" w:type="dxa"/>
            <w:vAlign w:val="bottom"/>
          </w:tcPr>
          <w:p>
            <w:pPr>
              <w:ind w:left="280"/>
              <w:spacing w:after="0"/>
              <w:rPr>
                <w:sz w:val="20"/>
                <w:szCs w:val="20"/>
                <w:color w:val="auto"/>
              </w:rPr>
            </w:pPr>
            <w:r>
              <w:rPr>
                <w:rFonts w:ascii="Arial" w:cs="Arial" w:eastAsia="Arial" w:hAnsi="Arial"/>
                <w:sz w:val="14"/>
                <w:szCs w:val="14"/>
                <w:color w:val="auto"/>
                <w:w w:val="76"/>
              </w:rPr>
              <w:t>$</w:t>
            </w:r>
          </w:p>
        </w:tc>
        <w:tc>
          <w:tcPr>
            <w:tcW w:w="1240" w:type="dxa"/>
            <w:vAlign w:val="bottom"/>
            <w:tcBorders>
              <w:right w:val="single" w:sz="8" w:color="7F7F7F"/>
            </w:tcBorders>
          </w:tcPr>
          <w:p>
            <w:pPr>
              <w:jc w:val="right"/>
              <w:ind w:right="168"/>
              <w:spacing w:after="0"/>
              <w:rPr>
                <w:sz w:val="20"/>
                <w:szCs w:val="20"/>
                <w:color w:val="auto"/>
              </w:rPr>
            </w:pPr>
            <w:r>
              <w:rPr>
                <w:rFonts w:ascii="Arial" w:cs="Arial" w:eastAsia="Arial" w:hAnsi="Arial"/>
                <w:sz w:val="14"/>
                <w:szCs w:val="14"/>
                <w:color w:val="auto"/>
              </w:rPr>
              <w:t>2,495</w:t>
            </w:r>
          </w:p>
        </w:tc>
      </w:tr>
      <w:tr>
        <w:trPr>
          <w:trHeight w:val="29"/>
        </w:trPr>
        <w:tc>
          <w:tcPr>
            <w:tcW w:w="2320" w:type="dxa"/>
            <w:vAlign w:val="bottom"/>
            <w:tcBorders>
              <w:left w:val="single" w:sz="8" w:color="7F7F7F"/>
            </w:tcBorders>
          </w:tcPr>
          <w:p>
            <w:pPr>
              <w:spacing w:after="0"/>
              <w:rPr>
                <w:sz w:val="2"/>
                <w:szCs w:val="2"/>
                <w:color w:val="auto"/>
              </w:rPr>
            </w:pPr>
          </w:p>
        </w:tc>
        <w:tc>
          <w:tcPr>
            <w:tcW w:w="2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Borders>
              <w:right w:val="single" w:sz="8" w:color="7F7F7F"/>
            </w:tcBorders>
          </w:tcPr>
          <w:p>
            <w:pPr>
              <w:spacing w:after="0"/>
              <w:rPr>
                <w:sz w:val="2"/>
                <w:szCs w:val="2"/>
                <w:color w:val="auto"/>
              </w:rPr>
            </w:pPr>
          </w:p>
        </w:tc>
      </w:tr>
      <w:tr>
        <w:trPr>
          <w:trHeight w:val="250"/>
        </w:trPr>
        <w:tc>
          <w:tcPr>
            <w:tcW w:w="2320" w:type="dxa"/>
            <w:vAlign w:val="bottom"/>
            <w:tcBorders>
              <w:left w:val="single" w:sz="8" w:color="7F7F7F"/>
              <w:bottom w:val="single" w:sz="8" w:color="D8D8D8"/>
            </w:tcBorders>
            <w:shd w:val="clear" w:color="auto" w:fill="D8D8D8"/>
          </w:tcPr>
          <w:p>
            <w:pPr>
              <w:ind w:left="160"/>
              <w:spacing w:after="0"/>
              <w:rPr>
                <w:sz w:val="20"/>
                <w:szCs w:val="20"/>
                <w:color w:val="auto"/>
              </w:rPr>
            </w:pPr>
            <w:r>
              <w:rPr>
                <w:rFonts w:ascii="Arial" w:cs="Arial" w:eastAsia="Arial" w:hAnsi="Arial"/>
                <w:sz w:val="16"/>
                <w:szCs w:val="16"/>
                <w:color w:val="auto"/>
              </w:rPr>
              <w:t>M.K. Wirth</w:t>
            </w:r>
          </w:p>
        </w:tc>
        <w:tc>
          <w:tcPr>
            <w:tcW w:w="2000" w:type="dxa"/>
            <w:vAlign w:val="bottom"/>
            <w:tcBorders>
              <w:bottom w:val="single" w:sz="8" w:color="D8D8D8"/>
            </w:tcBorders>
            <w:shd w:val="clear" w:color="auto" w:fill="D8D8D8"/>
          </w:tcPr>
          <w:p>
            <w:pPr>
              <w:jc w:val="right"/>
              <w:ind w:right="647"/>
              <w:spacing w:after="0"/>
              <w:rPr>
                <w:sz w:val="20"/>
                <w:szCs w:val="20"/>
                <w:color w:val="auto"/>
              </w:rPr>
            </w:pPr>
            <w:r>
              <w:rPr>
                <w:rFonts w:ascii="Arial" w:cs="Arial" w:eastAsia="Arial" w:hAnsi="Arial"/>
                <w:sz w:val="14"/>
                <w:szCs w:val="14"/>
                <w:color w:val="auto"/>
              </w:rPr>
              <w:t>26,250</w:t>
            </w:r>
          </w:p>
        </w:tc>
        <w:tc>
          <w:tcPr>
            <w:tcW w:w="1080" w:type="dxa"/>
            <w:vAlign w:val="bottom"/>
            <w:tcBorders>
              <w:bottom w:val="single" w:sz="8" w:color="D8D8D8"/>
            </w:tcBorders>
            <w:shd w:val="clear" w:color="auto" w:fill="D8D8D8"/>
          </w:tcPr>
          <w:p>
            <w:pPr>
              <w:jc w:val="right"/>
              <w:ind w:right="187"/>
              <w:spacing w:after="0"/>
              <w:rPr>
                <w:sz w:val="20"/>
                <w:szCs w:val="20"/>
                <w:color w:val="auto"/>
              </w:rPr>
            </w:pPr>
            <w:r>
              <w:rPr>
                <w:rFonts w:ascii="Arial" w:cs="Arial" w:eastAsia="Arial" w:hAnsi="Arial"/>
                <w:sz w:val="14"/>
                <w:szCs w:val="14"/>
                <w:color w:val="auto"/>
              </w:rPr>
              <w:t>1/25/2012</w:t>
            </w:r>
          </w:p>
        </w:tc>
        <w:tc>
          <w:tcPr>
            <w:tcW w:w="40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8D8D8"/>
            </w:tcBorders>
            <w:shd w:val="clear" w:color="auto" w:fill="D8D8D8"/>
          </w:tcPr>
          <w:p>
            <w:pPr>
              <w:jc w:val="right"/>
              <w:ind w:right="228"/>
              <w:spacing w:after="0"/>
              <w:rPr>
                <w:sz w:val="20"/>
                <w:szCs w:val="20"/>
                <w:color w:val="auto"/>
              </w:rPr>
            </w:pPr>
            <w:r>
              <w:rPr>
                <w:rFonts w:ascii="Arial" w:cs="Arial" w:eastAsia="Arial" w:hAnsi="Arial"/>
                <w:sz w:val="14"/>
                <w:szCs w:val="14"/>
                <w:color w:val="auto"/>
              </w:rPr>
              <w:t>107.73</w:t>
            </w:r>
          </w:p>
        </w:tc>
        <w:tc>
          <w:tcPr>
            <w:tcW w:w="1280" w:type="dxa"/>
            <w:vAlign w:val="bottom"/>
            <w:tcBorders>
              <w:bottom w:val="single" w:sz="8" w:color="D8D8D8"/>
            </w:tcBorders>
            <w:shd w:val="clear" w:color="auto" w:fill="D8D8D8"/>
          </w:tcPr>
          <w:p>
            <w:pPr>
              <w:jc w:val="right"/>
              <w:ind w:right="187"/>
              <w:spacing w:after="0"/>
              <w:rPr>
                <w:sz w:val="20"/>
                <w:szCs w:val="20"/>
                <w:color w:val="auto"/>
              </w:rPr>
            </w:pPr>
            <w:r>
              <w:rPr>
                <w:rFonts w:ascii="Arial" w:cs="Arial" w:eastAsia="Arial" w:hAnsi="Arial"/>
                <w:sz w:val="14"/>
                <w:szCs w:val="14"/>
                <w:color w:val="auto"/>
              </w:rPr>
              <w:t>11/4/2021</w:t>
            </w:r>
          </w:p>
        </w:tc>
        <w:tc>
          <w:tcPr>
            <w:tcW w:w="50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8D8D8"/>
            </w:tcBorders>
            <w:shd w:val="clear" w:color="auto" w:fill="D8D8D8"/>
          </w:tcPr>
          <w:p>
            <w:pPr>
              <w:jc w:val="right"/>
              <w:ind w:right="188"/>
              <w:spacing w:after="0"/>
              <w:rPr>
                <w:sz w:val="20"/>
                <w:szCs w:val="20"/>
                <w:color w:val="auto"/>
              </w:rPr>
            </w:pPr>
            <w:r>
              <w:rPr>
                <w:rFonts w:ascii="Arial" w:cs="Arial" w:eastAsia="Arial" w:hAnsi="Arial"/>
                <w:sz w:val="14"/>
                <w:szCs w:val="14"/>
                <w:color w:val="auto"/>
              </w:rPr>
              <w:t>113.7948</w:t>
            </w:r>
          </w:p>
        </w:tc>
        <w:tc>
          <w:tcPr>
            <w:tcW w:w="36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D8D8D8"/>
              <w:right w:val="single" w:sz="8" w:color="7F7F7F"/>
            </w:tcBorders>
            <w:shd w:val="clear" w:color="auto" w:fill="D8D8D8"/>
          </w:tcPr>
          <w:p>
            <w:pPr>
              <w:jc w:val="right"/>
              <w:ind w:right="168"/>
              <w:spacing w:after="0"/>
              <w:rPr>
                <w:sz w:val="20"/>
                <w:szCs w:val="20"/>
                <w:color w:val="auto"/>
              </w:rPr>
            </w:pPr>
            <w:r>
              <w:rPr>
                <w:rFonts w:ascii="Arial" w:cs="Arial" w:eastAsia="Arial" w:hAnsi="Arial"/>
                <w:sz w:val="14"/>
                <w:szCs w:val="14"/>
                <w:color w:val="auto"/>
              </w:rPr>
              <w:t>159,201</w:t>
            </w:r>
          </w:p>
        </w:tc>
      </w:tr>
      <w:tr>
        <w:trPr>
          <w:trHeight w:val="241"/>
        </w:trPr>
        <w:tc>
          <w:tcPr>
            <w:tcW w:w="232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M.K. Wirth</w:t>
            </w:r>
          </w:p>
        </w:tc>
        <w:tc>
          <w:tcPr>
            <w:tcW w:w="2000" w:type="dxa"/>
            <w:vAlign w:val="bottom"/>
          </w:tcPr>
          <w:p>
            <w:pPr>
              <w:jc w:val="right"/>
              <w:ind w:right="647"/>
              <w:spacing w:after="0"/>
              <w:rPr>
                <w:sz w:val="20"/>
                <w:szCs w:val="20"/>
                <w:color w:val="auto"/>
              </w:rPr>
            </w:pPr>
            <w:r>
              <w:rPr>
                <w:rFonts w:ascii="Arial" w:cs="Arial" w:eastAsia="Arial" w:hAnsi="Arial"/>
                <w:sz w:val="14"/>
                <w:szCs w:val="14"/>
                <w:color w:val="auto"/>
              </w:rPr>
              <w:t>26,250</w:t>
            </w:r>
          </w:p>
        </w:tc>
        <w:tc>
          <w:tcPr>
            <w:tcW w:w="1080" w:type="dxa"/>
            <w:vAlign w:val="bottom"/>
          </w:tcPr>
          <w:p>
            <w:pPr>
              <w:jc w:val="right"/>
              <w:ind w:right="187"/>
              <w:spacing w:after="0"/>
              <w:rPr>
                <w:sz w:val="20"/>
                <w:szCs w:val="20"/>
                <w:color w:val="auto"/>
              </w:rPr>
            </w:pPr>
            <w:r>
              <w:rPr>
                <w:rFonts w:ascii="Arial" w:cs="Arial" w:eastAsia="Arial" w:hAnsi="Arial"/>
                <w:sz w:val="14"/>
                <w:szCs w:val="14"/>
                <w:color w:val="auto"/>
              </w:rPr>
              <w:t>1/25/2012</w:t>
            </w:r>
          </w:p>
        </w:tc>
        <w:tc>
          <w:tcPr>
            <w:tcW w:w="400" w:type="dxa"/>
            <w:vAlign w:val="bottom"/>
          </w:tcPr>
          <w:p>
            <w:pPr>
              <w:ind w:left="2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107.73</w:t>
            </w:r>
          </w:p>
        </w:tc>
        <w:tc>
          <w:tcPr>
            <w:tcW w:w="1280" w:type="dxa"/>
            <w:vAlign w:val="bottom"/>
          </w:tcPr>
          <w:p>
            <w:pPr>
              <w:jc w:val="right"/>
              <w:ind w:right="187"/>
              <w:spacing w:after="0"/>
              <w:rPr>
                <w:sz w:val="20"/>
                <w:szCs w:val="20"/>
                <w:color w:val="auto"/>
              </w:rPr>
            </w:pPr>
            <w:r>
              <w:rPr>
                <w:rFonts w:ascii="Arial" w:cs="Arial" w:eastAsia="Arial" w:hAnsi="Arial"/>
                <w:sz w:val="14"/>
                <w:szCs w:val="14"/>
                <w:color w:val="auto"/>
              </w:rPr>
              <w:t>11/4/2021</w:t>
            </w:r>
          </w:p>
        </w:tc>
        <w:tc>
          <w:tcPr>
            <w:tcW w:w="500" w:type="dxa"/>
            <w:vAlign w:val="bottom"/>
          </w:tcPr>
          <w:p>
            <w:pPr>
              <w:ind w:left="2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113.7916</w:t>
            </w:r>
          </w:p>
        </w:tc>
        <w:tc>
          <w:tcPr>
            <w:tcW w:w="360" w:type="dxa"/>
            <w:vAlign w:val="bottom"/>
          </w:tcPr>
          <w:p>
            <w:pPr>
              <w:ind w:left="280"/>
              <w:spacing w:after="0"/>
              <w:rPr>
                <w:sz w:val="20"/>
                <w:szCs w:val="20"/>
                <w:color w:val="auto"/>
              </w:rPr>
            </w:pPr>
            <w:r>
              <w:rPr>
                <w:rFonts w:ascii="Arial" w:cs="Arial" w:eastAsia="Arial" w:hAnsi="Arial"/>
                <w:sz w:val="14"/>
                <w:szCs w:val="14"/>
                <w:color w:val="auto"/>
                <w:w w:val="76"/>
              </w:rPr>
              <w:t>$</w:t>
            </w:r>
          </w:p>
        </w:tc>
        <w:tc>
          <w:tcPr>
            <w:tcW w:w="1240" w:type="dxa"/>
            <w:vAlign w:val="bottom"/>
            <w:tcBorders>
              <w:right w:val="single" w:sz="8" w:color="7F7F7F"/>
            </w:tcBorders>
          </w:tcPr>
          <w:p>
            <w:pPr>
              <w:jc w:val="right"/>
              <w:ind w:right="168"/>
              <w:spacing w:after="0"/>
              <w:rPr>
                <w:sz w:val="20"/>
                <w:szCs w:val="20"/>
                <w:color w:val="auto"/>
              </w:rPr>
            </w:pPr>
            <w:r>
              <w:rPr>
                <w:rFonts w:ascii="Arial" w:cs="Arial" w:eastAsia="Arial" w:hAnsi="Arial"/>
                <w:sz w:val="14"/>
                <w:szCs w:val="14"/>
                <w:color w:val="auto"/>
              </w:rPr>
              <w:t>159,117</w:t>
            </w:r>
          </w:p>
        </w:tc>
      </w:tr>
      <w:tr>
        <w:trPr>
          <w:trHeight w:val="29"/>
        </w:trPr>
        <w:tc>
          <w:tcPr>
            <w:tcW w:w="2320" w:type="dxa"/>
            <w:vAlign w:val="bottom"/>
            <w:tcBorders>
              <w:left w:val="single" w:sz="8" w:color="7F7F7F"/>
            </w:tcBorders>
          </w:tcPr>
          <w:p>
            <w:pPr>
              <w:spacing w:after="0"/>
              <w:rPr>
                <w:sz w:val="2"/>
                <w:szCs w:val="2"/>
                <w:color w:val="auto"/>
              </w:rPr>
            </w:pPr>
          </w:p>
        </w:tc>
        <w:tc>
          <w:tcPr>
            <w:tcW w:w="2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Borders>
              <w:right w:val="single" w:sz="8" w:color="7F7F7F"/>
            </w:tcBorders>
          </w:tcPr>
          <w:p>
            <w:pPr>
              <w:spacing w:after="0"/>
              <w:rPr>
                <w:sz w:val="2"/>
                <w:szCs w:val="2"/>
                <w:color w:val="auto"/>
              </w:rPr>
            </w:pPr>
          </w:p>
        </w:tc>
      </w:tr>
      <w:tr>
        <w:trPr>
          <w:trHeight w:val="250"/>
        </w:trPr>
        <w:tc>
          <w:tcPr>
            <w:tcW w:w="2320" w:type="dxa"/>
            <w:vAlign w:val="bottom"/>
            <w:tcBorders>
              <w:left w:val="single" w:sz="8" w:color="7F7F7F"/>
              <w:bottom w:val="single" w:sz="8" w:color="D8D8D8"/>
            </w:tcBorders>
            <w:shd w:val="clear" w:color="auto" w:fill="D8D8D8"/>
          </w:tcPr>
          <w:p>
            <w:pPr>
              <w:ind w:left="160"/>
              <w:spacing w:after="0"/>
              <w:rPr>
                <w:sz w:val="20"/>
                <w:szCs w:val="20"/>
                <w:color w:val="auto"/>
              </w:rPr>
            </w:pPr>
            <w:r>
              <w:rPr>
                <w:rFonts w:ascii="Arial" w:cs="Arial" w:eastAsia="Arial" w:hAnsi="Arial"/>
                <w:sz w:val="16"/>
                <w:szCs w:val="16"/>
                <w:color w:val="auto"/>
              </w:rPr>
              <w:t>M.K. Wirth</w:t>
            </w:r>
          </w:p>
        </w:tc>
        <w:tc>
          <w:tcPr>
            <w:tcW w:w="2000" w:type="dxa"/>
            <w:vAlign w:val="bottom"/>
            <w:tcBorders>
              <w:bottom w:val="single" w:sz="8" w:color="D8D8D8"/>
            </w:tcBorders>
            <w:shd w:val="clear" w:color="auto" w:fill="D8D8D8"/>
          </w:tcPr>
          <w:p>
            <w:pPr>
              <w:jc w:val="right"/>
              <w:ind w:right="647"/>
              <w:spacing w:after="0"/>
              <w:rPr>
                <w:sz w:val="20"/>
                <w:szCs w:val="20"/>
                <w:color w:val="auto"/>
              </w:rPr>
            </w:pPr>
            <w:r>
              <w:rPr>
                <w:rFonts w:ascii="Arial" w:cs="Arial" w:eastAsia="Arial" w:hAnsi="Arial"/>
                <w:sz w:val="14"/>
                <w:szCs w:val="14"/>
                <w:color w:val="auto"/>
              </w:rPr>
              <w:t>26,250</w:t>
            </w:r>
          </w:p>
        </w:tc>
        <w:tc>
          <w:tcPr>
            <w:tcW w:w="1080" w:type="dxa"/>
            <w:vAlign w:val="bottom"/>
            <w:tcBorders>
              <w:bottom w:val="single" w:sz="8" w:color="D8D8D8"/>
            </w:tcBorders>
            <w:shd w:val="clear" w:color="auto" w:fill="D8D8D8"/>
          </w:tcPr>
          <w:p>
            <w:pPr>
              <w:jc w:val="right"/>
              <w:ind w:right="187"/>
              <w:spacing w:after="0"/>
              <w:rPr>
                <w:sz w:val="20"/>
                <w:szCs w:val="20"/>
                <w:color w:val="auto"/>
              </w:rPr>
            </w:pPr>
            <w:r>
              <w:rPr>
                <w:rFonts w:ascii="Arial" w:cs="Arial" w:eastAsia="Arial" w:hAnsi="Arial"/>
                <w:sz w:val="14"/>
                <w:szCs w:val="14"/>
                <w:color w:val="auto"/>
              </w:rPr>
              <w:t>1/25/2012</w:t>
            </w:r>
          </w:p>
        </w:tc>
        <w:tc>
          <w:tcPr>
            <w:tcW w:w="40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8D8D8"/>
            </w:tcBorders>
            <w:shd w:val="clear" w:color="auto" w:fill="D8D8D8"/>
          </w:tcPr>
          <w:p>
            <w:pPr>
              <w:jc w:val="right"/>
              <w:ind w:right="228"/>
              <w:spacing w:after="0"/>
              <w:rPr>
                <w:sz w:val="20"/>
                <w:szCs w:val="20"/>
                <w:color w:val="auto"/>
              </w:rPr>
            </w:pPr>
            <w:r>
              <w:rPr>
                <w:rFonts w:ascii="Arial" w:cs="Arial" w:eastAsia="Arial" w:hAnsi="Arial"/>
                <w:sz w:val="14"/>
                <w:szCs w:val="14"/>
                <w:color w:val="auto"/>
              </w:rPr>
              <w:t>107.73</w:t>
            </w:r>
          </w:p>
        </w:tc>
        <w:tc>
          <w:tcPr>
            <w:tcW w:w="1280" w:type="dxa"/>
            <w:vAlign w:val="bottom"/>
            <w:tcBorders>
              <w:bottom w:val="single" w:sz="8" w:color="D8D8D8"/>
            </w:tcBorders>
            <w:shd w:val="clear" w:color="auto" w:fill="D8D8D8"/>
          </w:tcPr>
          <w:p>
            <w:pPr>
              <w:jc w:val="right"/>
              <w:ind w:right="187"/>
              <w:spacing w:after="0"/>
              <w:rPr>
                <w:sz w:val="20"/>
                <w:szCs w:val="20"/>
                <w:color w:val="auto"/>
              </w:rPr>
            </w:pPr>
            <w:r>
              <w:rPr>
                <w:rFonts w:ascii="Arial" w:cs="Arial" w:eastAsia="Arial" w:hAnsi="Arial"/>
                <w:sz w:val="14"/>
                <w:szCs w:val="14"/>
                <w:color w:val="auto"/>
              </w:rPr>
              <w:t>11/16/2021</w:t>
            </w:r>
          </w:p>
        </w:tc>
        <w:tc>
          <w:tcPr>
            <w:tcW w:w="50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8D8D8"/>
            </w:tcBorders>
            <w:shd w:val="clear" w:color="auto" w:fill="D8D8D8"/>
          </w:tcPr>
          <w:p>
            <w:pPr>
              <w:jc w:val="right"/>
              <w:ind w:right="188"/>
              <w:spacing w:after="0"/>
              <w:rPr>
                <w:sz w:val="20"/>
                <w:szCs w:val="20"/>
                <w:color w:val="auto"/>
              </w:rPr>
            </w:pPr>
            <w:r>
              <w:rPr>
                <w:rFonts w:ascii="Arial" w:cs="Arial" w:eastAsia="Arial" w:hAnsi="Arial"/>
                <w:sz w:val="14"/>
                <w:szCs w:val="14"/>
                <w:color w:val="auto"/>
              </w:rPr>
              <w:t>118.0122</w:t>
            </w:r>
          </w:p>
        </w:tc>
        <w:tc>
          <w:tcPr>
            <w:tcW w:w="36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D8D8D8"/>
              <w:right w:val="single" w:sz="8" w:color="7F7F7F"/>
            </w:tcBorders>
            <w:shd w:val="clear" w:color="auto" w:fill="D8D8D8"/>
          </w:tcPr>
          <w:p>
            <w:pPr>
              <w:jc w:val="right"/>
              <w:ind w:right="168"/>
              <w:spacing w:after="0"/>
              <w:rPr>
                <w:sz w:val="20"/>
                <w:szCs w:val="20"/>
                <w:color w:val="auto"/>
              </w:rPr>
            </w:pPr>
            <w:r>
              <w:rPr>
                <w:rFonts w:ascii="Arial" w:cs="Arial" w:eastAsia="Arial" w:hAnsi="Arial"/>
                <w:sz w:val="14"/>
                <w:szCs w:val="14"/>
                <w:color w:val="auto"/>
              </w:rPr>
              <w:t>269,908</w:t>
            </w:r>
          </w:p>
        </w:tc>
      </w:tr>
      <w:tr>
        <w:trPr>
          <w:trHeight w:val="241"/>
        </w:trPr>
        <w:tc>
          <w:tcPr>
            <w:tcW w:w="232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M.K. Wirth</w:t>
            </w:r>
          </w:p>
        </w:tc>
        <w:tc>
          <w:tcPr>
            <w:tcW w:w="2000" w:type="dxa"/>
            <w:vAlign w:val="bottom"/>
          </w:tcPr>
          <w:p>
            <w:pPr>
              <w:jc w:val="right"/>
              <w:ind w:right="647"/>
              <w:spacing w:after="0"/>
              <w:rPr>
                <w:sz w:val="20"/>
                <w:szCs w:val="20"/>
                <w:color w:val="auto"/>
              </w:rPr>
            </w:pPr>
            <w:r>
              <w:rPr>
                <w:rFonts w:ascii="Arial" w:cs="Arial" w:eastAsia="Arial" w:hAnsi="Arial"/>
                <w:sz w:val="14"/>
                <w:szCs w:val="14"/>
                <w:color w:val="auto"/>
              </w:rPr>
              <w:t>26,250</w:t>
            </w:r>
          </w:p>
        </w:tc>
        <w:tc>
          <w:tcPr>
            <w:tcW w:w="1080" w:type="dxa"/>
            <w:vAlign w:val="bottom"/>
          </w:tcPr>
          <w:p>
            <w:pPr>
              <w:jc w:val="right"/>
              <w:ind w:right="187"/>
              <w:spacing w:after="0"/>
              <w:rPr>
                <w:sz w:val="20"/>
                <w:szCs w:val="20"/>
                <w:color w:val="auto"/>
              </w:rPr>
            </w:pPr>
            <w:r>
              <w:rPr>
                <w:rFonts w:ascii="Arial" w:cs="Arial" w:eastAsia="Arial" w:hAnsi="Arial"/>
                <w:sz w:val="14"/>
                <w:szCs w:val="14"/>
                <w:color w:val="auto"/>
              </w:rPr>
              <w:t>1/25/2012</w:t>
            </w:r>
          </w:p>
        </w:tc>
        <w:tc>
          <w:tcPr>
            <w:tcW w:w="400" w:type="dxa"/>
            <w:vAlign w:val="bottom"/>
          </w:tcPr>
          <w:p>
            <w:pPr>
              <w:ind w:left="2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107.73</w:t>
            </w:r>
          </w:p>
        </w:tc>
        <w:tc>
          <w:tcPr>
            <w:tcW w:w="1280" w:type="dxa"/>
            <w:vAlign w:val="bottom"/>
          </w:tcPr>
          <w:p>
            <w:pPr>
              <w:jc w:val="right"/>
              <w:ind w:right="187"/>
              <w:spacing w:after="0"/>
              <w:rPr>
                <w:sz w:val="20"/>
                <w:szCs w:val="20"/>
                <w:color w:val="auto"/>
              </w:rPr>
            </w:pPr>
            <w:r>
              <w:rPr>
                <w:rFonts w:ascii="Arial" w:cs="Arial" w:eastAsia="Arial" w:hAnsi="Arial"/>
                <w:sz w:val="14"/>
                <w:szCs w:val="14"/>
                <w:color w:val="auto"/>
              </w:rPr>
              <w:t>12/1/2021</w:t>
            </w:r>
          </w:p>
        </w:tc>
        <w:tc>
          <w:tcPr>
            <w:tcW w:w="500" w:type="dxa"/>
            <w:vAlign w:val="bottom"/>
          </w:tcPr>
          <w:p>
            <w:pPr>
              <w:ind w:left="2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114.2631</w:t>
            </w:r>
          </w:p>
        </w:tc>
        <w:tc>
          <w:tcPr>
            <w:tcW w:w="360" w:type="dxa"/>
            <w:vAlign w:val="bottom"/>
          </w:tcPr>
          <w:p>
            <w:pPr>
              <w:ind w:left="280"/>
              <w:spacing w:after="0"/>
              <w:rPr>
                <w:sz w:val="20"/>
                <w:szCs w:val="20"/>
                <w:color w:val="auto"/>
              </w:rPr>
            </w:pPr>
            <w:r>
              <w:rPr>
                <w:rFonts w:ascii="Arial" w:cs="Arial" w:eastAsia="Arial" w:hAnsi="Arial"/>
                <w:sz w:val="14"/>
                <w:szCs w:val="14"/>
                <w:color w:val="auto"/>
                <w:w w:val="76"/>
              </w:rPr>
              <w:t>$</w:t>
            </w:r>
          </w:p>
        </w:tc>
        <w:tc>
          <w:tcPr>
            <w:tcW w:w="1240" w:type="dxa"/>
            <w:vAlign w:val="bottom"/>
            <w:tcBorders>
              <w:right w:val="single" w:sz="8" w:color="7F7F7F"/>
            </w:tcBorders>
          </w:tcPr>
          <w:p>
            <w:pPr>
              <w:jc w:val="right"/>
              <w:ind w:right="168"/>
              <w:spacing w:after="0"/>
              <w:rPr>
                <w:sz w:val="20"/>
                <w:szCs w:val="20"/>
                <w:color w:val="auto"/>
              </w:rPr>
            </w:pPr>
            <w:r>
              <w:rPr>
                <w:rFonts w:ascii="Arial" w:cs="Arial" w:eastAsia="Arial" w:hAnsi="Arial"/>
                <w:sz w:val="14"/>
                <w:szCs w:val="14"/>
                <w:color w:val="auto"/>
              </w:rPr>
              <w:t>171,494</w:t>
            </w:r>
          </w:p>
        </w:tc>
      </w:tr>
      <w:tr>
        <w:trPr>
          <w:trHeight w:val="29"/>
        </w:trPr>
        <w:tc>
          <w:tcPr>
            <w:tcW w:w="2320" w:type="dxa"/>
            <w:vAlign w:val="bottom"/>
            <w:tcBorders>
              <w:left w:val="single" w:sz="8" w:color="7F7F7F"/>
            </w:tcBorders>
          </w:tcPr>
          <w:p>
            <w:pPr>
              <w:spacing w:after="0"/>
              <w:rPr>
                <w:sz w:val="2"/>
                <w:szCs w:val="2"/>
                <w:color w:val="auto"/>
              </w:rPr>
            </w:pPr>
          </w:p>
        </w:tc>
        <w:tc>
          <w:tcPr>
            <w:tcW w:w="2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Borders>
              <w:right w:val="single" w:sz="8" w:color="7F7F7F"/>
            </w:tcBorders>
          </w:tcPr>
          <w:p>
            <w:pPr>
              <w:spacing w:after="0"/>
              <w:rPr>
                <w:sz w:val="2"/>
                <w:szCs w:val="2"/>
                <w:color w:val="auto"/>
              </w:rPr>
            </w:pPr>
          </w:p>
        </w:tc>
      </w:tr>
      <w:tr>
        <w:trPr>
          <w:trHeight w:val="250"/>
        </w:trPr>
        <w:tc>
          <w:tcPr>
            <w:tcW w:w="2320" w:type="dxa"/>
            <w:vAlign w:val="bottom"/>
            <w:tcBorders>
              <w:left w:val="single" w:sz="8" w:color="7F7F7F"/>
              <w:bottom w:val="single" w:sz="8" w:color="D8D8D8"/>
            </w:tcBorders>
            <w:shd w:val="clear" w:color="auto" w:fill="D8D8D8"/>
          </w:tcPr>
          <w:p>
            <w:pPr>
              <w:ind w:left="160"/>
              <w:spacing w:after="0"/>
              <w:rPr>
                <w:sz w:val="20"/>
                <w:szCs w:val="20"/>
                <w:color w:val="auto"/>
              </w:rPr>
            </w:pPr>
            <w:r>
              <w:rPr>
                <w:rFonts w:ascii="Arial" w:cs="Arial" w:eastAsia="Arial" w:hAnsi="Arial"/>
                <w:sz w:val="16"/>
                <w:szCs w:val="16"/>
                <w:color w:val="auto"/>
              </w:rPr>
              <w:t>P.R. Breber</w:t>
            </w:r>
          </w:p>
        </w:tc>
        <w:tc>
          <w:tcPr>
            <w:tcW w:w="2000" w:type="dxa"/>
            <w:vAlign w:val="bottom"/>
            <w:tcBorders>
              <w:bottom w:val="single" w:sz="8" w:color="D8D8D8"/>
            </w:tcBorders>
            <w:shd w:val="clear" w:color="auto" w:fill="D8D8D8"/>
          </w:tcPr>
          <w:p>
            <w:pPr>
              <w:jc w:val="right"/>
              <w:ind w:right="647"/>
              <w:spacing w:after="0"/>
              <w:rPr>
                <w:sz w:val="20"/>
                <w:szCs w:val="20"/>
                <w:color w:val="auto"/>
              </w:rPr>
            </w:pPr>
            <w:r>
              <w:rPr>
                <w:rFonts w:ascii="Arial" w:cs="Arial" w:eastAsia="Arial" w:hAnsi="Arial"/>
                <w:sz w:val="14"/>
                <w:szCs w:val="14"/>
                <w:color w:val="auto"/>
              </w:rPr>
              <w:t>13,000</w:t>
            </w:r>
          </w:p>
        </w:tc>
        <w:tc>
          <w:tcPr>
            <w:tcW w:w="1080" w:type="dxa"/>
            <w:vAlign w:val="bottom"/>
            <w:tcBorders>
              <w:bottom w:val="single" w:sz="8" w:color="D8D8D8"/>
            </w:tcBorders>
            <w:shd w:val="clear" w:color="auto" w:fill="D8D8D8"/>
          </w:tcPr>
          <w:p>
            <w:pPr>
              <w:jc w:val="right"/>
              <w:ind w:right="187"/>
              <w:spacing w:after="0"/>
              <w:rPr>
                <w:sz w:val="20"/>
                <w:szCs w:val="20"/>
                <w:color w:val="auto"/>
              </w:rPr>
            </w:pPr>
            <w:r>
              <w:rPr>
                <w:rFonts w:ascii="Arial" w:cs="Arial" w:eastAsia="Arial" w:hAnsi="Arial"/>
                <w:sz w:val="14"/>
                <w:szCs w:val="14"/>
                <w:color w:val="auto"/>
              </w:rPr>
              <w:t>1/26/2011</w:t>
            </w:r>
          </w:p>
        </w:tc>
        <w:tc>
          <w:tcPr>
            <w:tcW w:w="40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8D8D8"/>
            </w:tcBorders>
            <w:shd w:val="clear" w:color="auto" w:fill="D8D8D8"/>
          </w:tcPr>
          <w:p>
            <w:pPr>
              <w:jc w:val="right"/>
              <w:ind w:right="228"/>
              <w:spacing w:after="0"/>
              <w:rPr>
                <w:sz w:val="20"/>
                <w:szCs w:val="20"/>
                <w:color w:val="auto"/>
              </w:rPr>
            </w:pPr>
            <w:r>
              <w:rPr>
                <w:rFonts w:ascii="Arial" w:cs="Arial" w:eastAsia="Arial" w:hAnsi="Arial"/>
                <w:sz w:val="14"/>
                <w:szCs w:val="14"/>
                <w:color w:val="auto"/>
              </w:rPr>
              <w:t>94.64</w:t>
            </w:r>
          </w:p>
        </w:tc>
        <w:tc>
          <w:tcPr>
            <w:tcW w:w="1280" w:type="dxa"/>
            <w:vAlign w:val="bottom"/>
            <w:tcBorders>
              <w:bottom w:val="single" w:sz="8" w:color="D8D8D8"/>
            </w:tcBorders>
            <w:shd w:val="clear" w:color="auto" w:fill="D8D8D8"/>
          </w:tcPr>
          <w:p>
            <w:pPr>
              <w:jc w:val="right"/>
              <w:ind w:right="187"/>
              <w:spacing w:after="0"/>
              <w:rPr>
                <w:sz w:val="20"/>
                <w:szCs w:val="20"/>
                <w:color w:val="auto"/>
              </w:rPr>
            </w:pPr>
            <w:r>
              <w:rPr>
                <w:rFonts w:ascii="Arial" w:cs="Arial" w:eastAsia="Arial" w:hAnsi="Arial"/>
                <w:sz w:val="14"/>
                <w:szCs w:val="14"/>
                <w:color w:val="auto"/>
              </w:rPr>
              <w:t>1/20/2021</w:t>
            </w:r>
          </w:p>
        </w:tc>
        <w:tc>
          <w:tcPr>
            <w:tcW w:w="50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8D8D8"/>
            </w:tcBorders>
            <w:shd w:val="clear" w:color="auto" w:fill="D8D8D8"/>
          </w:tcPr>
          <w:p>
            <w:pPr>
              <w:jc w:val="right"/>
              <w:ind w:right="188"/>
              <w:spacing w:after="0"/>
              <w:rPr>
                <w:sz w:val="20"/>
                <w:szCs w:val="20"/>
                <w:color w:val="auto"/>
              </w:rPr>
            </w:pPr>
            <w:r>
              <w:rPr>
                <w:rFonts w:ascii="Arial" w:cs="Arial" w:eastAsia="Arial" w:hAnsi="Arial"/>
                <w:sz w:val="14"/>
                <w:szCs w:val="14"/>
                <w:color w:val="auto"/>
              </w:rPr>
              <w:t>95.0000</w:t>
            </w:r>
          </w:p>
        </w:tc>
        <w:tc>
          <w:tcPr>
            <w:tcW w:w="36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D8D8D8"/>
              <w:right w:val="single" w:sz="8" w:color="7F7F7F"/>
            </w:tcBorders>
            <w:shd w:val="clear" w:color="auto" w:fill="D8D8D8"/>
          </w:tcPr>
          <w:p>
            <w:pPr>
              <w:jc w:val="right"/>
              <w:ind w:right="168"/>
              <w:spacing w:after="0"/>
              <w:rPr>
                <w:sz w:val="20"/>
                <w:szCs w:val="20"/>
                <w:color w:val="auto"/>
              </w:rPr>
            </w:pPr>
            <w:r>
              <w:rPr>
                <w:rFonts w:ascii="Arial" w:cs="Arial" w:eastAsia="Arial" w:hAnsi="Arial"/>
                <w:sz w:val="14"/>
                <w:szCs w:val="14"/>
                <w:color w:val="auto"/>
              </w:rPr>
              <w:t>4,680</w:t>
            </w:r>
          </w:p>
        </w:tc>
      </w:tr>
      <w:tr>
        <w:trPr>
          <w:trHeight w:val="241"/>
        </w:trPr>
        <w:tc>
          <w:tcPr>
            <w:tcW w:w="232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P.R. Breber</w:t>
            </w:r>
          </w:p>
        </w:tc>
        <w:tc>
          <w:tcPr>
            <w:tcW w:w="2000" w:type="dxa"/>
            <w:vAlign w:val="bottom"/>
          </w:tcPr>
          <w:p>
            <w:pPr>
              <w:jc w:val="right"/>
              <w:ind w:right="647"/>
              <w:spacing w:after="0"/>
              <w:rPr>
                <w:sz w:val="20"/>
                <w:szCs w:val="20"/>
                <w:color w:val="auto"/>
              </w:rPr>
            </w:pPr>
            <w:r>
              <w:rPr>
                <w:rFonts w:ascii="Arial" w:cs="Arial" w:eastAsia="Arial" w:hAnsi="Arial"/>
                <w:sz w:val="14"/>
                <w:szCs w:val="14"/>
                <w:color w:val="auto"/>
              </w:rPr>
              <w:t>20,000</w:t>
            </w:r>
          </w:p>
        </w:tc>
        <w:tc>
          <w:tcPr>
            <w:tcW w:w="1080" w:type="dxa"/>
            <w:vAlign w:val="bottom"/>
          </w:tcPr>
          <w:p>
            <w:pPr>
              <w:jc w:val="right"/>
              <w:ind w:right="187"/>
              <w:spacing w:after="0"/>
              <w:rPr>
                <w:sz w:val="20"/>
                <w:szCs w:val="20"/>
                <w:color w:val="auto"/>
              </w:rPr>
            </w:pPr>
            <w:r>
              <w:rPr>
                <w:rFonts w:ascii="Arial" w:cs="Arial" w:eastAsia="Arial" w:hAnsi="Arial"/>
                <w:sz w:val="14"/>
                <w:szCs w:val="14"/>
                <w:color w:val="auto"/>
              </w:rPr>
              <w:t>1/25/2012</w:t>
            </w:r>
          </w:p>
        </w:tc>
        <w:tc>
          <w:tcPr>
            <w:tcW w:w="400" w:type="dxa"/>
            <w:vAlign w:val="bottom"/>
          </w:tcPr>
          <w:p>
            <w:pPr>
              <w:ind w:left="2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107.73</w:t>
            </w:r>
          </w:p>
        </w:tc>
        <w:tc>
          <w:tcPr>
            <w:tcW w:w="1280" w:type="dxa"/>
            <w:vAlign w:val="bottom"/>
          </w:tcPr>
          <w:p>
            <w:pPr>
              <w:jc w:val="right"/>
              <w:ind w:right="187"/>
              <w:spacing w:after="0"/>
              <w:rPr>
                <w:sz w:val="20"/>
                <w:szCs w:val="20"/>
                <w:color w:val="auto"/>
              </w:rPr>
            </w:pPr>
            <w:r>
              <w:rPr>
                <w:rFonts w:ascii="Arial" w:cs="Arial" w:eastAsia="Arial" w:hAnsi="Arial"/>
                <w:sz w:val="14"/>
                <w:szCs w:val="14"/>
                <w:color w:val="auto"/>
              </w:rPr>
              <w:t>11/1/2021</w:t>
            </w:r>
          </w:p>
        </w:tc>
        <w:tc>
          <w:tcPr>
            <w:tcW w:w="500" w:type="dxa"/>
            <w:vAlign w:val="bottom"/>
          </w:tcPr>
          <w:p>
            <w:pPr>
              <w:ind w:left="2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114.8052</w:t>
            </w:r>
          </w:p>
        </w:tc>
        <w:tc>
          <w:tcPr>
            <w:tcW w:w="360" w:type="dxa"/>
            <w:vAlign w:val="bottom"/>
          </w:tcPr>
          <w:p>
            <w:pPr>
              <w:ind w:left="280"/>
              <w:spacing w:after="0"/>
              <w:rPr>
                <w:sz w:val="20"/>
                <w:szCs w:val="20"/>
                <w:color w:val="auto"/>
              </w:rPr>
            </w:pPr>
            <w:r>
              <w:rPr>
                <w:rFonts w:ascii="Arial" w:cs="Arial" w:eastAsia="Arial" w:hAnsi="Arial"/>
                <w:sz w:val="14"/>
                <w:szCs w:val="14"/>
                <w:color w:val="auto"/>
                <w:w w:val="76"/>
              </w:rPr>
              <w:t>$</w:t>
            </w:r>
          </w:p>
        </w:tc>
        <w:tc>
          <w:tcPr>
            <w:tcW w:w="1240" w:type="dxa"/>
            <w:vAlign w:val="bottom"/>
            <w:tcBorders>
              <w:right w:val="single" w:sz="8" w:color="7F7F7F"/>
            </w:tcBorders>
          </w:tcPr>
          <w:p>
            <w:pPr>
              <w:jc w:val="right"/>
              <w:ind w:right="168"/>
              <w:spacing w:after="0"/>
              <w:rPr>
                <w:sz w:val="20"/>
                <w:szCs w:val="20"/>
                <w:color w:val="auto"/>
              </w:rPr>
            </w:pPr>
            <w:r>
              <w:rPr>
                <w:rFonts w:ascii="Arial" w:cs="Arial" w:eastAsia="Arial" w:hAnsi="Arial"/>
                <w:sz w:val="14"/>
                <w:szCs w:val="14"/>
                <w:color w:val="auto"/>
              </w:rPr>
              <w:t>141,504</w:t>
            </w:r>
          </w:p>
        </w:tc>
      </w:tr>
      <w:tr>
        <w:trPr>
          <w:trHeight w:val="29"/>
        </w:trPr>
        <w:tc>
          <w:tcPr>
            <w:tcW w:w="2320" w:type="dxa"/>
            <w:vAlign w:val="bottom"/>
            <w:tcBorders>
              <w:left w:val="single" w:sz="8" w:color="7F7F7F"/>
            </w:tcBorders>
          </w:tcPr>
          <w:p>
            <w:pPr>
              <w:spacing w:after="0"/>
              <w:rPr>
                <w:sz w:val="2"/>
                <w:szCs w:val="2"/>
                <w:color w:val="auto"/>
              </w:rPr>
            </w:pPr>
          </w:p>
        </w:tc>
        <w:tc>
          <w:tcPr>
            <w:tcW w:w="2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Borders>
              <w:right w:val="single" w:sz="8" w:color="7F7F7F"/>
            </w:tcBorders>
          </w:tcPr>
          <w:p>
            <w:pPr>
              <w:spacing w:after="0"/>
              <w:rPr>
                <w:sz w:val="2"/>
                <w:szCs w:val="2"/>
                <w:color w:val="auto"/>
              </w:rPr>
            </w:pPr>
          </w:p>
        </w:tc>
      </w:tr>
      <w:tr>
        <w:trPr>
          <w:trHeight w:val="250"/>
        </w:trPr>
        <w:tc>
          <w:tcPr>
            <w:tcW w:w="2320" w:type="dxa"/>
            <w:vAlign w:val="bottom"/>
            <w:tcBorders>
              <w:left w:val="single" w:sz="8" w:color="7F7F7F"/>
              <w:bottom w:val="single" w:sz="8" w:color="D8D8D8"/>
            </w:tcBorders>
            <w:shd w:val="clear" w:color="auto" w:fill="D8D8D8"/>
          </w:tcPr>
          <w:p>
            <w:pPr>
              <w:ind w:left="160"/>
              <w:spacing w:after="0"/>
              <w:rPr>
                <w:sz w:val="20"/>
                <w:szCs w:val="20"/>
                <w:color w:val="auto"/>
              </w:rPr>
            </w:pPr>
            <w:r>
              <w:rPr>
                <w:rFonts w:ascii="Arial" w:cs="Arial" w:eastAsia="Arial" w:hAnsi="Arial"/>
                <w:sz w:val="16"/>
                <w:szCs w:val="16"/>
                <w:color w:val="auto"/>
              </w:rPr>
              <w:t>P.R. Breber</w:t>
            </w:r>
          </w:p>
        </w:tc>
        <w:tc>
          <w:tcPr>
            <w:tcW w:w="2000" w:type="dxa"/>
            <w:vAlign w:val="bottom"/>
            <w:tcBorders>
              <w:bottom w:val="single" w:sz="8" w:color="D8D8D8"/>
            </w:tcBorders>
            <w:shd w:val="clear" w:color="auto" w:fill="D8D8D8"/>
          </w:tcPr>
          <w:p>
            <w:pPr>
              <w:jc w:val="right"/>
              <w:ind w:right="647"/>
              <w:spacing w:after="0"/>
              <w:rPr>
                <w:sz w:val="20"/>
                <w:szCs w:val="20"/>
                <w:color w:val="auto"/>
              </w:rPr>
            </w:pPr>
            <w:r>
              <w:rPr>
                <w:rFonts w:ascii="Arial" w:cs="Arial" w:eastAsia="Arial" w:hAnsi="Arial"/>
                <w:sz w:val="14"/>
                <w:szCs w:val="14"/>
                <w:color w:val="auto"/>
              </w:rPr>
              <w:t>17,000</w:t>
            </w:r>
          </w:p>
        </w:tc>
        <w:tc>
          <w:tcPr>
            <w:tcW w:w="1080" w:type="dxa"/>
            <w:vAlign w:val="bottom"/>
            <w:tcBorders>
              <w:bottom w:val="single" w:sz="8" w:color="D8D8D8"/>
            </w:tcBorders>
            <w:shd w:val="clear" w:color="auto" w:fill="D8D8D8"/>
          </w:tcPr>
          <w:p>
            <w:pPr>
              <w:jc w:val="right"/>
              <w:ind w:right="187"/>
              <w:spacing w:after="0"/>
              <w:rPr>
                <w:sz w:val="20"/>
                <w:szCs w:val="20"/>
                <w:color w:val="auto"/>
              </w:rPr>
            </w:pPr>
            <w:r>
              <w:rPr>
                <w:rFonts w:ascii="Arial" w:cs="Arial" w:eastAsia="Arial" w:hAnsi="Arial"/>
                <w:sz w:val="14"/>
                <w:szCs w:val="14"/>
                <w:color w:val="auto"/>
              </w:rPr>
              <w:t>1/25/2012</w:t>
            </w:r>
          </w:p>
        </w:tc>
        <w:tc>
          <w:tcPr>
            <w:tcW w:w="40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8D8D8"/>
            </w:tcBorders>
            <w:shd w:val="clear" w:color="auto" w:fill="D8D8D8"/>
          </w:tcPr>
          <w:p>
            <w:pPr>
              <w:jc w:val="right"/>
              <w:ind w:right="228"/>
              <w:spacing w:after="0"/>
              <w:rPr>
                <w:sz w:val="20"/>
                <w:szCs w:val="20"/>
                <w:color w:val="auto"/>
              </w:rPr>
            </w:pPr>
            <w:r>
              <w:rPr>
                <w:rFonts w:ascii="Arial" w:cs="Arial" w:eastAsia="Arial" w:hAnsi="Arial"/>
                <w:sz w:val="14"/>
                <w:szCs w:val="14"/>
                <w:color w:val="auto"/>
              </w:rPr>
              <w:t>107.73</w:t>
            </w:r>
          </w:p>
        </w:tc>
        <w:tc>
          <w:tcPr>
            <w:tcW w:w="1280" w:type="dxa"/>
            <w:vAlign w:val="bottom"/>
            <w:tcBorders>
              <w:bottom w:val="single" w:sz="8" w:color="D8D8D8"/>
            </w:tcBorders>
            <w:shd w:val="clear" w:color="auto" w:fill="D8D8D8"/>
          </w:tcPr>
          <w:p>
            <w:pPr>
              <w:jc w:val="right"/>
              <w:ind w:right="187"/>
              <w:spacing w:after="0"/>
              <w:rPr>
                <w:sz w:val="20"/>
                <w:szCs w:val="20"/>
                <w:color w:val="auto"/>
              </w:rPr>
            </w:pPr>
            <w:r>
              <w:rPr>
                <w:rFonts w:ascii="Arial" w:cs="Arial" w:eastAsia="Arial" w:hAnsi="Arial"/>
                <w:sz w:val="14"/>
                <w:szCs w:val="14"/>
                <w:color w:val="auto"/>
              </w:rPr>
              <w:t>11/9/2021</w:t>
            </w:r>
          </w:p>
        </w:tc>
        <w:tc>
          <w:tcPr>
            <w:tcW w:w="50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8D8D8"/>
            </w:tcBorders>
            <w:shd w:val="clear" w:color="auto" w:fill="D8D8D8"/>
          </w:tcPr>
          <w:p>
            <w:pPr>
              <w:jc w:val="right"/>
              <w:ind w:right="188"/>
              <w:spacing w:after="0"/>
              <w:rPr>
                <w:sz w:val="20"/>
                <w:szCs w:val="20"/>
                <w:color w:val="auto"/>
              </w:rPr>
            </w:pPr>
            <w:r>
              <w:rPr>
                <w:rFonts w:ascii="Arial" w:cs="Arial" w:eastAsia="Arial" w:hAnsi="Arial"/>
                <w:sz w:val="14"/>
                <w:szCs w:val="14"/>
                <w:color w:val="auto"/>
              </w:rPr>
              <w:t>116.0169</w:t>
            </w:r>
          </w:p>
        </w:tc>
        <w:tc>
          <w:tcPr>
            <w:tcW w:w="36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D8D8D8"/>
              <w:right w:val="single" w:sz="8" w:color="7F7F7F"/>
            </w:tcBorders>
            <w:shd w:val="clear" w:color="auto" w:fill="D8D8D8"/>
          </w:tcPr>
          <w:p>
            <w:pPr>
              <w:jc w:val="right"/>
              <w:ind w:right="168"/>
              <w:spacing w:after="0"/>
              <w:rPr>
                <w:sz w:val="20"/>
                <w:szCs w:val="20"/>
                <w:color w:val="auto"/>
              </w:rPr>
            </w:pPr>
            <w:r>
              <w:rPr>
                <w:rFonts w:ascii="Arial" w:cs="Arial" w:eastAsia="Arial" w:hAnsi="Arial"/>
                <w:sz w:val="14"/>
                <w:szCs w:val="14"/>
                <w:color w:val="auto"/>
              </w:rPr>
              <w:t>140,877</w:t>
            </w:r>
          </w:p>
        </w:tc>
      </w:tr>
      <w:tr>
        <w:trPr>
          <w:trHeight w:val="241"/>
        </w:trPr>
        <w:tc>
          <w:tcPr>
            <w:tcW w:w="232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JW. Johnson</w:t>
            </w:r>
          </w:p>
        </w:tc>
        <w:tc>
          <w:tcPr>
            <w:tcW w:w="2000" w:type="dxa"/>
            <w:vAlign w:val="bottom"/>
          </w:tcPr>
          <w:p>
            <w:pPr>
              <w:jc w:val="right"/>
              <w:ind w:right="647"/>
              <w:spacing w:after="0"/>
              <w:rPr>
                <w:sz w:val="20"/>
                <w:szCs w:val="20"/>
                <w:color w:val="auto"/>
              </w:rPr>
            </w:pPr>
            <w:r>
              <w:rPr>
                <w:rFonts w:ascii="Arial" w:cs="Arial" w:eastAsia="Arial" w:hAnsi="Arial"/>
                <w:sz w:val="14"/>
                <w:szCs w:val="14"/>
                <w:color w:val="auto"/>
              </w:rPr>
              <w:t>78,000</w:t>
            </w:r>
          </w:p>
        </w:tc>
        <w:tc>
          <w:tcPr>
            <w:tcW w:w="1080" w:type="dxa"/>
            <w:vAlign w:val="bottom"/>
          </w:tcPr>
          <w:p>
            <w:pPr>
              <w:jc w:val="right"/>
              <w:ind w:right="187"/>
              <w:spacing w:after="0"/>
              <w:rPr>
                <w:sz w:val="20"/>
                <w:szCs w:val="20"/>
                <w:color w:val="auto"/>
              </w:rPr>
            </w:pPr>
            <w:r>
              <w:rPr>
                <w:rFonts w:ascii="Arial" w:cs="Arial" w:eastAsia="Arial" w:hAnsi="Arial"/>
                <w:sz w:val="14"/>
                <w:szCs w:val="14"/>
                <w:color w:val="auto"/>
              </w:rPr>
              <w:t>1/25/2012</w:t>
            </w:r>
          </w:p>
        </w:tc>
        <w:tc>
          <w:tcPr>
            <w:tcW w:w="400" w:type="dxa"/>
            <w:vAlign w:val="bottom"/>
          </w:tcPr>
          <w:p>
            <w:pPr>
              <w:ind w:left="2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107.73</w:t>
            </w:r>
          </w:p>
        </w:tc>
        <w:tc>
          <w:tcPr>
            <w:tcW w:w="1280" w:type="dxa"/>
            <w:vAlign w:val="bottom"/>
          </w:tcPr>
          <w:p>
            <w:pPr>
              <w:jc w:val="right"/>
              <w:ind w:right="187"/>
              <w:spacing w:after="0"/>
              <w:rPr>
                <w:sz w:val="20"/>
                <w:szCs w:val="20"/>
                <w:color w:val="auto"/>
              </w:rPr>
            </w:pPr>
            <w:r>
              <w:rPr>
                <w:rFonts w:ascii="Arial" w:cs="Arial" w:eastAsia="Arial" w:hAnsi="Arial"/>
                <w:sz w:val="14"/>
                <w:szCs w:val="14"/>
                <w:color w:val="auto"/>
              </w:rPr>
              <w:t>10/20/2021</w:t>
            </w:r>
          </w:p>
        </w:tc>
        <w:tc>
          <w:tcPr>
            <w:tcW w:w="500" w:type="dxa"/>
            <w:vAlign w:val="bottom"/>
          </w:tcPr>
          <w:p>
            <w:pPr>
              <w:ind w:left="2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113.1259</w:t>
            </w:r>
          </w:p>
        </w:tc>
        <w:tc>
          <w:tcPr>
            <w:tcW w:w="360" w:type="dxa"/>
            <w:vAlign w:val="bottom"/>
          </w:tcPr>
          <w:p>
            <w:pPr>
              <w:ind w:left="280"/>
              <w:spacing w:after="0"/>
              <w:rPr>
                <w:sz w:val="20"/>
                <w:szCs w:val="20"/>
                <w:color w:val="auto"/>
              </w:rPr>
            </w:pPr>
            <w:r>
              <w:rPr>
                <w:rFonts w:ascii="Arial" w:cs="Arial" w:eastAsia="Arial" w:hAnsi="Arial"/>
                <w:sz w:val="14"/>
                <w:szCs w:val="14"/>
                <w:color w:val="auto"/>
                <w:w w:val="76"/>
              </w:rPr>
              <w:t>$</w:t>
            </w:r>
          </w:p>
        </w:tc>
        <w:tc>
          <w:tcPr>
            <w:tcW w:w="1240" w:type="dxa"/>
            <w:vAlign w:val="bottom"/>
            <w:tcBorders>
              <w:right w:val="single" w:sz="8" w:color="7F7F7F"/>
            </w:tcBorders>
          </w:tcPr>
          <w:p>
            <w:pPr>
              <w:jc w:val="right"/>
              <w:ind w:right="168"/>
              <w:spacing w:after="0"/>
              <w:rPr>
                <w:sz w:val="20"/>
                <w:szCs w:val="20"/>
                <w:color w:val="auto"/>
              </w:rPr>
            </w:pPr>
            <w:r>
              <w:rPr>
                <w:rFonts w:ascii="Arial" w:cs="Arial" w:eastAsia="Arial" w:hAnsi="Arial"/>
                <w:sz w:val="14"/>
                <w:szCs w:val="14"/>
                <w:color w:val="auto"/>
              </w:rPr>
              <w:t>420,880</w:t>
            </w:r>
          </w:p>
        </w:tc>
      </w:tr>
      <w:tr>
        <w:trPr>
          <w:trHeight w:val="29"/>
        </w:trPr>
        <w:tc>
          <w:tcPr>
            <w:tcW w:w="2320" w:type="dxa"/>
            <w:vAlign w:val="bottom"/>
            <w:tcBorders>
              <w:left w:val="single" w:sz="8" w:color="7F7F7F"/>
            </w:tcBorders>
          </w:tcPr>
          <w:p>
            <w:pPr>
              <w:spacing w:after="0"/>
              <w:rPr>
                <w:sz w:val="2"/>
                <w:szCs w:val="2"/>
                <w:color w:val="auto"/>
              </w:rPr>
            </w:pPr>
          </w:p>
        </w:tc>
        <w:tc>
          <w:tcPr>
            <w:tcW w:w="2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Borders>
              <w:right w:val="single" w:sz="8" w:color="7F7F7F"/>
            </w:tcBorders>
          </w:tcPr>
          <w:p>
            <w:pPr>
              <w:spacing w:after="0"/>
              <w:rPr>
                <w:sz w:val="2"/>
                <w:szCs w:val="2"/>
                <w:color w:val="auto"/>
              </w:rPr>
            </w:pPr>
          </w:p>
        </w:tc>
      </w:tr>
      <w:tr>
        <w:trPr>
          <w:trHeight w:val="250"/>
        </w:trPr>
        <w:tc>
          <w:tcPr>
            <w:tcW w:w="2320" w:type="dxa"/>
            <w:vAlign w:val="bottom"/>
            <w:tcBorders>
              <w:left w:val="single" w:sz="8" w:color="7F7F7F"/>
              <w:bottom w:val="single" w:sz="8" w:color="D8D8D8"/>
            </w:tcBorders>
            <w:shd w:val="clear" w:color="auto" w:fill="D8D8D8"/>
          </w:tcPr>
          <w:p>
            <w:pPr>
              <w:ind w:left="160"/>
              <w:spacing w:after="0"/>
              <w:rPr>
                <w:sz w:val="20"/>
                <w:szCs w:val="20"/>
                <w:color w:val="auto"/>
              </w:rPr>
            </w:pPr>
            <w:r>
              <w:rPr>
                <w:rFonts w:ascii="Arial" w:cs="Arial" w:eastAsia="Arial" w:hAnsi="Arial"/>
                <w:sz w:val="16"/>
                <w:szCs w:val="16"/>
                <w:color w:val="auto"/>
              </w:rPr>
              <w:t>JW. Johnson</w:t>
            </w:r>
          </w:p>
        </w:tc>
        <w:tc>
          <w:tcPr>
            <w:tcW w:w="2000" w:type="dxa"/>
            <w:vAlign w:val="bottom"/>
            <w:tcBorders>
              <w:bottom w:val="single" w:sz="8" w:color="D8D8D8"/>
            </w:tcBorders>
            <w:shd w:val="clear" w:color="auto" w:fill="D8D8D8"/>
          </w:tcPr>
          <w:p>
            <w:pPr>
              <w:jc w:val="right"/>
              <w:ind w:right="647"/>
              <w:spacing w:after="0"/>
              <w:rPr>
                <w:sz w:val="20"/>
                <w:szCs w:val="20"/>
                <w:color w:val="auto"/>
              </w:rPr>
            </w:pPr>
            <w:r>
              <w:rPr>
                <w:rFonts w:ascii="Arial" w:cs="Arial" w:eastAsia="Arial" w:hAnsi="Arial"/>
                <w:sz w:val="14"/>
                <w:szCs w:val="14"/>
                <w:color w:val="auto"/>
              </w:rPr>
              <w:t>7,500</w:t>
            </w:r>
          </w:p>
        </w:tc>
        <w:tc>
          <w:tcPr>
            <w:tcW w:w="1080" w:type="dxa"/>
            <w:vAlign w:val="bottom"/>
            <w:tcBorders>
              <w:bottom w:val="single" w:sz="8" w:color="D8D8D8"/>
            </w:tcBorders>
            <w:shd w:val="clear" w:color="auto" w:fill="D8D8D8"/>
          </w:tcPr>
          <w:p>
            <w:pPr>
              <w:jc w:val="right"/>
              <w:ind w:right="187"/>
              <w:spacing w:after="0"/>
              <w:rPr>
                <w:sz w:val="20"/>
                <w:szCs w:val="20"/>
                <w:color w:val="auto"/>
              </w:rPr>
            </w:pPr>
            <w:r>
              <w:rPr>
                <w:rFonts w:ascii="Arial" w:cs="Arial" w:eastAsia="Arial" w:hAnsi="Arial"/>
                <w:sz w:val="14"/>
                <w:szCs w:val="14"/>
                <w:color w:val="auto"/>
              </w:rPr>
              <w:t>1/29/2014</w:t>
            </w:r>
          </w:p>
        </w:tc>
        <w:tc>
          <w:tcPr>
            <w:tcW w:w="40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8D8D8"/>
            </w:tcBorders>
            <w:shd w:val="clear" w:color="auto" w:fill="D8D8D8"/>
          </w:tcPr>
          <w:p>
            <w:pPr>
              <w:jc w:val="right"/>
              <w:ind w:right="228"/>
              <w:spacing w:after="0"/>
              <w:rPr>
                <w:sz w:val="20"/>
                <w:szCs w:val="20"/>
                <w:color w:val="auto"/>
              </w:rPr>
            </w:pPr>
            <w:r>
              <w:rPr>
                <w:rFonts w:ascii="Arial" w:cs="Arial" w:eastAsia="Arial" w:hAnsi="Arial"/>
                <w:sz w:val="14"/>
                <w:szCs w:val="14"/>
                <w:color w:val="auto"/>
              </w:rPr>
              <w:t>116.00</w:t>
            </w:r>
          </w:p>
        </w:tc>
        <w:tc>
          <w:tcPr>
            <w:tcW w:w="1280" w:type="dxa"/>
            <w:vAlign w:val="bottom"/>
            <w:tcBorders>
              <w:bottom w:val="single" w:sz="8" w:color="D8D8D8"/>
            </w:tcBorders>
            <w:shd w:val="clear" w:color="auto" w:fill="D8D8D8"/>
          </w:tcPr>
          <w:p>
            <w:pPr>
              <w:jc w:val="right"/>
              <w:ind w:right="187"/>
              <w:spacing w:after="0"/>
              <w:rPr>
                <w:sz w:val="20"/>
                <w:szCs w:val="20"/>
                <w:color w:val="auto"/>
              </w:rPr>
            </w:pPr>
            <w:r>
              <w:rPr>
                <w:rFonts w:ascii="Arial" w:cs="Arial" w:eastAsia="Arial" w:hAnsi="Arial"/>
                <w:sz w:val="14"/>
                <w:szCs w:val="14"/>
                <w:color w:val="auto"/>
              </w:rPr>
              <w:t>12/7/2021</w:t>
            </w:r>
          </w:p>
        </w:tc>
        <w:tc>
          <w:tcPr>
            <w:tcW w:w="50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8D8D8"/>
            </w:tcBorders>
            <w:shd w:val="clear" w:color="auto" w:fill="D8D8D8"/>
          </w:tcPr>
          <w:p>
            <w:pPr>
              <w:jc w:val="right"/>
              <w:ind w:right="188"/>
              <w:spacing w:after="0"/>
              <w:rPr>
                <w:sz w:val="20"/>
                <w:szCs w:val="20"/>
                <w:color w:val="auto"/>
              </w:rPr>
            </w:pPr>
            <w:r>
              <w:rPr>
                <w:rFonts w:ascii="Arial" w:cs="Arial" w:eastAsia="Arial" w:hAnsi="Arial"/>
                <w:sz w:val="14"/>
                <w:szCs w:val="14"/>
                <w:color w:val="auto"/>
              </w:rPr>
              <w:t>118.3300</w:t>
            </w:r>
          </w:p>
        </w:tc>
        <w:tc>
          <w:tcPr>
            <w:tcW w:w="36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D8D8D8"/>
              <w:right w:val="single" w:sz="8" w:color="7F7F7F"/>
            </w:tcBorders>
            <w:shd w:val="clear" w:color="auto" w:fill="D8D8D8"/>
          </w:tcPr>
          <w:p>
            <w:pPr>
              <w:jc w:val="right"/>
              <w:ind w:right="168"/>
              <w:spacing w:after="0"/>
              <w:rPr>
                <w:sz w:val="20"/>
                <w:szCs w:val="20"/>
                <w:color w:val="auto"/>
              </w:rPr>
            </w:pPr>
            <w:r>
              <w:rPr>
                <w:rFonts w:ascii="Arial" w:cs="Arial" w:eastAsia="Arial" w:hAnsi="Arial"/>
                <w:sz w:val="14"/>
                <w:szCs w:val="14"/>
                <w:color w:val="auto"/>
              </w:rPr>
              <w:t>17,475</w:t>
            </w:r>
          </w:p>
        </w:tc>
      </w:tr>
      <w:tr>
        <w:trPr>
          <w:trHeight w:val="241"/>
        </w:trPr>
        <w:tc>
          <w:tcPr>
            <w:tcW w:w="232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JW. Johnson</w:t>
            </w:r>
          </w:p>
        </w:tc>
        <w:tc>
          <w:tcPr>
            <w:tcW w:w="2000" w:type="dxa"/>
            <w:vAlign w:val="bottom"/>
          </w:tcPr>
          <w:p>
            <w:pPr>
              <w:jc w:val="right"/>
              <w:ind w:right="647"/>
              <w:spacing w:after="0"/>
              <w:rPr>
                <w:sz w:val="20"/>
                <w:szCs w:val="20"/>
                <w:color w:val="auto"/>
              </w:rPr>
            </w:pPr>
            <w:r>
              <w:rPr>
                <w:rFonts w:ascii="Arial" w:cs="Arial" w:eastAsia="Arial" w:hAnsi="Arial"/>
                <w:sz w:val="14"/>
                <w:szCs w:val="14"/>
                <w:color w:val="auto"/>
              </w:rPr>
              <w:t>7,500</w:t>
            </w:r>
          </w:p>
        </w:tc>
        <w:tc>
          <w:tcPr>
            <w:tcW w:w="1080" w:type="dxa"/>
            <w:vAlign w:val="bottom"/>
          </w:tcPr>
          <w:p>
            <w:pPr>
              <w:jc w:val="right"/>
              <w:ind w:right="187"/>
              <w:spacing w:after="0"/>
              <w:rPr>
                <w:sz w:val="20"/>
                <w:szCs w:val="20"/>
                <w:color w:val="auto"/>
              </w:rPr>
            </w:pPr>
            <w:r>
              <w:rPr>
                <w:rFonts w:ascii="Arial" w:cs="Arial" w:eastAsia="Arial" w:hAnsi="Arial"/>
                <w:sz w:val="14"/>
                <w:szCs w:val="14"/>
                <w:color w:val="auto"/>
              </w:rPr>
              <w:t>1/30/2013</w:t>
            </w:r>
          </w:p>
        </w:tc>
        <w:tc>
          <w:tcPr>
            <w:tcW w:w="400" w:type="dxa"/>
            <w:vAlign w:val="bottom"/>
          </w:tcPr>
          <w:p>
            <w:pPr>
              <w:ind w:left="2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116.45</w:t>
            </w:r>
          </w:p>
        </w:tc>
        <w:tc>
          <w:tcPr>
            <w:tcW w:w="1280" w:type="dxa"/>
            <w:vAlign w:val="bottom"/>
          </w:tcPr>
          <w:p>
            <w:pPr>
              <w:jc w:val="right"/>
              <w:ind w:right="187"/>
              <w:spacing w:after="0"/>
              <w:rPr>
                <w:sz w:val="20"/>
                <w:szCs w:val="20"/>
                <w:color w:val="auto"/>
              </w:rPr>
            </w:pPr>
            <w:r>
              <w:rPr>
                <w:rFonts w:ascii="Arial" w:cs="Arial" w:eastAsia="Arial" w:hAnsi="Arial"/>
                <w:sz w:val="14"/>
                <w:szCs w:val="14"/>
                <w:color w:val="auto"/>
              </w:rPr>
              <w:t>12/8/2021</w:t>
            </w:r>
          </w:p>
        </w:tc>
        <w:tc>
          <w:tcPr>
            <w:tcW w:w="500" w:type="dxa"/>
            <w:vAlign w:val="bottom"/>
          </w:tcPr>
          <w:p>
            <w:pPr>
              <w:ind w:left="2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118.8142</w:t>
            </w:r>
          </w:p>
        </w:tc>
        <w:tc>
          <w:tcPr>
            <w:tcW w:w="360" w:type="dxa"/>
            <w:vAlign w:val="bottom"/>
          </w:tcPr>
          <w:p>
            <w:pPr>
              <w:ind w:left="280"/>
              <w:spacing w:after="0"/>
              <w:rPr>
                <w:sz w:val="20"/>
                <w:szCs w:val="20"/>
                <w:color w:val="auto"/>
              </w:rPr>
            </w:pPr>
            <w:r>
              <w:rPr>
                <w:rFonts w:ascii="Arial" w:cs="Arial" w:eastAsia="Arial" w:hAnsi="Arial"/>
                <w:sz w:val="14"/>
                <w:szCs w:val="14"/>
                <w:color w:val="auto"/>
                <w:w w:val="76"/>
              </w:rPr>
              <w:t>$</w:t>
            </w:r>
          </w:p>
        </w:tc>
        <w:tc>
          <w:tcPr>
            <w:tcW w:w="1240" w:type="dxa"/>
            <w:vAlign w:val="bottom"/>
            <w:tcBorders>
              <w:right w:val="single" w:sz="8" w:color="7F7F7F"/>
            </w:tcBorders>
          </w:tcPr>
          <w:p>
            <w:pPr>
              <w:jc w:val="right"/>
              <w:ind w:right="168"/>
              <w:spacing w:after="0"/>
              <w:rPr>
                <w:sz w:val="20"/>
                <w:szCs w:val="20"/>
                <w:color w:val="auto"/>
              </w:rPr>
            </w:pPr>
            <w:r>
              <w:rPr>
                <w:rFonts w:ascii="Arial" w:cs="Arial" w:eastAsia="Arial" w:hAnsi="Arial"/>
                <w:sz w:val="14"/>
                <w:szCs w:val="14"/>
                <w:color w:val="auto"/>
              </w:rPr>
              <w:t>17,732</w:t>
            </w:r>
          </w:p>
        </w:tc>
      </w:tr>
      <w:tr>
        <w:trPr>
          <w:trHeight w:val="29"/>
        </w:trPr>
        <w:tc>
          <w:tcPr>
            <w:tcW w:w="2320" w:type="dxa"/>
            <w:vAlign w:val="bottom"/>
            <w:tcBorders>
              <w:left w:val="single" w:sz="8" w:color="7F7F7F"/>
            </w:tcBorders>
          </w:tcPr>
          <w:p>
            <w:pPr>
              <w:spacing w:after="0"/>
              <w:rPr>
                <w:sz w:val="2"/>
                <w:szCs w:val="2"/>
                <w:color w:val="auto"/>
              </w:rPr>
            </w:pPr>
          </w:p>
        </w:tc>
        <w:tc>
          <w:tcPr>
            <w:tcW w:w="2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Borders>
              <w:right w:val="single" w:sz="8" w:color="7F7F7F"/>
            </w:tcBorders>
          </w:tcPr>
          <w:p>
            <w:pPr>
              <w:spacing w:after="0"/>
              <w:rPr>
                <w:sz w:val="2"/>
                <w:szCs w:val="2"/>
                <w:color w:val="auto"/>
              </w:rPr>
            </w:pPr>
          </w:p>
        </w:tc>
      </w:tr>
      <w:tr>
        <w:trPr>
          <w:trHeight w:val="250"/>
        </w:trPr>
        <w:tc>
          <w:tcPr>
            <w:tcW w:w="2320" w:type="dxa"/>
            <w:vAlign w:val="bottom"/>
            <w:tcBorders>
              <w:left w:val="single" w:sz="8" w:color="7F7F7F"/>
              <w:bottom w:val="single" w:sz="8" w:color="D8D8D8"/>
            </w:tcBorders>
            <w:shd w:val="clear" w:color="auto" w:fill="D8D8D8"/>
          </w:tcPr>
          <w:p>
            <w:pPr>
              <w:ind w:left="160"/>
              <w:spacing w:after="0"/>
              <w:rPr>
                <w:sz w:val="20"/>
                <w:szCs w:val="20"/>
                <w:color w:val="auto"/>
              </w:rPr>
            </w:pPr>
            <w:r>
              <w:rPr>
                <w:rFonts w:ascii="Arial" w:cs="Arial" w:eastAsia="Arial" w:hAnsi="Arial"/>
                <w:sz w:val="16"/>
                <w:szCs w:val="16"/>
                <w:color w:val="auto"/>
              </w:rPr>
              <w:t>J.C. Geagea</w:t>
            </w:r>
          </w:p>
        </w:tc>
        <w:tc>
          <w:tcPr>
            <w:tcW w:w="2000" w:type="dxa"/>
            <w:vAlign w:val="bottom"/>
            <w:tcBorders>
              <w:bottom w:val="single" w:sz="8" w:color="D8D8D8"/>
            </w:tcBorders>
            <w:shd w:val="clear" w:color="auto" w:fill="D8D8D8"/>
          </w:tcPr>
          <w:p>
            <w:pPr>
              <w:jc w:val="right"/>
              <w:ind w:right="647"/>
              <w:spacing w:after="0"/>
              <w:rPr>
                <w:sz w:val="20"/>
                <w:szCs w:val="20"/>
                <w:color w:val="auto"/>
              </w:rPr>
            </w:pPr>
            <w:r>
              <w:rPr>
                <w:rFonts w:ascii="Arial" w:cs="Arial" w:eastAsia="Arial" w:hAnsi="Arial"/>
                <w:sz w:val="14"/>
                <w:szCs w:val="14"/>
                <w:color w:val="auto"/>
              </w:rPr>
              <w:t>17,000</w:t>
            </w:r>
          </w:p>
        </w:tc>
        <w:tc>
          <w:tcPr>
            <w:tcW w:w="1080" w:type="dxa"/>
            <w:vAlign w:val="bottom"/>
            <w:tcBorders>
              <w:bottom w:val="single" w:sz="8" w:color="D8D8D8"/>
            </w:tcBorders>
            <w:shd w:val="clear" w:color="auto" w:fill="D8D8D8"/>
          </w:tcPr>
          <w:p>
            <w:pPr>
              <w:jc w:val="right"/>
              <w:ind w:right="187"/>
              <w:spacing w:after="0"/>
              <w:rPr>
                <w:sz w:val="20"/>
                <w:szCs w:val="20"/>
                <w:color w:val="auto"/>
              </w:rPr>
            </w:pPr>
            <w:r>
              <w:rPr>
                <w:rFonts w:ascii="Arial" w:cs="Arial" w:eastAsia="Arial" w:hAnsi="Arial"/>
                <w:sz w:val="14"/>
                <w:szCs w:val="14"/>
                <w:color w:val="auto"/>
              </w:rPr>
              <w:t>1/25/2012</w:t>
            </w:r>
          </w:p>
        </w:tc>
        <w:tc>
          <w:tcPr>
            <w:tcW w:w="40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8D8D8"/>
            </w:tcBorders>
            <w:shd w:val="clear" w:color="auto" w:fill="D8D8D8"/>
          </w:tcPr>
          <w:p>
            <w:pPr>
              <w:jc w:val="right"/>
              <w:ind w:right="228"/>
              <w:spacing w:after="0"/>
              <w:rPr>
                <w:sz w:val="20"/>
                <w:szCs w:val="20"/>
                <w:color w:val="auto"/>
              </w:rPr>
            </w:pPr>
            <w:r>
              <w:rPr>
                <w:rFonts w:ascii="Arial" w:cs="Arial" w:eastAsia="Arial" w:hAnsi="Arial"/>
                <w:sz w:val="14"/>
                <w:szCs w:val="14"/>
                <w:color w:val="auto"/>
              </w:rPr>
              <w:t>107.73</w:t>
            </w:r>
          </w:p>
        </w:tc>
        <w:tc>
          <w:tcPr>
            <w:tcW w:w="1280" w:type="dxa"/>
            <w:vAlign w:val="bottom"/>
            <w:tcBorders>
              <w:bottom w:val="single" w:sz="8" w:color="D8D8D8"/>
            </w:tcBorders>
            <w:shd w:val="clear" w:color="auto" w:fill="D8D8D8"/>
          </w:tcPr>
          <w:p>
            <w:pPr>
              <w:jc w:val="right"/>
              <w:ind w:right="187"/>
              <w:spacing w:after="0"/>
              <w:rPr>
                <w:sz w:val="20"/>
                <w:szCs w:val="20"/>
                <w:color w:val="auto"/>
              </w:rPr>
            </w:pPr>
            <w:r>
              <w:rPr>
                <w:rFonts w:ascii="Arial" w:cs="Arial" w:eastAsia="Arial" w:hAnsi="Arial"/>
                <w:sz w:val="14"/>
                <w:szCs w:val="14"/>
                <w:color w:val="auto"/>
              </w:rPr>
              <w:t>11/1/2021</w:t>
            </w:r>
          </w:p>
        </w:tc>
        <w:tc>
          <w:tcPr>
            <w:tcW w:w="50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8D8D8"/>
            </w:tcBorders>
            <w:shd w:val="clear" w:color="auto" w:fill="D8D8D8"/>
          </w:tcPr>
          <w:p>
            <w:pPr>
              <w:jc w:val="right"/>
              <w:ind w:right="188"/>
              <w:spacing w:after="0"/>
              <w:rPr>
                <w:sz w:val="20"/>
                <w:szCs w:val="20"/>
                <w:color w:val="auto"/>
              </w:rPr>
            </w:pPr>
            <w:r>
              <w:rPr>
                <w:rFonts w:ascii="Arial" w:cs="Arial" w:eastAsia="Arial" w:hAnsi="Arial"/>
                <w:sz w:val="14"/>
                <w:szCs w:val="14"/>
                <w:color w:val="auto"/>
              </w:rPr>
              <w:t>114.7509</w:t>
            </w:r>
          </w:p>
        </w:tc>
        <w:tc>
          <w:tcPr>
            <w:tcW w:w="36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D8D8D8"/>
              <w:right w:val="single" w:sz="8" w:color="7F7F7F"/>
            </w:tcBorders>
            <w:shd w:val="clear" w:color="auto" w:fill="D8D8D8"/>
          </w:tcPr>
          <w:p>
            <w:pPr>
              <w:jc w:val="right"/>
              <w:ind w:right="168"/>
              <w:spacing w:after="0"/>
              <w:rPr>
                <w:sz w:val="20"/>
                <w:szCs w:val="20"/>
                <w:color w:val="auto"/>
              </w:rPr>
            </w:pPr>
            <w:r>
              <w:rPr>
                <w:rFonts w:ascii="Arial" w:cs="Arial" w:eastAsia="Arial" w:hAnsi="Arial"/>
                <w:sz w:val="14"/>
                <w:szCs w:val="14"/>
                <w:color w:val="auto"/>
              </w:rPr>
              <w:t>119,355</w:t>
            </w:r>
          </w:p>
        </w:tc>
      </w:tr>
      <w:tr>
        <w:trPr>
          <w:trHeight w:val="241"/>
        </w:trPr>
        <w:tc>
          <w:tcPr>
            <w:tcW w:w="232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J.C. Geagea</w:t>
            </w:r>
          </w:p>
        </w:tc>
        <w:tc>
          <w:tcPr>
            <w:tcW w:w="2000" w:type="dxa"/>
            <w:vAlign w:val="bottom"/>
          </w:tcPr>
          <w:p>
            <w:pPr>
              <w:jc w:val="right"/>
              <w:ind w:right="647"/>
              <w:spacing w:after="0"/>
              <w:rPr>
                <w:sz w:val="20"/>
                <w:szCs w:val="20"/>
                <w:color w:val="auto"/>
              </w:rPr>
            </w:pPr>
            <w:r>
              <w:rPr>
                <w:rFonts w:ascii="Arial" w:cs="Arial" w:eastAsia="Arial" w:hAnsi="Arial"/>
                <w:sz w:val="14"/>
                <w:szCs w:val="14"/>
                <w:color w:val="auto"/>
              </w:rPr>
              <w:t>20,000</w:t>
            </w:r>
          </w:p>
        </w:tc>
        <w:tc>
          <w:tcPr>
            <w:tcW w:w="1080" w:type="dxa"/>
            <w:vAlign w:val="bottom"/>
          </w:tcPr>
          <w:p>
            <w:pPr>
              <w:jc w:val="right"/>
              <w:ind w:right="187"/>
              <w:spacing w:after="0"/>
              <w:rPr>
                <w:sz w:val="20"/>
                <w:szCs w:val="20"/>
                <w:color w:val="auto"/>
              </w:rPr>
            </w:pPr>
            <w:r>
              <w:rPr>
                <w:rFonts w:ascii="Arial" w:cs="Arial" w:eastAsia="Arial" w:hAnsi="Arial"/>
                <w:sz w:val="14"/>
                <w:szCs w:val="14"/>
                <w:color w:val="auto"/>
              </w:rPr>
              <w:t>1/25/2012</w:t>
            </w:r>
          </w:p>
        </w:tc>
        <w:tc>
          <w:tcPr>
            <w:tcW w:w="400" w:type="dxa"/>
            <w:vAlign w:val="bottom"/>
          </w:tcPr>
          <w:p>
            <w:pPr>
              <w:ind w:left="2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107.73</w:t>
            </w:r>
          </w:p>
        </w:tc>
        <w:tc>
          <w:tcPr>
            <w:tcW w:w="1280" w:type="dxa"/>
            <w:vAlign w:val="bottom"/>
          </w:tcPr>
          <w:p>
            <w:pPr>
              <w:jc w:val="right"/>
              <w:ind w:right="187"/>
              <w:spacing w:after="0"/>
              <w:rPr>
                <w:sz w:val="20"/>
                <w:szCs w:val="20"/>
                <w:color w:val="auto"/>
              </w:rPr>
            </w:pPr>
            <w:r>
              <w:rPr>
                <w:rFonts w:ascii="Arial" w:cs="Arial" w:eastAsia="Arial" w:hAnsi="Arial"/>
                <w:sz w:val="14"/>
                <w:szCs w:val="14"/>
                <w:color w:val="auto"/>
              </w:rPr>
              <w:t>11/1/2021</w:t>
            </w:r>
          </w:p>
        </w:tc>
        <w:tc>
          <w:tcPr>
            <w:tcW w:w="500" w:type="dxa"/>
            <w:vAlign w:val="bottom"/>
          </w:tcPr>
          <w:p>
            <w:pPr>
              <w:ind w:left="2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114.8709</w:t>
            </w:r>
          </w:p>
        </w:tc>
        <w:tc>
          <w:tcPr>
            <w:tcW w:w="360" w:type="dxa"/>
            <w:vAlign w:val="bottom"/>
          </w:tcPr>
          <w:p>
            <w:pPr>
              <w:ind w:left="280"/>
              <w:spacing w:after="0"/>
              <w:rPr>
                <w:sz w:val="20"/>
                <w:szCs w:val="20"/>
                <w:color w:val="auto"/>
              </w:rPr>
            </w:pPr>
            <w:r>
              <w:rPr>
                <w:rFonts w:ascii="Arial" w:cs="Arial" w:eastAsia="Arial" w:hAnsi="Arial"/>
                <w:sz w:val="14"/>
                <w:szCs w:val="14"/>
                <w:color w:val="auto"/>
                <w:w w:val="76"/>
              </w:rPr>
              <w:t>$</w:t>
            </w:r>
          </w:p>
        </w:tc>
        <w:tc>
          <w:tcPr>
            <w:tcW w:w="1240" w:type="dxa"/>
            <w:vAlign w:val="bottom"/>
            <w:tcBorders>
              <w:right w:val="single" w:sz="8" w:color="7F7F7F"/>
            </w:tcBorders>
          </w:tcPr>
          <w:p>
            <w:pPr>
              <w:jc w:val="right"/>
              <w:ind w:right="168"/>
              <w:spacing w:after="0"/>
              <w:rPr>
                <w:sz w:val="20"/>
                <w:szCs w:val="20"/>
                <w:color w:val="auto"/>
              </w:rPr>
            </w:pPr>
            <w:r>
              <w:rPr>
                <w:rFonts w:ascii="Arial" w:cs="Arial" w:eastAsia="Arial" w:hAnsi="Arial"/>
                <w:sz w:val="14"/>
                <w:szCs w:val="14"/>
                <w:color w:val="auto"/>
              </w:rPr>
              <w:t>142,818</w:t>
            </w:r>
          </w:p>
        </w:tc>
      </w:tr>
      <w:tr>
        <w:trPr>
          <w:trHeight w:val="29"/>
        </w:trPr>
        <w:tc>
          <w:tcPr>
            <w:tcW w:w="2320" w:type="dxa"/>
            <w:vAlign w:val="bottom"/>
            <w:tcBorders>
              <w:left w:val="single" w:sz="8" w:color="7F7F7F"/>
              <w:bottom w:val="single" w:sz="8" w:color="7F7F7F"/>
            </w:tcBorders>
          </w:tcPr>
          <w:p>
            <w:pPr>
              <w:spacing w:after="0"/>
              <w:rPr>
                <w:sz w:val="2"/>
                <w:szCs w:val="2"/>
                <w:color w:val="auto"/>
              </w:rPr>
            </w:pPr>
          </w:p>
        </w:tc>
        <w:tc>
          <w:tcPr>
            <w:tcW w:w="2000" w:type="dxa"/>
            <w:vAlign w:val="bottom"/>
            <w:tcBorders>
              <w:bottom w:val="single" w:sz="8" w:color="7F7F7F"/>
            </w:tcBorders>
          </w:tcPr>
          <w:p>
            <w:pPr>
              <w:spacing w:after="0"/>
              <w:rPr>
                <w:sz w:val="2"/>
                <w:szCs w:val="2"/>
                <w:color w:val="auto"/>
              </w:rPr>
            </w:pPr>
          </w:p>
        </w:tc>
        <w:tc>
          <w:tcPr>
            <w:tcW w:w="1080" w:type="dxa"/>
            <w:vAlign w:val="bottom"/>
            <w:tcBorders>
              <w:bottom w:val="single" w:sz="8" w:color="7F7F7F"/>
            </w:tcBorders>
          </w:tcPr>
          <w:p>
            <w:pPr>
              <w:spacing w:after="0"/>
              <w:rPr>
                <w:sz w:val="2"/>
                <w:szCs w:val="2"/>
                <w:color w:val="auto"/>
              </w:rPr>
            </w:pPr>
          </w:p>
        </w:tc>
        <w:tc>
          <w:tcPr>
            <w:tcW w:w="400" w:type="dxa"/>
            <w:vAlign w:val="bottom"/>
            <w:tcBorders>
              <w:bottom w:val="single" w:sz="8" w:color="7F7F7F"/>
            </w:tcBorders>
          </w:tcPr>
          <w:p>
            <w:pPr>
              <w:spacing w:after="0"/>
              <w:rPr>
                <w:sz w:val="2"/>
                <w:szCs w:val="2"/>
                <w:color w:val="auto"/>
              </w:rPr>
            </w:pPr>
          </w:p>
        </w:tc>
        <w:tc>
          <w:tcPr>
            <w:tcW w:w="860" w:type="dxa"/>
            <w:vAlign w:val="bottom"/>
            <w:tcBorders>
              <w:bottom w:val="single" w:sz="8" w:color="7F7F7F"/>
            </w:tcBorders>
          </w:tcPr>
          <w:p>
            <w:pPr>
              <w:spacing w:after="0"/>
              <w:rPr>
                <w:sz w:val="2"/>
                <w:szCs w:val="2"/>
                <w:color w:val="auto"/>
              </w:rPr>
            </w:pPr>
          </w:p>
        </w:tc>
        <w:tc>
          <w:tcPr>
            <w:tcW w:w="1280" w:type="dxa"/>
            <w:vAlign w:val="bottom"/>
            <w:tcBorders>
              <w:bottom w:val="single" w:sz="8" w:color="7F7F7F"/>
            </w:tcBorders>
          </w:tcPr>
          <w:p>
            <w:pPr>
              <w:spacing w:after="0"/>
              <w:rPr>
                <w:sz w:val="2"/>
                <w:szCs w:val="2"/>
                <w:color w:val="auto"/>
              </w:rPr>
            </w:pPr>
          </w:p>
        </w:tc>
        <w:tc>
          <w:tcPr>
            <w:tcW w:w="500" w:type="dxa"/>
            <w:vAlign w:val="bottom"/>
            <w:tcBorders>
              <w:bottom w:val="single" w:sz="8" w:color="7F7F7F"/>
            </w:tcBorders>
          </w:tcPr>
          <w:p>
            <w:pPr>
              <w:spacing w:after="0"/>
              <w:rPr>
                <w:sz w:val="2"/>
                <w:szCs w:val="2"/>
                <w:color w:val="auto"/>
              </w:rPr>
            </w:pPr>
          </w:p>
        </w:tc>
        <w:tc>
          <w:tcPr>
            <w:tcW w:w="1000" w:type="dxa"/>
            <w:vAlign w:val="bottom"/>
            <w:tcBorders>
              <w:bottom w:val="single" w:sz="8" w:color="7F7F7F"/>
            </w:tcBorders>
          </w:tcPr>
          <w:p>
            <w:pPr>
              <w:spacing w:after="0"/>
              <w:rPr>
                <w:sz w:val="2"/>
                <w:szCs w:val="2"/>
                <w:color w:val="auto"/>
              </w:rPr>
            </w:pPr>
          </w:p>
        </w:tc>
        <w:tc>
          <w:tcPr>
            <w:tcW w:w="360" w:type="dxa"/>
            <w:vAlign w:val="bottom"/>
            <w:tcBorders>
              <w:bottom w:val="single" w:sz="8" w:color="7F7F7F"/>
            </w:tcBorders>
          </w:tcPr>
          <w:p>
            <w:pPr>
              <w:spacing w:after="0"/>
              <w:rPr>
                <w:sz w:val="2"/>
                <w:szCs w:val="2"/>
                <w:color w:val="auto"/>
              </w:rPr>
            </w:pPr>
          </w:p>
        </w:tc>
        <w:tc>
          <w:tcPr>
            <w:tcW w:w="1240" w:type="dxa"/>
            <w:vAlign w:val="bottom"/>
            <w:tcBorders>
              <w:bottom w:val="single" w:sz="8" w:color="7F7F7F"/>
              <w:right w:val="single" w:sz="8" w:color="7F7F7F"/>
            </w:tcBorders>
          </w:tcPr>
          <w:p>
            <w:pPr>
              <w:spacing w:after="0"/>
              <w:rPr>
                <w:sz w:val="2"/>
                <w:szCs w:val="2"/>
                <w:color w:val="auto"/>
              </w:rPr>
            </w:pPr>
          </w:p>
        </w:tc>
      </w:tr>
    </w:tbl>
    <w:p>
      <w:pPr>
        <w:spacing w:after="0" w:line="207" w:lineRule="exact"/>
        <w:rPr>
          <w:sz w:val="20"/>
          <w:szCs w:val="20"/>
          <w:color w:val="auto"/>
        </w:rPr>
      </w:pPr>
    </w:p>
    <w:p>
      <w:pPr>
        <w:jc w:val="both"/>
        <w:ind w:left="540" w:right="20" w:hanging="424"/>
        <w:spacing w:after="0" w:line="271" w:lineRule="auto"/>
        <w:tabs>
          <w:tab w:leader="none" w:pos="5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Represents the cash value of vested performance shares granted in 2019 for the performance period January 2019 through December 2021, paid in February 2022. Also includes the cash value of RSUs withheld to pay taxes on unvested RSUs no longer subject to substantial risk of forfeiture. Each of these is described further below.</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0B2D71"/>
        </w:rPr>
        <w:t>Performance shares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For performance shares granted from 2017 to 2020</w:t>
      </w:r>
      <w:r>
        <w:rPr>
          <w:rFonts w:ascii="Arial" w:cs="Arial" w:eastAsia="Arial" w:hAnsi="Arial"/>
          <w:sz w:val="14"/>
          <w:szCs w:val="14"/>
          <w:color w:val="auto"/>
        </w:rPr>
        <w:t>, we calculate the cash value of performance share payouts as follows:</w:t>
      </w:r>
    </w:p>
    <w:p>
      <w:pPr>
        <w:spacing w:after="0" w:line="55" w:lineRule="exact"/>
        <w:rPr>
          <w:sz w:val="20"/>
          <w:szCs w:val="20"/>
          <w:color w:val="auto"/>
        </w:rPr>
      </w:pPr>
    </w:p>
    <w:p>
      <w:pPr>
        <w:ind w:left="560" w:right="20"/>
        <w:spacing w:after="0" w:line="285" w:lineRule="auto"/>
        <w:rPr>
          <w:sz w:val="20"/>
          <w:szCs w:val="20"/>
          <w:color w:val="auto"/>
        </w:rPr>
      </w:pPr>
      <w:r>
        <w:rPr>
          <w:rFonts w:ascii="Arial" w:cs="Arial" w:eastAsia="Arial" w:hAnsi="Arial"/>
          <w:sz w:val="14"/>
          <w:szCs w:val="14"/>
          <w:b w:val="1"/>
          <w:bCs w:val="1"/>
          <w:color w:val="auto"/>
        </w:rPr>
        <w:t>First</w:t>
      </w:r>
      <w:r>
        <w:rPr>
          <w:rFonts w:ascii="Arial" w:cs="Arial" w:eastAsia="Arial" w:hAnsi="Arial"/>
          <w:sz w:val="14"/>
          <w:szCs w:val="14"/>
          <w:color w:val="auto"/>
        </w:rPr>
        <w:t>, we calculate our TSR and the TSR of our LTIP Performance Share Peer Group (BP, ExxonMobil, Shell, TotalEnergies and S&amp;P 500 Total Return Index)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three-year performance period. We calculate TSR for the three-year performance period as follows:</w:t>
      </w:r>
    </w:p>
    <w:p>
      <w:pPr>
        <w:spacing w:after="0" w:line="18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3"/>
                <w:szCs w:val="13"/>
                <w:color w:val="auto"/>
              </w:rPr>
              <w:t>TSR =</w:t>
            </w:r>
          </w:p>
        </w:tc>
        <w:tc>
          <w:tcPr>
            <w:tcW w:w="1016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color w:val="auto"/>
              </w:rPr>
              <w:t>(20-day average ending share price (–) 20-day average beginning share price (+) reinvested dividend value)</w:t>
            </w:r>
          </w:p>
        </w:tc>
        <w:tc>
          <w:tcPr>
            <w:tcW w:w="0" w:type="dxa"/>
            <w:vAlign w:val="bottom"/>
          </w:tcPr>
          <w:p>
            <w:pPr>
              <w:spacing w:after="0"/>
              <w:rPr>
                <w:sz w:val="1"/>
                <w:szCs w:val="1"/>
                <w:color w:val="auto"/>
              </w:rPr>
            </w:pPr>
          </w:p>
        </w:tc>
      </w:tr>
      <w:tr>
        <w:trPr>
          <w:trHeight w:val="76"/>
        </w:trPr>
        <w:tc>
          <w:tcPr>
            <w:tcW w:w="420" w:type="dxa"/>
            <w:vAlign w:val="bottom"/>
            <w:vMerge w:val="continue"/>
          </w:tcPr>
          <w:p>
            <w:pPr>
              <w:spacing w:after="0"/>
              <w:rPr>
                <w:sz w:val="6"/>
                <w:szCs w:val="6"/>
                <w:color w:val="auto"/>
              </w:rPr>
            </w:pPr>
          </w:p>
        </w:tc>
        <w:tc>
          <w:tcPr>
            <w:tcW w:w="10160" w:type="dxa"/>
            <w:vAlign w:val="bottom"/>
            <w:vMerge w:val="restart"/>
          </w:tcPr>
          <w:p>
            <w:pPr>
              <w:jc w:val="center"/>
              <w:ind w:left="33"/>
              <w:spacing w:after="0"/>
              <w:rPr>
                <w:sz w:val="20"/>
                <w:szCs w:val="20"/>
                <w:color w:val="auto"/>
              </w:rPr>
            </w:pPr>
            <w:r>
              <w:rPr>
                <w:rFonts w:ascii="Arial" w:cs="Arial" w:eastAsia="Arial" w:hAnsi="Arial"/>
                <w:sz w:val="13"/>
                <w:szCs w:val="13"/>
                <w:color w:val="auto"/>
              </w:rPr>
              <w:t>20-day average beginning share price</w:t>
            </w:r>
          </w:p>
        </w:tc>
        <w:tc>
          <w:tcPr>
            <w:tcW w:w="0" w:type="dxa"/>
            <w:vAlign w:val="bottom"/>
          </w:tcPr>
          <w:p>
            <w:pPr>
              <w:spacing w:after="0"/>
              <w:rPr>
                <w:sz w:val="1"/>
                <w:szCs w:val="1"/>
                <w:color w:val="auto"/>
              </w:rPr>
            </w:pPr>
          </w:p>
        </w:tc>
      </w:tr>
      <w:tr>
        <w:trPr>
          <w:trHeight w:val="94"/>
        </w:trPr>
        <w:tc>
          <w:tcPr>
            <w:tcW w:w="420" w:type="dxa"/>
            <w:vAlign w:val="bottom"/>
          </w:tcPr>
          <w:p>
            <w:pPr>
              <w:spacing w:after="0"/>
              <w:rPr>
                <w:sz w:val="8"/>
                <w:szCs w:val="8"/>
                <w:color w:val="auto"/>
              </w:rPr>
            </w:pPr>
          </w:p>
        </w:tc>
        <w:tc>
          <w:tcPr>
            <w:tcW w:w="10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jc w:val="both"/>
        <w:ind w:left="560" w:right="20"/>
        <w:spacing w:after="0" w:line="281" w:lineRule="auto"/>
        <w:rPr>
          <w:sz w:val="20"/>
          <w:szCs w:val="20"/>
          <w:color w:val="auto"/>
        </w:rPr>
      </w:pPr>
      <w:r>
        <w:rPr>
          <w:rFonts w:ascii="Arial" w:cs="Arial" w:eastAsia="Arial" w:hAnsi="Arial"/>
          <w:sz w:val="14"/>
          <w:szCs w:val="14"/>
          <w:color w:val="auto"/>
        </w:rPr>
        <w:t>“Ending” refers to the last 20 trading days of the performance period. “Beginning” refers to the last 20 trading days prior to the start of the performance period. In each instance, we use closing prices to calculate the 20-day average.</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results are expressed as an annualized average compound rate of return.</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Chevron Corporation – 2022 Proxy Statement</w:t>
      </w:r>
    </w:p>
    <w:p>
      <w:pPr>
        <w:spacing w:after="0" w:line="5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68</w:t>
      </w:r>
    </w:p>
    <w:p>
      <w:pPr>
        <w:sectPr>
          <w:pgSz w:w="11900" w:h="16838" w:orient="portrait"/>
          <w:cols w:equalWidth="0" w:num="1">
            <w:col w:w="11140"/>
          </w:cols>
          <w:pgMar w:left="320" w:top="455" w:right="4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208280</wp:posOffset>
            </wp:positionV>
            <wp:extent cx="1474470" cy="145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474470" cy="145415"/>
                    </a:xfrm>
                    <a:prstGeom prst="rect">
                      <a:avLst/>
                    </a:prstGeom>
                    <a:noFill/>
                  </pic:spPr>
                </pic:pic>
              </a:graphicData>
            </a:graphic>
          </wp:anchor>
        </w:drawing>
      </w:r>
    </w:p>
    <w:p>
      <w:pPr>
        <w:spacing w:after="0" w:line="339"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FFFFFF"/>
        </w:rPr>
        <w:t>Executive compensation</w:t>
      </w:r>
    </w:p>
    <w:p>
      <w:pPr>
        <w:spacing w:after="0" w:line="177" w:lineRule="exact"/>
        <w:rPr>
          <w:sz w:val="20"/>
          <w:szCs w:val="20"/>
          <w:color w:val="auto"/>
        </w:rPr>
      </w:pPr>
    </w:p>
    <w:p>
      <w:pPr>
        <w:jc w:val="both"/>
        <w:ind w:left="560" w:right="20"/>
        <w:spacing w:after="0" w:line="285" w:lineRule="auto"/>
        <w:rPr>
          <w:sz w:val="20"/>
          <w:szCs w:val="20"/>
          <w:color w:val="auto"/>
        </w:rPr>
      </w:pPr>
      <w:r>
        <w:rPr>
          <w:rFonts w:ascii="Arial" w:cs="Arial" w:eastAsia="Arial" w:hAnsi="Arial"/>
          <w:sz w:val="14"/>
          <w:szCs w:val="14"/>
          <w:b w:val="1"/>
          <w:bCs w:val="1"/>
          <w:color w:val="auto"/>
        </w:rPr>
        <w:t>Second</w:t>
      </w:r>
      <w:r>
        <w:rPr>
          <w:rFonts w:ascii="Arial" w:cs="Arial" w:eastAsia="Arial" w:hAnsi="Arial"/>
          <w:sz w:val="14"/>
          <w:szCs w:val="14"/>
          <w:color w:val="auto"/>
        </w:rPr>
        <w:t>, we rank our TSR against the TSR of our LTIP Performance Share Peer Group to determine the performance modifier applicable to the awards. Our rank</w:t>
      </w:r>
      <w:r>
        <w:rPr>
          <w:rFonts w:ascii="Arial" w:cs="Arial" w:eastAsia="Arial" w:hAnsi="Arial"/>
          <w:sz w:val="14"/>
          <w:szCs w:val="14"/>
          <w:b w:val="1"/>
          <w:bCs w:val="1"/>
          <w:color w:val="auto"/>
        </w:rPr>
        <w:t xml:space="preserve"> </w:t>
      </w:r>
      <w:r>
        <w:rPr>
          <w:rFonts w:ascii="Arial" w:cs="Arial" w:eastAsia="Arial" w:hAnsi="Arial"/>
          <w:sz w:val="14"/>
          <w:szCs w:val="14"/>
          <w:color w:val="auto"/>
        </w:rPr>
        <w:t>then determines what the performance modifier will be, as follows:</w:t>
      </w:r>
    </w:p>
    <w:p>
      <w:pPr>
        <w:spacing w:after="0" w:line="174" w:lineRule="exact"/>
        <w:rPr>
          <w:sz w:val="20"/>
          <w:szCs w:val="20"/>
          <w:color w:val="auto"/>
        </w:rPr>
      </w:pPr>
    </w:p>
    <w:tbl>
      <w:tblPr>
        <w:tblLayout w:type="fixed"/>
        <w:tblInd w:w="560" w:type="dxa"/>
        <w:tblCellMar>
          <w:top w:w="0" w:type="dxa"/>
          <w:left w:w="0" w:type="dxa"/>
          <w:bottom w:w="0" w:type="dxa"/>
          <w:right w:w="0" w:type="dxa"/>
        </w:tblCellMar>
      </w:tblPr>
      <w:tr>
        <w:trPr>
          <w:trHeight w:val="318"/>
        </w:trPr>
        <w:tc>
          <w:tcPr>
            <w:tcW w:w="4340" w:type="dxa"/>
            <w:vAlign w:val="bottom"/>
            <w:tcBorders>
              <w:top w:val="single" w:sz="8" w:color="7F7F7F"/>
              <w:bottom w:val="single" w:sz="8" w:color="D8D8D8"/>
            </w:tcBorders>
            <w:shd w:val="clear" w:color="auto" w:fill="D8D8D8"/>
          </w:tcPr>
          <w:p>
            <w:pPr>
              <w:ind w:left="80"/>
              <w:spacing w:after="0"/>
              <w:rPr>
                <w:sz w:val="20"/>
                <w:szCs w:val="20"/>
                <w:color w:val="auto"/>
              </w:rPr>
            </w:pPr>
            <w:r>
              <w:rPr>
                <w:rFonts w:ascii="Arial" w:cs="Arial" w:eastAsia="Arial" w:hAnsi="Arial"/>
                <w:sz w:val="13"/>
                <w:szCs w:val="13"/>
                <w:b w:val="1"/>
                <w:bCs w:val="1"/>
                <w:color w:val="auto"/>
              </w:rPr>
              <w:t>Our rank</w:t>
            </w:r>
          </w:p>
        </w:tc>
        <w:tc>
          <w:tcPr>
            <w:tcW w:w="1160" w:type="dxa"/>
            <w:vAlign w:val="bottom"/>
            <w:tcBorders>
              <w:top w:val="single" w:sz="8" w:color="D8D8D8"/>
              <w:bottom w:val="single" w:sz="8" w:color="D8D8D8"/>
            </w:tcBorders>
            <w:shd w:val="clear" w:color="auto" w:fill="D8D8D8"/>
          </w:tcPr>
          <w:p>
            <w:pPr>
              <w:jc w:val="right"/>
              <w:ind w:right="413"/>
              <w:spacing w:after="0"/>
              <w:rPr>
                <w:sz w:val="20"/>
                <w:szCs w:val="20"/>
                <w:color w:val="auto"/>
              </w:rPr>
            </w:pPr>
            <w:r>
              <w:rPr>
                <w:rFonts w:ascii="Arial" w:cs="Arial" w:eastAsia="Arial" w:hAnsi="Arial"/>
                <w:sz w:val="13"/>
                <w:szCs w:val="13"/>
                <w:b w:val="1"/>
                <w:bCs w:val="1"/>
                <w:color w:val="auto"/>
              </w:rPr>
              <w:t>1st</w:t>
            </w:r>
          </w:p>
        </w:tc>
        <w:tc>
          <w:tcPr>
            <w:tcW w:w="1040" w:type="dxa"/>
            <w:vAlign w:val="bottom"/>
            <w:tcBorders>
              <w:top w:val="single" w:sz="8" w:color="D8D8D8"/>
              <w:bottom w:val="single" w:sz="8" w:color="D8D8D8"/>
            </w:tcBorders>
            <w:shd w:val="clear" w:color="auto" w:fill="D8D8D8"/>
          </w:tcPr>
          <w:p>
            <w:pPr>
              <w:jc w:val="right"/>
              <w:ind w:right="393"/>
              <w:spacing w:after="0"/>
              <w:rPr>
                <w:sz w:val="20"/>
                <w:szCs w:val="20"/>
                <w:color w:val="auto"/>
              </w:rPr>
            </w:pPr>
            <w:r>
              <w:rPr>
                <w:rFonts w:ascii="Arial" w:cs="Arial" w:eastAsia="Arial" w:hAnsi="Arial"/>
                <w:sz w:val="13"/>
                <w:szCs w:val="13"/>
                <w:b w:val="1"/>
                <w:bCs w:val="1"/>
                <w:color w:val="auto"/>
              </w:rPr>
              <w:t>2nd</w:t>
            </w:r>
          </w:p>
        </w:tc>
        <w:tc>
          <w:tcPr>
            <w:tcW w:w="1020" w:type="dxa"/>
            <w:vAlign w:val="bottom"/>
            <w:tcBorders>
              <w:top w:val="single" w:sz="8" w:color="D8D8D8"/>
              <w:bottom w:val="single" w:sz="8" w:color="D8D8D8"/>
            </w:tcBorders>
            <w:shd w:val="clear" w:color="auto" w:fill="D8D8D8"/>
          </w:tcPr>
          <w:p>
            <w:pPr>
              <w:jc w:val="right"/>
              <w:ind w:right="413"/>
              <w:spacing w:after="0"/>
              <w:rPr>
                <w:sz w:val="20"/>
                <w:szCs w:val="20"/>
                <w:color w:val="auto"/>
              </w:rPr>
            </w:pPr>
            <w:r>
              <w:rPr>
                <w:rFonts w:ascii="Arial" w:cs="Arial" w:eastAsia="Arial" w:hAnsi="Arial"/>
                <w:sz w:val="13"/>
                <w:szCs w:val="13"/>
                <w:b w:val="1"/>
                <w:bCs w:val="1"/>
                <w:color w:val="auto"/>
              </w:rPr>
              <w:t>3rd</w:t>
            </w:r>
          </w:p>
        </w:tc>
        <w:tc>
          <w:tcPr>
            <w:tcW w:w="1020" w:type="dxa"/>
            <w:vAlign w:val="bottom"/>
            <w:tcBorders>
              <w:top w:val="single" w:sz="8" w:color="D8D8D8"/>
              <w:bottom w:val="single" w:sz="8" w:color="D8D8D8"/>
            </w:tcBorders>
            <w:shd w:val="clear" w:color="auto" w:fill="D8D8D8"/>
          </w:tcPr>
          <w:p>
            <w:pPr>
              <w:jc w:val="right"/>
              <w:ind w:right="393"/>
              <w:spacing w:after="0"/>
              <w:rPr>
                <w:sz w:val="20"/>
                <w:szCs w:val="20"/>
                <w:color w:val="auto"/>
              </w:rPr>
            </w:pPr>
            <w:r>
              <w:rPr>
                <w:rFonts w:ascii="Arial" w:cs="Arial" w:eastAsia="Arial" w:hAnsi="Arial"/>
                <w:sz w:val="13"/>
                <w:szCs w:val="13"/>
                <w:b w:val="1"/>
                <w:bCs w:val="1"/>
                <w:color w:val="auto"/>
              </w:rPr>
              <w:t>4th</w:t>
            </w:r>
          </w:p>
        </w:tc>
        <w:tc>
          <w:tcPr>
            <w:tcW w:w="980" w:type="dxa"/>
            <w:vAlign w:val="bottom"/>
            <w:tcBorders>
              <w:top w:val="single" w:sz="8" w:color="D8D8D8"/>
              <w:bottom w:val="single" w:sz="8" w:color="D8D8D8"/>
            </w:tcBorders>
            <w:shd w:val="clear" w:color="auto" w:fill="D8D8D8"/>
          </w:tcPr>
          <w:p>
            <w:pPr>
              <w:jc w:val="right"/>
              <w:ind w:right="353"/>
              <w:spacing w:after="0"/>
              <w:rPr>
                <w:sz w:val="20"/>
                <w:szCs w:val="20"/>
                <w:color w:val="auto"/>
              </w:rPr>
            </w:pPr>
            <w:r>
              <w:rPr>
                <w:rFonts w:ascii="Arial" w:cs="Arial" w:eastAsia="Arial" w:hAnsi="Arial"/>
                <w:sz w:val="13"/>
                <w:szCs w:val="13"/>
                <w:b w:val="1"/>
                <w:bCs w:val="1"/>
                <w:color w:val="auto"/>
              </w:rPr>
              <w:t>5th</w:t>
            </w:r>
          </w:p>
        </w:tc>
        <w:tc>
          <w:tcPr>
            <w:tcW w:w="1020" w:type="dxa"/>
            <w:vAlign w:val="bottom"/>
            <w:tcBorders>
              <w:top w:val="single" w:sz="8" w:color="D8D8D8"/>
              <w:bottom w:val="single" w:sz="8" w:color="D8D8D8"/>
            </w:tcBorders>
            <w:shd w:val="clear" w:color="auto" w:fill="D8D8D8"/>
          </w:tcPr>
          <w:p>
            <w:pPr>
              <w:jc w:val="right"/>
              <w:ind w:right="473"/>
              <w:spacing w:after="0"/>
              <w:rPr>
                <w:sz w:val="20"/>
                <w:szCs w:val="20"/>
                <w:color w:val="auto"/>
              </w:rPr>
            </w:pPr>
            <w:r>
              <w:rPr>
                <w:rFonts w:ascii="Arial" w:cs="Arial" w:eastAsia="Arial" w:hAnsi="Arial"/>
                <w:sz w:val="13"/>
                <w:szCs w:val="13"/>
                <w:b w:val="1"/>
                <w:bCs w:val="1"/>
                <w:color w:val="auto"/>
              </w:rPr>
              <w:t>6th</w:t>
            </w:r>
          </w:p>
        </w:tc>
      </w:tr>
      <w:tr>
        <w:trPr>
          <w:trHeight w:val="217"/>
        </w:trPr>
        <w:tc>
          <w:tcPr>
            <w:tcW w:w="4340" w:type="dxa"/>
            <w:vAlign w:val="bottom"/>
          </w:tcPr>
          <w:p>
            <w:pPr>
              <w:ind w:left="80"/>
              <w:spacing w:after="0"/>
              <w:rPr>
                <w:sz w:val="20"/>
                <w:szCs w:val="20"/>
                <w:color w:val="auto"/>
              </w:rPr>
            </w:pPr>
            <w:r>
              <w:rPr>
                <w:rFonts w:ascii="Arial" w:cs="Arial" w:eastAsia="Arial" w:hAnsi="Arial"/>
                <w:sz w:val="13"/>
                <w:szCs w:val="13"/>
                <w:color w:val="auto"/>
              </w:rPr>
              <w:t>Performance modifier</w:t>
            </w:r>
          </w:p>
        </w:tc>
        <w:tc>
          <w:tcPr>
            <w:tcW w:w="1160" w:type="dxa"/>
            <w:vAlign w:val="bottom"/>
          </w:tcPr>
          <w:p>
            <w:pPr>
              <w:jc w:val="right"/>
              <w:ind w:right="293"/>
              <w:spacing w:after="0"/>
              <w:rPr>
                <w:sz w:val="20"/>
                <w:szCs w:val="20"/>
                <w:color w:val="auto"/>
              </w:rPr>
            </w:pPr>
            <w:r>
              <w:rPr>
                <w:rFonts w:ascii="Arial" w:cs="Arial" w:eastAsia="Arial" w:hAnsi="Arial"/>
                <w:sz w:val="13"/>
                <w:szCs w:val="13"/>
                <w:color w:val="auto"/>
              </w:rPr>
              <w:t>200%</w:t>
            </w:r>
          </w:p>
        </w:tc>
        <w:tc>
          <w:tcPr>
            <w:tcW w:w="1040" w:type="dxa"/>
            <w:vAlign w:val="bottom"/>
          </w:tcPr>
          <w:p>
            <w:pPr>
              <w:jc w:val="right"/>
              <w:ind w:right="273"/>
              <w:spacing w:after="0"/>
              <w:rPr>
                <w:sz w:val="20"/>
                <w:szCs w:val="20"/>
                <w:color w:val="auto"/>
              </w:rPr>
            </w:pPr>
            <w:r>
              <w:rPr>
                <w:rFonts w:ascii="Arial" w:cs="Arial" w:eastAsia="Arial" w:hAnsi="Arial"/>
                <w:sz w:val="13"/>
                <w:szCs w:val="13"/>
                <w:color w:val="auto"/>
              </w:rPr>
              <w:t>160%</w:t>
            </w:r>
          </w:p>
        </w:tc>
        <w:tc>
          <w:tcPr>
            <w:tcW w:w="1020" w:type="dxa"/>
            <w:vAlign w:val="bottom"/>
          </w:tcPr>
          <w:p>
            <w:pPr>
              <w:jc w:val="right"/>
              <w:ind w:right="293"/>
              <w:spacing w:after="0"/>
              <w:rPr>
                <w:sz w:val="20"/>
                <w:szCs w:val="20"/>
                <w:color w:val="auto"/>
              </w:rPr>
            </w:pPr>
            <w:r>
              <w:rPr>
                <w:rFonts w:ascii="Arial" w:cs="Arial" w:eastAsia="Arial" w:hAnsi="Arial"/>
                <w:sz w:val="13"/>
                <w:szCs w:val="13"/>
                <w:color w:val="auto"/>
              </w:rPr>
              <w:t>120%</w:t>
            </w:r>
          </w:p>
        </w:tc>
        <w:tc>
          <w:tcPr>
            <w:tcW w:w="1020" w:type="dxa"/>
            <w:vAlign w:val="bottom"/>
          </w:tcPr>
          <w:p>
            <w:pPr>
              <w:jc w:val="right"/>
              <w:ind w:right="273"/>
              <w:spacing w:after="0"/>
              <w:rPr>
                <w:sz w:val="20"/>
                <w:szCs w:val="20"/>
                <w:color w:val="auto"/>
              </w:rPr>
            </w:pPr>
            <w:r>
              <w:rPr>
                <w:rFonts w:ascii="Arial" w:cs="Arial" w:eastAsia="Arial" w:hAnsi="Arial"/>
                <w:sz w:val="13"/>
                <w:szCs w:val="13"/>
                <w:color w:val="auto"/>
              </w:rPr>
              <w:t>80%</w:t>
            </w:r>
          </w:p>
        </w:tc>
        <w:tc>
          <w:tcPr>
            <w:tcW w:w="980" w:type="dxa"/>
            <w:vAlign w:val="bottom"/>
          </w:tcPr>
          <w:p>
            <w:pPr>
              <w:jc w:val="right"/>
              <w:ind w:right="233"/>
              <w:spacing w:after="0"/>
              <w:rPr>
                <w:sz w:val="20"/>
                <w:szCs w:val="20"/>
                <w:color w:val="auto"/>
              </w:rPr>
            </w:pPr>
            <w:r>
              <w:rPr>
                <w:rFonts w:ascii="Arial" w:cs="Arial" w:eastAsia="Arial" w:hAnsi="Arial"/>
                <w:sz w:val="13"/>
                <w:szCs w:val="13"/>
                <w:color w:val="auto"/>
              </w:rPr>
              <w:t>40%</w:t>
            </w:r>
          </w:p>
        </w:tc>
        <w:tc>
          <w:tcPr>
            <w:tcW w:w="1020" w:type="dxa"/>
            <w:vAlign w:val="bottom"/>
          </w:tcPr>
          <w:p>
            <w:pPr>
              <w:jc w:val="right"/>
              <w:ind w:right="353"/>
              <w:spacing w:after="0"/>
              <w:rPr>
                <w:sz w:val="20"/>
                <w:szCs w:val="20"/>
                <w:color w:val="auto"/>
              </w:rPr>
            </w:pPr>
            <w:r>
              <w:rPr>
                <w:rFonts w:ascii="Arial" w:cs="Arial" w:eastAsia="Arial" w:hAnsi="Arial"/>
                <w:sz w:val="13"/>
                <w:szCs w:val="13"/>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33655</wp:posOffset>
            </wp:positionV>
            <wp:extent cx="671195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91" w:lineRule="exact"/>
        <w:rPr>
          <w:sz w:val="20"/>
          <w:szCs w:val="20"/>
          <w:color w:val="auto"/>
        </w:rPr>
      </w:pPr>
    </w:p>
    <w:p>
      <w:pPr>
        <w:jc w:val="both"/>
        <w:ind w:left="560" w:right="20"/>
        <w:spacing w:after="0" w:line="256" w:lineRule="auto"/>
        <w:rPr>
          <w:sz w:val="20"/>
          <w:szCs w:val="20"/>
          <w:color w:val="auto"/>
        </w:rPr>
      </w:pPr>
      <w:r>
        <w:rPr>
          <w:rFonts w:ascii="Arial" w:cs="Arial" w:eastAsia="Arial" w:hAnsi="Arial"/>
          <w:sz w:val="14"/>
          <w:szCs w:val="14"/>
          <w:color w:val="auto"/>
        </w:rPr>
        <w:t>For example, if we rank first in TSR as compared with our LTIP Performance Share Peer Group, then the performance modifier would be 200%. Under the rules of the LTIP, in the event our measured annualized TSR is less than 1 percentage point of the nearest competitor(s), the results will be considered a tie, and the performance modifier will be the average of the tied ranks. For example, if Chevron ranks sixth in TSR and ties with the TSR of the peer that ranks fifth, it will result in a modifier of 20% (the average of 40% and 0%).</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Third</w:t>
      </w:r>
      <w:r>
        <w:rPr>
          <w:rFonts w:ascii="Arial" w:cs="Arial" w:eastAsia="Arial" w:hAnsi="Arial"/>
          <w:sz w:val="14"/>
          <w:szCs w:val="14"/>
          <w:color w:val="auto"/>
        </w:rPr>
        <w:t>, we determine the cash value and payout of the performance share award, as follows:</w:t>
      </w:r>
    </w:p>
    <w:p>
      <w:pPr>
        <w:spacing w:after="0" w:line="233" w:lineRule="exact"/>
        <w:rPr>
          <w:sz w:val="20"/>
          <w:szCs w:val="20"/>
          <w:color w:val="auto"/>
        </w:rPr>
      </w:pPr>
    </w:p>
    <w:tbl>
      <w:tblPr>
        <w:tblLayout w:type="fixed"/>
        <w:tblInd w:w="570" w:type="dxa"/>
        <w:tblCellMar>
          <w:top w:w="0" w:type="dxa"/>
          <w:left w:w="0" w:type="dxa"/>
          <w:bottom w:w="0" w:type="dxa"/>
          <w:right w:w="0" w:type="dxa"/>
        </w:tblCellMar>
      </w:tblPr>
      <w:tr>
        <w:trPr>
          <w:trHeight w:val="190"/>
        </w:trPr>
        <w:tc>
          <w:tcPr>
            <w:tcW w:w="19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Number of performance</w:t>
            </w:r>
          </w:p>
        </w:tc>
        <w:tc>
          <w:tcPr>
            <w:tcW w:w="340" w:type="dxa"/>
            <w:vAlign w:val="bottom"/>
            <w:tcBorders>
              <w:right w:val="single" w:sz="8" w:color="auto"/>
            </w:tcBorders>
          </w:tcPr>
          <w:p>
            <w:pPr>
              <w:spacing w:after="0"/>
              <w:rPr>
                <w:sz w:val="16"/>
                <w:szCs w:val="16"/>
                <w:color w:val="auto"/>
              </w:rPr>
            </w:pPr>
          </w:p>
        </w:tc>
        <w:tc>
          <w:tcPr>
            <w:tcW w:w="1900" w:type="dxa"/>
            <w:vAlign w:val="bottom"/>
            <w:tcBorders>
              <w:top w:val="single" w:sz="8" w:color="auto"/>
              <w:right w:val="single" w:sz="8" w:color="auto"/>
            </w:tcBorders>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38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rPr>
              <w:t>20-day trailing average price of Chevron common</w:t>
            </w:r>
          </w:p>
        </w:tc>
        <w:tc>
          <w:tcPr>
            <w:tcW w:w="320" w:type="dxa"/>
            <w:vAlign w:val="bottom"/>
            <w:tcBorders>
              <w:right w:val="single" w:sz="8" w:color="auto"/>
            </w:tcBorders>
          </w:tcPr>
          <w:p>
            <w:pPr>
              <w:spacing w:after="0"/>
              <w:rPr>
                <w:sz w:val="16"/>
                <w:szCs w:val="16"/>
                <w:color w:val="auto"/>
              </w:rPr>
            </w:pPr>
          </w:p>
        </w:tc>
        <w:tc>
          <w:tcPr>
            <w:tcW w:w="192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rPr>
              <w:t>shares granted +</w:t>
            </w:r>
          </w:p>
        </w:tc>
        <w:tc>
          <w:tcPr>
            <w:tcW w:w="3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3"/>
                <w:szCs w:val="13"/>
                <w:color w:val="auto"/>
              </w:rPr>
              <w:t>x</w:t>
            </w:r>
          </w:p>
        </w:tc>
        <w:tc>
          <w:tcPr>
            <w:tcW w:w="1900" w:type="dxa"/>
            <w:vAlign w:val="bottom"/>
            <w:tcBorders>
              <w:right w:val="single" w:sz="8" w:color="auto"/>
            </w:tcBorders>
            <w:vMerge w:val="restart"/>
          </w:tcPr>
          <w:p>
            <w:pPr>
              <w:ind w:left="280"/>
              <w:spacing w:after="0"/>
              <w:rPr>
                <w:sz w:val="20"/>
                <w:szCs w:val="20"/>
                <w:color w:val="auto"/>
              </w:rPr>
            </w:pPr>
            <w:r>
              <w:rPr>
                <w:rFonts w:ascii="Arial" w:cs="Arial" w:eastAsia="Arial" w:hAnsi="Arial"/>
                <w:sz w:val="13"/>
                <w:szCs w:val="13"/>
                <w:color w:val="auto"/>
              </w:rPr>
              <w:t>Performance modifier</w:t>
            </w:r>
          </w:p>
        </w:tc>
        <w:tc>
          <w:tcPr>
            <w:tcW w:w="3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3"/>
                <w:szCs w:val="13"/>
                <w:color w:val="auto"/>
              </w:rPr>
              <w:t>x</w:t>
            </w:r>
          </w:p>
        </w:tc>
        <w:tc>
          <w:tcPr>
            <w:tcW w:w="3880" w:type="dxa"/>
            <w:vAlign w:val="bottom"/>
            <w:tcBorders>
              <w:right w:val="single" w:sz="8" w:color="auto"/>
            </w:tcBorders>
            <w:vMerge w:val="continue"/>
          </w:tcPr>
          <w:p>
            <w:pPr>
              <w:spacing w:after="0"/>
              <w:rPr>
                <w:sz w:val="5"/>
                <w:szCs w:val="5"/>
                <w:color w:val="auto"/>
              </w:rPr>
            </w:pPr>
          </w:p>
        </w:tc>
        <w:tc>
          <w:tcPr>
            <w:tcW w:w="32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w:t>
            </w:r>
          </w:p>
        </w:tc>
        <w:tc>
          <w:tcPr>
            <w:tcW w:w="19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3"/>
                <w:szCs w:val="13"/>
                <w:color w:val="auto"/>
              </w:rPr>
              <w:t>Cash value/payout</w:t>
            </w:r>
          </w:p>
        </w:tc>
        <w:tc>
          <w:tcPr>
            <w:tcW w:w="0" w:type="dxa"/>
            <w:vAlign w:val="bottom"/>
          </w:tcPr>
          <w:p>
            <w:pPr>
              <w:spacing w:after="0"/>
              <w:rPr>
                <w:sz w:val="1"/>
                <w:szCs w:val="1"/>
                <w:color w:val="auto"/>
              </w:rPr>
            </w:pPr>
          </w:p>
        </w:tc>
      </w:tr>
      <w:tr>
        <w:trPr>
          <w:trHeight w:val="81"/>
        </w:trPr>
        <w:tc>
          <w:tcPr>
            <w:tcW w:w="1920" w:type="dxa"/>
            <w:vAlign w:val="bottom"/>
            <w:tcBorders>
              <w:left w:val="single" w:sz="8" w:color="auto"/>
              <w:right w:val="single" w:sz="8" w:color="auto"/>
            </w:tcBorders>
            <w:vMerge w:val="continue"/>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1900" w:type="dxa"/>
            <w:vAlign w:val="bottom"/>
            <w:tcBorders>
              <w:right w:val="single" w:sz="8" w:color="auto"/>
            </w:tcBorders>
            <w:vMerge w:val="continue"/>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stock at the end of the performance period</w:t>
            </w:r>
          </w:p>
        </w:tc>
        <w:tc>
          <w:tcPr>
            <w:tcW w:w="32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rPr>
              <w:t>dividend equivalents</w:t>
            </w:r>
          </w:p>
        </w:tc>
        <w:tc>
          <w:tcPr>
            <w:tcW w:w="34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3880" w:type="dxa"/>
            <w:vAlign w:val="bottom"/>
            <w:tcBorders>
              <w:right w:val="single" w:sz="8" w:color="auto"/>
            </w:tcBorders>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92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3880" w:type="dxa"/>
            <w:vAlign w:val="bottom"/>
            <w:tcBorders>
              <w:bottom w:val="single" w:sz="8" w:color="auto"/>
              <w:right w:val="single" w:sz="8" w:color="auto"/>
            </w:tcBorders>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19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For performance shares granted starting in 2021</w:t>
      </w:r>
      <w:r>
        <w:rPr>
          <w:rFonts w:ascii="Arial" w:cs="Arial" w:eastAsia="Arial" w:hAnsi="Arial"/>
          <w:sz w:val="14"/>
          <w:szCs w:val="14"/>
          <w:color w:val="auto"/>
        </w:rPr>
        <w:t>, we calculate the cash value of performance share payouts as follows:</w:t>
      </w:r>
    </w:p>
    <w:p>
      <w:pPr>
        <w:spacing w:after="0" w:line="55" w:lineRule="exact"/>
        <w:rPr>
          <w:sz w:val="20"/>
          <w:szCs w:val="20"/>
          <w:color w:val="auto"/>
        </w:rPr>
      </w:pPr>
    </w:p>
    <w:p>
      <w:pPr>
        <w:jc w:val="both"/>
        <w:ind w:left="560" w:right="20"/>
        <w:spacing w:after="0" w:line="285" w:lineRule="auto"/>
        <w:rPr>
          <w:sz w:val="20"/>
          <w:szCs w:val="20"/>
          <w:color w:val="auto"/>
        </w:rPr>
      </w:pPr>
      <w:r>
        <w:rPr>
          <w:rFonts w:ascii="Arial" w:cs="Arial" w:eastAsia="Arial" w:hAnsi="Arial"/>
          <w:sz w:val="14"/>
          <w:szCs w:val="14"/>
          <w:b w:val="1"/>
          <w:bCs w:val="1"/>
          <w:color w:val="auto"/>
        </w:rPr>
        <w:t>First</w:t>
      </w:r>
      <w:r>
        <w:rPr>
          <w:rFonts w:ascii="Arial" w:cs="Arial" w:eastAsia="Arial" w:hAnsi="Arial"/>
          <w:sz w:val="14"/>
          <w:szCs w:val="14"/>
          <w:color w:val="auto"/>
        </w:rPr>
        <w:t>, we calculate our TSR and the TSR of our LTIP Performance Share Peer Group (BP, ExxonMobil, Shell, TotalEnergies and S&amp;P 500 Total Return Index)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three-year performance period. We calculate TSR for the three-year performance period as follows:</w:t>
      </w:r>
    </w:p>
    <w:p>
      <w:pPr>
        <w:spacing w:after="0" w:line="18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3"/>
                <w:szCs w:val="13"/>
                <w:color w:val="auto"/>
              </w:rPr>
              <w:t>TSR =</w:t>
            </w:r>
          </w:p>
        </w:tc>
        <w:tc>
          <w:tcPr>
            <w:tcW w:w="1016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color w:val="auto"/>
              </w:rPr>
              <w:t>(20-day average ending share price (–) 20-day average beginning share price (+) reinvested dividend value)</w:t>
            </w:r>
          </w:p>
        </w:tc>
        <w:tc>
          <w:tcPr>
            <w:tcW w:w="0" w:type="dxa"/>
            <w:vAlign w:val="bottom"/>
          </w:tcPr>
          <w:p>
            <w:pPr>
              <w:spacing w:after="0"/>
              <w:rPr>
                <w:sz w:val="1"/>
                <w:szCs w:val="1"/>
                <w:color w:val="auto"/>
              </w:rPr>
            </w:pPr>
          </w:p>
        </w:tc>
      </w:tr>
      <w:tr>
        <w:trPr>
          <w:trHeight w:val="76"/>
        </w:trPr>
        <w:tc>
          <w:tcPr>
            <w:tcW w:w="420" w:type="dxa"/>
            <w:vAlign w:val="bottom"/>
            <w:vMerge w:val="continue"/>
          </w:tcPr>
          <w:p>
            <w:pPr>
              <w:spacing w:after="0"/>
              <w:rPr>
                <w:sz w:val="6"/>
                <w:szCs w:val="6"/>
                <w:color w:val="auto"/>
              </w:rPr>
            </w:pPr>
          </w:p>
        </w:tc>
        <w:tc>
          <w:tcPr>
            <w:tcW w:w="10160" w:type="dxa"/>
            <w:vAlign w:val="bottom"/>
            <w:vMerge w:val="restart"/>
          </w:tcPr>
          <w:p>
            <w:pPr>
              <w:jc w:val="center"/>
              <w:ind w:left="33"/>
              <w:spacing w:after="0"/>
              <w:rPr>
                <w:sz w:val="20"/>
                <w:szCs w:val="20"/>
                <w:color w:val="auto"/>
              </w:rPr>
            </w:pPr>
            <w:r>
              <w:rPr>
                <w:rFonts w:ascii="Arial" w:cs="Arial" w:eastAsia="Arial" w:hAnsi="Arial"/>
                <w:sz w:val="13"/>
                <w:szCs w:val="13"/>
                <w:color w:val="auto"/>
              </w:rPr>
              <w:t>20-day average beginning share price</w:t>
            </w:r>
          </w:p>
        </w:tc>
        <w:tc>
          <w:tcPr>
            <w:tcW w:w="0" w:type="dxa"/>
            <w:vAlign w:val="bottom"/>
          </w:tcPr>
          <w:p>
            <w:pPr>
              <w:spacing w:after="0"/>
              <w:rPr>
                <w:sz w:val="1"/>
                <w:szCs w:val="1"/>
                <w:color w:val="auto"/>
              </w:rPr>
            </w:pPr>
          </w:p>
        </w:tc>
      </w:tr>
      <w:tr>
        <w:trPr>
          <w:trHeight w:val="94"/>
        </w:trPr>
        <w:tc>
          <w:tcPr>
            <w:tcW w:w="420" w:type="dxa"/>
            <w:vAlign w:val="bottom"/>
          </w:tcPr>
          <w:p>
            <w:pPr>
              <w:spacing w:after="0"/>
              <w:rPr>
                <w:sz w:val="8"/>
                <w:szCs w:val="8"/>
                <w:color w:val="auto"/>
              </w:rPr>
            </w:pPr>
          </w:p>
        </w:tc>
        <w:tc>
          <w:tcPr>
            <w:tcW w:w="10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jc w:val="both"/>
        <w:ind w:left="560" w:right="20"/>
        <w:spacing w:after="0" w:line="281" w:lineRule="auto"/>
        <w:rPr>
          <w:sz w:val="20"/>
          <w:szCs w:val="20"/>
          <w:color w:val="auto"/>
        </w:rPr>
      </w:pPr>
      <w:r>
        <w:rPr>
          <w:rFonts w:ascii="Arial" w:cs="Arial" w:eastAsia="Arial" w:hAnsi="Arial"/>
          <w:sz w:val="14"/>
          <w:szCs w:val="14"/>
          <w:color w:val="auto"/>
        </w:rPr>
        <w:t>“Ending” refers to the last 20 trading days of the performance period. “Beginning” refers to the last 20 trading days prior to the start of the performance period. In each instance, we use closing prices to calculate the 20-day average.</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results are expressed as an annualized average compound rate of return.</w:t>
      </w:r>
    </w:p>
    <w:p>
      <w:pPr>
        <w:spacing w:after="0" w:line="217" w:lineRule="exact"/>
        <w:rPr>
          <w:sz w:val="20"/>
          <w:szCs w:val="20"/>
          <w:color w:val="auto"/>
        </w:rPr>
      </w:pPr>
    </w:p>
    <w:p>
      <w:pPr>
        <w:jc w:val="both"/>
        <w:ind w:left="560" w:right="20"/>
        <w:spacing w:after="0" w:line="256" w:lineRule="auto"/>
        <w:rPr>
          <w:sz w:val="20"/>
          <w:szCs w:val="20"/>
          <w:color w:val="auto"/>
        </w:rPr>
      </w:pPr>
      <w:r>
        <w:rPr>
          <w:rFonts w:ascii="Arial" w:cs="Arial" w:eastAsia="Arial" w:hAnsi="Arial"/>
          <w:sz w:val="14"/>
          <w:szCs w:val="14"/>
          <w:b w:val="1"/>
          <w:bCs w:val="1"/>
          <w:color w:val="auto"/>
        </w:rPr>
        <w:t>Second</w:t>
      </w:r>
      <w:r>
        <w:rPr>
          <w:rFonts w:ascii="Arial" w:cs="Arial" w:eastAsia="Arial" w:hAnsi="Arial"/>
          <w:sz w:val="14"/>
          <w:szCs w:val="14"/>
          <w:color w:val="auto"/>
        </w:rPr>
        <w:t>, we calculate our Return on Average Capital Employed Improvement (ROCE-I) and the ROCE-I of our LTIP Performance Share Peer Group (BP, ExxonMobil,</w:t>
      </w:r>
      <w:r>
        <w:rPr>
          <w:rFonts w:ascii="Arial" w:cs="Arial" w:eastAsia="Arial" w:hAnsi="Arial"/>
          <w:sz w:val="14"/>
          <w:szCs w:val="14"/>
          <w:b w:val="1"/>
          <w:bCs w:val="1"/>
          <w:color w:val="auto"/>
        </w:rPr>
        <w:t xml:space="preserve"> </w:t>
      </w:r>
      <w:r>
        <w:rPr>
          <w:rFonts w:ascii="Arial" w:cs="Arial" w:eastAsia="Arial" w:hAnsi="Arial"/>
          <w:sz w:val="14"/>
          <w:szCs w:val="14"/>
          <w:color w:val="auto"/>
        </w:rPr>
        <w:t>Shell and TotalEnergies) for the three-year performance period. ROCE-I is the percentage point difference between the trailing 12-month ROCE as of the quarter preceding to the end of the three-year performance period, and the trailing 12-month ROCE as of the quarter preceding the start of the three-year performance period. We calculate ROCE as follows:</w:t>
      </w:r>
    </w:p>
    <w:p>
      <w:pPr>
        <w:spacing w:after="0" w:line="20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20" w:type="dxa"/>
            <w:vAlign w:val="bottom"/>
            <w:vMerge w:val="restart"/>
          </w:tcPr>
          <w:p>
            <w:pPr>
              <w:spacing w:after="0"/>
              <w:rPr>
                <w:sz w:val="20"/>
                <w:szCs w:val="20"/>
                <w:color w:val="auto"/>
              </w:rPr>
            </w:pPr>
            <w:r>
              <w:rPr>
                <w:rFonts w:ascii="Arial" w:cs="Arial" w:eastAsia="Arial" w:hAnsi="Arial"/>
                <w:sz w:val="13"/>
                <w:szCs w:val="13"/>
                <w:color w:val="auto"/>
              </w:rPr>
              <w:t>ROCE =</w:t>
            </w:r>
          </w:p>
        </w:tc>
        <w:tc>
          <w:tcPr>
            <w:tcW w:w="996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color w:val="auto"/>
              </w:rPr>
              <w:t>(net income excluding special items (+) after tax interest expense (+) noncontrolling interests income)</w:t>
            </w:r>
          </w:p>
        </w:tc>
        <w:tc>
          <w:tcPr>
            <w:tcW w:w="0" w:type="dxa"/>
            <w:vAlign w:val="bottom"/>
          </w:tcPr>
          <w:p>
            <w:pPr>
              <w:spacing w:after="0"/>
              <w:rPr>
                <w:sz w:val="1"/>
                <w:szCs w:val="1"/>
                <w:color w:val="auto"/>
              </w:rPr>
            </w:pPr>
          </w:p>
        </w:tc>
      </w:tr>
      <w:tr>
        <w:trPr>
          <w:trHeight w:val="76"/>
        </w:trPr>
        <w:tc>
          <w:tcPr>
            <w:tcW w:w="620" w:type="dxa"/>
            <w:vAlign w:val="bottom"/>
            <w:vMerge w:val="continue"/>
          </w:tcPr>
          <w:p>
            <w:pPr>
              <w:spacing w:after="0"/>
              <w:rPr>
                <w:sz w:val="6"/>
                <w:szCs w:val="6"/>
                <w:color w:val="auto"/>
              </w:rPr>
            </w:pPr>
          </w:p>
        </w:tc>
        <w:tc>
          <w:tcPr>
            <w:tcW w:w="9960" w:type="dxa"/>
            <w:vAlign w:val="bottom"/>
            <w:vMerge w:val="restart"/>
          </w:tcPr>
          <w:p>
            <w:pPr>
              <w:jc w:val="center"/>
              <w:ind w:left="33"/>
              <w:spacing w:after="0"/>
              <w:rPr>
                <w:sz w:val="20"/>
                <w:szCs w:val="20"/>
                <w:color w:val="auto"/>
              </w:rPr>
            </w:pPr>
            <w:r>
              <w:rPr>
                <w:rFonts w:ascii="Arial" w:cs="Arial" w:eastAsia="Arial" w:hAnsi="Arial"/>
                <w:sz w:val="13"/>
                <w:szCs w:val="13"/>
                <w:color w:val="auto"/>
              </w:rPr>
              <w:t>average capital employed</w:t>
            </w:r>
          </w:p>
        </w:tc>
        <w:tc>
          <w:tcPr>
            <w:tcW w:w="0" w:type="dxa"/>
            <w:vAlign w:val="bottom"/>
          </w:tcPr>
          <w:p>
            <w:pPr>
              <w:spacing w:after="0"/>
              <w:rPr>
                <w:sz w:val="1"/>
                <w:szCs w:val="1"/>
                <w:color w:val="auto"/>
              </w:rPr>
            </w:pPr>
          </w:p>
        </w:tc>
      </w:tr>
      <w:tr>
        <w:trPr>
          <w:trHeight w:val="94"/>
        </w:trPr>
        <w:tc>
          <w:tcPr>
            <w:tcW w:w="620" w:type="dxa"/>
            <w:vAlign w:val="bottom"/>
          </w:tcPr>
          <w:p>
            <w:pPr>
              <w:spacing w:after="0"/>
              <w:rPr>
                <w:sz w:val="8"/>
                <w:szCs w:val="8"/>
                <w:color w:val="auto"/>
              </w:rPr>
            </w:pPr>
          </w:p>
        </w:tc>
        <w:tc>
          <w:tcPr>
            <w:tcW w:w="9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jc w:val="both"/>
        <w:ind w:left="560" w:right="20"/>
        <w:spacing w:after="0" w:line="258" w:lineRule="auto"/>
        <w:rPr>
          <w:sz w:val="20"/>
          <w:szCs w:val="20"/>
          <w:color w:val="auto"/>
        </w:rPr>
      </w:pPr>
      <w:r>
        <w:rPr>
          <w:rFonts w:ascii="Arial" w:cs="Arial" w:eastAsia="Arial" w:hAnsi="Arial"/>
          <w:sz w:val="14"/>
          <w:szCs w:val="14"/>
          <w:color w:val="auto"/>
        </w:rPr>
        <w:t>Net Income (excluding special items) is the net income adjusted for significant, externally disclosed non-operating items. Capital Employed is the sum of stockholders’ equity, total debt, and noncontrolling interests equity. Average Capital Employed is computed by averaging the sum of Capital Employed at the beginning of and end of the 12-month net income period. The final ROCE calculation may include reasonable estimates and will be determined and certified by the MCC in its sole discretion.</w:t>
      </w:r>
    </w:p>
    <w:p>
      <w:pPr>
        <w:spacing w:after="0" w:line="183" w:lineRule="exact"/>
        <w:rPr>
          <w:sz w:val="20"/>
          <w:szCs w:val="20"/>
          <w:color w:val="auto"/>
        </w:rPr>
      </w:pPr>
    </w:p>
    <w:p>
      <w:pPr>
        <w:jc w:val="both"/>
        <w:ind w:left="560" w:right="20"/>
        <w:spacing w:after="0" w:line="285" w:lineRule="auto"/>
        <w:rPr>
          <w:sz w:val="20"/>
          <w:szCs w:val="20"/>
          <w:color w:val="auto"/>
        </w:rPr>
      </w:pPr>
      <w:r>
        <w:rPr>
          <w:rFonts w:ascii="Arial" w:cs="Arial" w:eastAsia="Arial" w:hAnsi="Arial"/>
          <w:sz w:val="14"/>
          <w:szCs w:val="14"/>
          <w:b w:val="1"/>
          <w:bCs w:val="1"/>
          <w:color w:val="auto"/>
        </w:rPr>
        <w:t>Third</w:t>
      </w:r>
      <w:r>
        <w:rPr>
          <w:rFonts w:ascii="Arial" w:cs="Arial" w:eastAsia="Arial" w:hAnsi="Arial"/>
          <w:sz w:val="14"/>
          <w:szCs w:val="14"/>
          <w:color w:val="auto"/>
        </w:rPr>
        <w:t>, we rank our TSR and ROCE-I against the TSR and ROCE-I of our LTIP Performance Share Peer Group to determine the performance modifier applicable to</w:t>
      </w:r>
      <w:r>
        <w:rPr>
          <w:rFonts w:ascii="Arial" w:cs="Arial" w:eastAsia="Arial" w:hAnsi="Arial"/>
          <w:sz w:val="14"/>
          <w:szCs w:val="14"/>
          <w:b w:val="1"/>
          <w:bCs w:val="1"/>
          <w:color w:val="auto"/>
        </w:rPr>
        <w:t xml:space="preserve"> </w:t>
      </w:r>
      <w:r>
        <w:rPr>
          <w:rFonts w:ascii="Arial" w:cs="Arial" w:eastAsia="Arial" w:hAnsi="Arial"/>
          <w:sz w:val="14"/>
          <w:szCs w:val="14"/>
          <w:color w:val="auto"/>
        </w:rPr>
        <w:t>the awards. Our rank then determines what the performance modifier will be, as follows:</w:t>
      </w:r>
    </w:p>
    <w:p>
      <w:pPr>
        <w:spacing w:after="0" w:line="174" w:lineRule="exact"/>
        <w:rPr>
          <w:sz w:val="20"/>
          <w:szCs w:val="20"/>
          <w:color w:val="auto"/>
        </w:rPr>
      </w:pPr>
    </w:p>
    <w:tbl>
      <w:tblPr>
        <w:tblLayout w:type="fixed"/>
        <w:tblInd w:w="560" w:type="dxa"/>
        <w:tblCellMar>
          <w:top w:w="0" w:type="dxa"/>
          <w:left w:w="0" w:type="dxa"/>
          <w:bottom w:w="0" w:type="dxa"/>
          <w:right w:w="0" w:type="dxa"/>
        </w:tblCellMar>
      </w:tblPr>
      <w:tr>
        <w:trPr>
          <w:trHeight w:val="264"/>
        </w:trPr>
        <w:tc>
          <w:tcPr>
            <w:tcW w:w="4480" w:type="dxa"/>
            <w:vAlign w:val="bottom"/>
            <w:tcBorders>
              <w:top w:val="single" w:sz="8" w:color="7F7F7F"/>
              <w:bottom w:val="single" w:sz="8" w:color="D8D8D8"/>
            </w:tcBorders>
            <w:shd w:val="clear" w:color="auto" w:fill="D8D8D8"/>
          </w:tcPr>
          <w:p>
            <w:pPr>
              <w:ind w:left="80"/>
              <w:spacing w:after="0"/>
              <w:rPr>
                <w:sz w:val="20"/>
                <w:szCs w:val="20"/>
                <w:color w:val="auto"/>
              </w:rPr>
            </w:pPr>
            <w:r>
              <w:rPr>
                <w:rFonts w:ascii="Arial" w:cs="Arial" w:eastAsia="Arial" w:hAnsi="Arial"/>
                <w:sz w:val="13"/>
                <w:szCs w:val="13"/>
                <w:b w:val="1"/>
                <w:bCs w:val="1"/>
                <w:color w:val="auto"/>
              </w:rPr>
              <w:t>Our rank</w:t>
            </w:r>
          </w:p>
        </w:tc>
        <w:tc>
          <w:tcPr>
            <w:tcW w:w="1560" w:type="dxa"/>
            <w:vAlign w:val="bottom"/>
            <w:tcBorders>
              <w:top w:val="single" w:sz="8" w:color="7F7F7F"/>
              <w:bottom w:val="single" w:sz="8" w:color="D8D8D8"/>
            </w:tcBorders>
            <w:shd w:val="clear" w:color="auto" w:fill="D8D8D8"/>
          </w:tcPr>
          <w:p>
            <w:pPr>
              <w:jc w:val="right"/>
              <w:ind w:right="333"/>
              <w:spacing w:after="0"/>
              <w:rPr>
                <w:sz w:val="20"/>
                <w:szCs w:val="20"/>
                <w:color w:val="auto"/>
              </w:rPr>
            </w:pPr>
            <w:r>
              <w:rPr>
                <w:rFonts w:ascii="Arial" w:cs="Arial" w:eastAsia="Arial" w:hAnsi="Arial"/>
                <w:sz w:val="13"/>
                <w:szCs w:val="13"/>
                <w:b w:val="1"/>
                <w:bCs w:val="1"/>
                <w:color w:val="auto"/>
              </w:rPr>
              <w:t>1st</w:t>
            </w:r>
          </w:p>
        </w:tc>
        <w:tc>
          <w:tcPr>
            <w:tcW w:w="920" w:type="dxa"/>
            <w:vAlign w:val="bottom"/>
            <w:tcBorders>
              <w:top w:val="single" w:sz="8" w:color="7F7F7F"/>
              <w:bottom w:val="single" w:sz="8" w:color="D8D8D8"/>
            </w:tcBorders>
            <w:shd w:val="clear" w:color="auto" w:fill="D8D8D8"/>
          </w:tcPr>
          <w:p>
            <w:pPr>
              <w:jc w:val="right"/>
              <w:ind w:right="333"/>
              <w:spacing w:after="0"/>
              <w:rPr>
                <w:sz w:val="20"/>
                <w:szCs w:val="20"/>
                <w:color w:val="auto"/>
              </w:rPr>
            </w:pPr>
            <w:r>
              <w:rPr>
                <w:rFonts w:ascii="Arial" w:cs="Arial" w:eastAsia="Arial" w:hAnsi="Arial"/>
                <w:sz w:val="13"/>
                <w:szCs w:val="13"/>
                <w:b w:val="1"/>
                <w:bCs w:val="1"/>
                <w:color w:val="auto"/>
              </w:rPr>
              <w:t>2nd</w:t>
            </w:r>
          </w:p>
        </w:tc>
        <w:tc>
          <w:tcPr>
            <w:tcW w:w="900" w:type="dxa"/>
            <w:vAlign w:val="bottom"/>
            <w:tcBorders>
              <w:top w:val="single" w:sz="8" w:color="7F7F7F"/>
              <w:bottom w:val="single" w:sz="8" w:color="D8D8D8"/>
            </w:tcBorders>
            <w:shd w:val="clear" w:color="auto" w:fill="D8D8D8"/>
          </w:tcPr>
          <w:p>
            <w:pPr>
              <w:jc w:val="right"/>
              <w:ind w:right="333"/>
              <w:spacing w:after="0"/>
              <w:rPr>
                <w:sz w:val="20"/>
                <w:szCs w:val="20"/>
                <w:color w:val="auto"/>
              </w:rPr>
            </w:pPr>
            <w:r>
              <w:rPr>
                <w:rFonts w:ascii="Arial" w:cs="Arial" w:eastAsia="Arial" w:hAnsi="Arial"/>
                <w:sz w:val="13"/>
                <w:szCs w:val="13"/>
                <w:b w:val="1"/>
                <w:bCs w:val="1"/>
                <w:color w:val="auto"/>
              </w:rPr>
              <w:t>3rd</w:t>
            </w:r>
          </w:p>
        </w:tc>
        <w:tc>
          <w:tcPr>
            <w:tcW w:w="900" w:type="dxa"/>
            <w:vAlign w:val="bottom"/>
            <w:tcBorders>
              <w:top w:val="single" w:sz="8" w:color="7F7F7F"/>
              <w:bottom w:val="single" w:sz="8" w:color="D8D8D8"/>
            </w:tcBorders>
            <w:shd w:val="clear" w:color="auto" w:fill="D8D8D8"/>
          </w:tcPr>
          <w:p>
            <w:pPr>
              <w:jc w:val="right"/>
              <w:ind w:right="333"/>
              <w:spacing w:after="0"/>
              <w:rPr>
                <w:sz w:val="20"/>
                <w:szCs w:val="20"/>
                <w:color w:val="auto"/>
              </w:rPr>
            </w:pPr>
            <w:r>
              <w:rPr>
                <w:rFonts w:ascii="Arial" w:cs="Arial" w:eastAsia="Arial" w:hAnsi="Arial"/>
                <w:sz w:val="13"/>
                <w:szCs w:val="13"/>
                <w:b w:val="1"/>
                <w:bCs w:val="1"/>
                <w:color w:val="auto"/>
              </w:rPr>
              <w:t>4th</w:t>
            </w:r>
          </w:p>
        </w:tc>
        <w:tc>
          <w:tcPr>
            <w:tcW w:w="900" w:type="dxa"/>
            <w:vAlign w:val="bottom"/>
            <w:tcBorders>
              <w:top w:val="single" w:sz="8" w:color="7F7F7F"/>
              <w:bottom w:val="single" w:sz="8" w:color="D8D8D8"/>
            </w:tcBorders>
            <w:shd w:val="clear" w:color="auto" w:fill="D8D8D8"/>
          </w:tcPr>
          <w:p>
            <w:pPr>
              <w:jc w:val="right"/>
              <w:ind w:right="333"/>
              <w:spacing w:after="0"/>
              <w:rPr>
                <w:sz w:val="20"/>
                <w:szCs w:val="20"/>
                <w:color w:val="auto"/>
              </w:rPr>
            </w:pPr>
            <w:r>
              <w:rPr>
                <w:rFonts w:ascii="Arial" w:cs="Arial" w:eastAsia="Arial" w:hAnsi="Arial"/>
                <w:sz w:val="13"/>
                <w:szCs w:val="13"/>
                <w:b w:val="1"/>
                <w:bCs w:val="1"/>
                <w:color w:val="auto"/>
              </w:rPr>
              <w:t>5th</w:t>
            </w:r>
          </w:p>
        </w:tc>
        <w:tc>
          <w:tcPr>
            <w:tcW w:w="920" w:type="dxa"/>
            <w:vAlign w:val="bottom"/>
            <w:tcBorders>
              <w:top w:val="single" w:sz="8" w:color="7F7F7F"/>
              <w:bottom w:val="single" w:sz="8" w:color="D8D8D8"/>
            </w:tcBorders>
            <w:shd w:val="clear" w:color="auto" w:fill="D8D8D8"/>
          </w:tcPr>
          <w:p>
            <w:pPr>
              <w:jc w:val="right"/>
              <w:ind w:right="353"/>
              <w:spacing w:after="0"/>
              <w:rPr>
                <w:sz w:val="20"/>
                <w:szCs w:val="20"/>
                <w:color w:val="auto"/>
              </w:rPr>
            </w:pPr>
            <w:r>
              <w:rPr>
                <w:rFonts w:ascii="Arial" w:cs="Arial" w:eastAsia="Arial" w:hAnsi="Arial"/>
                <w:sz w:val="13"/>
                <w:szCs w:val="13"/>
                <w:b w:val="1"/>
                <w:bCs w:val="1"/>
                <w:color w:val="auto"/>
              </w:rPr>
              <w:t>6th</w:t>
            </w:r>
          </w:p>
        </w:tc>
      </w:tr>
      <w:tr>
        <w:trPr>
          <w:trHeight w:val="218"/>
        </w:trPr>
        <w:tc>
          <w:tcPr>
            <w:tcW w:w="4480" w:type="dxa"/>
            <w:vAlign w:val="bottom"/>
          </w:tcPr>
          <w:p>
            <w:pPr>
              <w:ind w:left="80"/>
              <w:spacing w:after="0"/>
              <w:rPr>
                <w:sz w:val="20"/>
                <w:szCs w:val="20"/>
                <w:color w:val="auto"/>
              </w:rPr>
            </w:pPr>
            <w:r>
              <w:rPr>
                <w:rFonts w:ascii="Arial" w:cs="Arial" w:eastAsia="Arial" w:hAnsi="Arial"/>
                <w:sz w:val="13"/>
                <w:szCs w:val="13"/>
                <w:color w:val="auto"/>
              </w:rPr>
              <w:t>TSR Modifier (70% weight, ranking includes S&amp;P 500)</w:t>
            </w:r>
          </w:p>
        </w:tc>
        <w:tc>
          <w:tcPr>
            <w:tcW w:w="1560" w:type="dxa"/>
            <w:vAlign w:val="bottom"/>
          </w:tcPr>
          <w:p>
            <w:pPr>
              <w:jc w:val="right"/>
              <w:ind w:right="213"/>
              <w:spacing w:after="0"/>
              <w:rPr>
                <w:sz w:val="20"/>
                <w:szCs w:val="20"/>
                <w:color w:val="auto"/>
              </w:rPr>
            </w:pPr>
            <w:r>
              <w:rPr>
                <w:rFonts w:ascii="Arial" w:cs="Arial" w:eastAsia="Arial" w:hAnsi="Arial"/>
                <w:sz w:val="13"/>
                <w:szCs w:val="13"/>
                <w:color w:val="auto"/>
              </w:rPr>
              <w:t>200%</w:t>
            </w:r>
          </w:p>
        </w:tc>
        <w:tc>
          <w:tcPr>
            <w:tcW w:w="920" w:type="dxa"/>
            <w:vAlign w:val="bottom"/>
          </w:tcPr>
          <w:p>
            <w:pPr>
              <w:jc w:val="right"/>
              <w:ind w:right="213"/>
              <w:spacing w:after="0"/>
              <w:rPr>
                <w:sz w:val="20"/>
                <w:szCs w:val="20"/>
                <w:color w:val="auto"/>
              </w:rPr>
            </w:pPr>
            <w:r>
              <w:rPr>
                <w:rFonts w:ascii="Arial" w:cs="Arial" w:eastAsia="Arial" w:hAnsi="Arial"/>
                <w:sz w:val="13"/>
                <w:szCs w:val="13"/>
                <w:color w:val="auto"/>
              </w:rPr>
              <w:t>160%</w:t>
            </w:r>
          </w:p>
        </w:tc>
        <w:tc>
          <w:tcPr>
            <w:tcW w:w="900" w:type="dxa"/>
            <w:vAlign w:val="bottom"/>
          </w:tcPr>
          <w:p>
            <w:pPr>
              <w:jc w:val="right"/>
              <w:ind w:right="213"/>
              <w:spacing w:after="0"/>
              <w:rPr>
                <w:sz w:val="20"/>
                <w:szCs w:val="20"/>
                <w:color w:val="auto"/>
              </w:rPr>
            </w:pPr>
            <w:r>
              <w:rPr>
                <w:rFonts w:ascii="Arial" w:cs="Arial" w:eastAsia="Arial" w:hAnsi="Arial"/>
                <w:sz w:val="13"/>
                <w:szCs w:val="13"/>
                <w:color w:val="auto"/>
              </w:rPr>
              <w:t>120%</w:t>
            </w:r>
          </w:p>
        </w:tc>
        <w:tc>
          <w:tcPr>
            <w:tcW w:w="900" w:type="dxa"/>
            <w:vAlign w:val="bottom"/>
          </w:tcPr>
          <w:p>
            <w:pPr>
              <w:jc w:val="right"/>
              <w:ind w:right="213"/>
              <w:spacing w:after="0"/>
              <w:rPr>
                <w:sz w:val="20"/>
                <w:szCs w:val="20"/>
                <w:color w:val="auto"/>
              </w:rPr>
            </w:pPr>
            <w:r>
              <w:rPr>
                <w:rFonts w:ascii="Arial" w:cs="Arial" w:eastAsia="Arial" w:hAnsi="Arial"/>
                <w:sz w:val="13"/>
                <w:szCs w:val="13"/>
                <w:color w:val="auto"/>
              </w:rPr>
              <w:t>80%</w:t>
            </w:r>
          </w:p>
        </w:tc>
        <w:tc>
          <w:tcPr>
            <w:tcW w:w="900" w:type="dxa"/>
            <w:vAlign w:val="bottom"/>
          </w:tcPr>
          <w:p>
            <w:pPr>
              <w:jc w:val="right"/>
              <w:ind w:right="213"/>
              <w:spacing w:after="0"/>
              <w:rPr>
                <w:sz w:val="20"/>
                <w:szCs w:val="20"/>
                <w:color w:val="auto"/>
              </w:rPr>
            </w:pPr>
            <w:r>
              <w:rPr>
                <w:rFonts w:ascii="Arial" w:cs="Arial" w:eastAsia="Arial" w:hAnsi="Arial"/>
                <w:sz w:val="13"/>
                <w:szCs w:val="13"/>
                <w:color w:val="auto"/>
              </w:rPr>
              <w:t>40%</w:t>
            </w:r>
          </w:p>
        </w:tc>
        <w:tc>
          <w:tcPr>
            <w:tcW w:w="920" w:type="dxa"/>
            <w:vAlign w:val="bottom"/>
          </w:tcPr>
          <w:p>
            <w:pPr>
              <w:jc w:val="right"/>
              <w:ind w:right="233"/>
              <w:spacing w:after="0"/>
              <w:rPr>
                <w:sz w:val="20"/>
                <w:szCs w:val="20"/>
                <w:color w:val="auto"/>
              </w:rPr>
            </w:pPr>
            <w:r>
              <w:rPr>
                <w:rFonts w:ascii="Arial" w:cs="Arial" w:eastAsia="Arial" w:hAnsi="Arial"/>
                <w:sz w:val="13"/>
                <w:szCs w:val="13"/>
                <w:color w:val="auto"/>
              </w:rPr>
              <w:t>0%</w:t>
            </w:r>
          </w:p>
        </w:tc>
      </w:tr>
      <w:tr>
        <w:trPr>
          <w:trHeight w:val="270"/>
        </w:trPr>
        <w:tc>
          <w:tcPr>
            <w:tcW w:w="4480" w:type="dxa"/>
            <w:vAlign w:val="bottom"/>
          </w:tcPr>
          <w:p>
            <w:pPr>
              <w:ind w:left="80"/>
              <w:spacing w:after="0"/>
              <w:rPr>
                <w:sz w:val="20"/>
                <w:szCs w:val="20"/>
                <w:color w:val="auto"/>
              </w:rPr>
            </w:pPr>
            <w:r>
              <w:rPr>
                <w:rFonts w:ascii="Arial" w:cs="Arial" w:eastAsia="Arial" w:hAnsi="Arial"/>
                <w:sz w:val="13"/>
                <w:szCs w:val="13"/>
                <w:color w:val="auto"/>
              </w:rPr>
              <w:t>ROCE-I Modifier (30% weight, ranking excludes S&amp;P 500)</w:t>
            </w:r>
          </w:p>
        </w:tc>
        <w:tc>
          <w:tcPr>
            <w:tcW w:w="1560" w:type="dxa"/>
            <w:vAlign w:val="bottom"/>
          </w:tcPr>
          <w:p>
            <w:pPr>
              <w:jc w:val="right"/>
              <w:ind w:right="213"/>
              <w:spacing w:after="0"/>
              <w:rPr>
                <w:sz w:val="20"/>
                <w:szCs w:val="20"/>
                <w:color w:val="auto"/>
              </w:rPr>
            </w:pPr>
            <w:r>
              <w:rPr>
                <w:rFonts w:ascii="Arial" w:cs="Arial" w:eastAsia="Arial" w:hAnsi="Arial"/>
                <w:sz w:val="13"/>
                <w:szCs w:val="13"/>
                <w:color w:val="auto"/>
              </w:rPr>
              <w:t>200%</w:t>
            </w:r>
          </w:p>
        </w:tc>
        <w:tc>
          <w:tcPr>
            <w:tcW w:w="920" w:type="dxa"/>
            <w:vAlign w:val="bottom"/>
          </w:tcPr>
          <w:p>
            <w:pPr>
              <w:jc w:val="right"/>
              <w:ind w:right="213"/>
              <w:spacing w:after="0"/>
              <w:rPr>
                <w:sz w:val="20"/>
                <w:szCs w:val="20"/>
                <w:color w:val="auto"/>
              </w:rPr>
            </w:pPr>
            <w:r>
              <w:rPr>
                <w:rFonts w:ascii="Arial" w:cs="Arial" w:eastAsia="Arial" w:hAnsi="Arial"/>
                <w:sz w:val="13"/>
                <w:szCs w:val="13"/>
                <w:color w:val="auto"/>
              </w:rPr>
              <w:t>150%</w:t>
            </w:r>
          </w:p>
        </w:tc>
        <w:tc>
          <w:tcPr>
            <w:tcW w:w="900" w:type="dxa"/>
            <w:vAlign w:val="bottom"/>
          </w:tcPr>
          <w:p>
            <w:pPr>
              <w:jc w:val="right"/>
              <w:ind w:right="213"/>
              <w:spacing w:after="0"/>
              <w:rPr>
                <w:sz w:val="20"/>
                <w:szCs w:val="20"/>
                <w:color w:val="auto"/>
              </w:rPr>
            </w:pPr>
            <w:r>
              <w:rPr>
                <w:rFonts w:ascii="Arial" w:cs="Arial" w:eastAsia="Arial" w:hAnsi="Arial"/>
                <w:sz w:val="13"/>
                <w:szCs w:val="13"/>
                <w:color w:val="auto"/>
              </w:rPr>
              <w:t>100%</w:t>
            </w:r>
          </w:p>
        </w:tc>
        <w:tc>
          <w:tcPr>
            <w:tcW w:w="900" w:type="dxa"/>
            <w:vAlign w:val="bottom"/>
          </w:tcPr>
          <w:p>
            <w:pPr>
              <w:jc w:val="right"/>
              <w:ind w:right="213"/>
              <w:spacing w:after="0"/>
              <w:rPr>
                <w:sz w:val="20"/>
                <w:szCs w:val="20"/>
                <w:color w:val="auto"/>
              </w:rPr>
            </w:pPr>
            <w:r>
              <w:rPr>
                <w:rFonts w:ascii="Arial" w:cs="Arial" w:eastAsia="Arial" w:hAnsi="Arial"/>
                <w:sz w:val="13"/>
                <w:szCs w:val="13"/>
                <w:color w:val="auto"/>
              </w:rPr>
              <w:t>50%</w:t>
            </w:r>
          </w:p>
        </w:tc>
        <w:tc>
          <w:tcPr>
            <w:tcW w:w="900" w:type="dxa"/>
            <w:vAlign w:val="bottom"/>
          </w:tcPr>
          <w:p>
            <w:pPr>
              <w:jc w:val="right"/>
              <w:ind w:right="213"/>
              <w:spacing w:after="0"/>
              <w:rPr>
                <w:sz w:val="20"/>
                <w:szCs w:val="20"/>
                <w:color w:val="auto"/>
              </w:rPr>
            </w:pPr>
            <w:r>
              <w:rPr>
                <w:rFonts w:ascii="Arial" w:cs="Arial" w:eastAsia="Arial" w:hAnsi="Arial"/>
                <w:sz w:val="13"/>
                <w:szCs w:val="13"/>
                <w:color w:val="auto"/>
              </w:rPr>
              <w:t>0%</w:t>
            </w:r>
          </w:p>
        </w:tc>
        <w:tc>
          <w:tcPr>
            <w:tcW w:w="920" w:type="dxa"/>
            <w:vAlign w:val="bottom"/>
          </w:tcPr>
          <w:p>
            <w:pPr>
              <w:jc w:val="right"/>
              <w:ind w:right="173"/>
              <w:spacing w:after="0"/>
              <w:rPr>
                <w:sz w:val="20"/>
                <w:szCs w:val="20"/>
                <w:color w:val="auto"/>
              </w:rPr>
            </w:pPr>
            <w:r>
              <w:rPr>
                <w:rFonts w:ascii="Arial" w:cs="Arial" w:eastAsia="Arial" w:hAnsi="Arial"/>
                <w:sz w:val="13"/>
                <w:szCs w:val="13"/>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33655</wp:posOffset>
            </wp:positionV>
            <wp:extent cx="671195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91" w:lineRule="exact"/>
        <w:rPr>
          <w:sz w:val="20"/>
          <w:szCs w:val="20"/>
          <w:color w:val="auto"/>
        </w:rPr>
      </w:pPr>
    </w:p>
    <w:p>
      <w:pPr>
        <w:jc w:val="both"/>
        <w:ind w:left="560" w:right="20"/>
        <w:spacing w:after="0" w:line="249" w:lineRule="auto"/>
        <w:rPr>
          <w:sz w:val="20"/>
          <w:szCs w:val="20"/>
          <w:color w:val="auto"/>
        </w:rPr>
      </w:pPr>
      <w:r>
        <w:rPr>
          <w:rFonts w:ascii="Arial" w:cs="Arial" w:eastAsia="Arial" w:hAnsi="Arial"/>
          <w:sz w:val="14"/>
          <w:szCs w:val="14"/>
          <w:color w:val="auto"/>
        </w:rPr>
        <w:t>For example, if we rank first in TSR as compared with our LTIP Performance Share Peer Group and second in ROCE-I, then the performance modifier would be 185%. Under the rules of the LTIP, in the event our measured annualized TSR is less than 1 percentage point of the nearest competitor(s), the results will be considered a tie, and the TSR modifier will be the average of the tied ranks. In the event our measured ROCE-I is less than one-half of a percentage point of the nearest competitor(s), the results will be considered a tie, and the ROCE-I modifier will be the average of the tied ranks. For example, if Chevron ranks sixth in TSR and ties with the TSR of the peer that ranks fifth, it will result in a TSR modifier of 20% (the average of 40% and 0%). In addition, if Chevron ranks fifth in ROCE-I and ties with the ROCE-I of the peer that ranks fourth, it will result in a ROCE-I modifier of 25% (the average of 50% and 0%). The overall performance modifier would then result in 21.5%.</w:t>
      </w:r>
    </w:p>
    <w:p>
      <w:pPr>
        <w:spacing w:after="0" w:line="364" w:lineRule="exact"/>
        <w:rPr>
          <w:sz w:val="20"/>
          <w:szCs w:val="20"/>
          <w:color w:val="auto"/>
        </w:rPr>
      </w:pPr>
    </w:p>
    <w:tbl>
      <w:tblPr>
        <w:tblLayout w:type="fixed"/>
        <w:tblInd w:w="570" w:type="dxa"/>
        <w:tblCellMar>
          <w:top w:w="0" w:type="dxa"/>
          <w:left w:w="0" w:type="dxa"/>
          <w:bottom w:w="0" w:type="dxa"/>
          <w:right w:w="0" w:type="dxa"/>
        </w:tblCellMar>
      </w:tblPr>
      <w:tr>
        <w:trPr>
          <w:trHeight w:val="203"/>
        </w:trPr>
        <w:tc>
          <w:tcPr>
            <w:tcW w:w="2980" w:type="dxa"/>
            <w:vAlign w:val="bottom"/>
            <w:tcBorders>
              <w:top w:val="single" w:sz="8" w:color="auto"/>
              <w:left w:val="single" w:sz="8" w:color="auto"/>
              <w:bottom w:val="single" w:sz="8" w:color="auto"/>
              <w:right w:val="single" w:sz="8" w:color="auto"/>
            </w:tcBorders>
          </w:tcPr>
          <w:p>
            <w:pPr>
              <w:ind w:left="900"/>
              <w:spacing w:after="0"/>
              <w:rPr>
                <w:sz w:val="20"/>
                <w:szCs w:val="20"/>
                <w:color w:val="auto"/>
              </w:rPr>
            </w:pPr>
            <w:r>
              <w:rPr>
                <w:rFonts w:ascii="Arial" w:cs="Arial" w:eastAsia="Arial" w:hAnsi="Arial"/>
                <w:sz w:val="13"/>
                <w:szCs w:val="13"/>
                <w:color w:val="auto"/>
              </w:rPr>
              <w:t>70% x TSR Modifier</w:t>
            </w:r>
          </w:p>
        </w:tc>
        <w:tc>
          <w:tcPr>
            <w:tcW w:w="620" w:type="dxa"/>
            <w:vAlign w:val="bottom"/>
            <w:tcBorders>
              <w:right w:val="single" w:sz="8" w:color="auto"/>
            </w:tcBorders>
          </w:tcPr>
          <w:p>
            <w:pPr>
              <w:jc w:val="right"/>
              <w:ind w:right="173"/>
              <w:spacing w:after="0"/>
              <w:rPr>
                <w:sz w:val="20"/>
                <w:szCs w:val="20"/>
                <w:color w:val="auto"/>
              </w:rPr>
            </w:pPr>
            <w:r>
              <w:rPr>
                <w:rFonts w:ascii="Arial" w:cs="Arial" w:eastAsia="Arial" w:hAnsi="Arial"/>
                <w:sz w:val="13"/>
                <w:szCs w:val="13"/>
                <w:color w:val="auto"/>
              </w:rPr>
              <w:t>+</w:t>
            </w:r>
          </w:p>
        </w:tc>
        <w:tc>
          <w:tcPr>
            <w:tcW w:w="3040" w:type="dxa"/>
            <w:vAlign w:val="bottom"/>
            <w:tcBorders>
              <w:top w:val="single" w:sz="8" w:color="auto"/>
              <w:bottom w:val="single" w:sz="8" w:color="auto"/>
              <w:right w:val="single" w:sz="8" w:color="auto"/>
            </w:tcBorders>
          </w:tcPr>
          <w:p>
            <w:pPr>
              <w:ind w:left="800"/>
              <w:spacing w:after="0"/>
              <w:rPr>
                <w:sz w:val="20"/>
                <w:szCs w:val="20"/>
                <w:color w:val="auto"/>
              </w:rPr>
            </w:pPr>
            <w:r>
              <w:rPr>
                <w:rFonts w:ascii="Arial" w:cs="Arial" w:eastAsia="Arial" w:hAnsi="Arial"/>
                <w:sz w:val="13"/>
                <w:szCs w:val="13"/>
                <w:color w:val="auto"/>
              </w:rPr>
              <w:t>30% x ROCE-I Modifier</w:t>
            </w:r>
          </w:p>
        </w:tc>
        <w:tc>
          <w:tcPr>
            <w:tcW w:w="900" w:type="dxa"/>
            <w:vAlign w:val="bottom"/>
            <w:tcBorders>
              <w:right w:val="single" w:sz="8" w:color="auto"/>
            </w:tcBorders>
          </w:tcPr>
          <w:p>
            <w:pPr>
              <w:jc w:val="right"/>
              <w:ind w:right="173"/>
              <w:spacing w:after="0"/>
              <w:rPr>
                <w:sz w:val="20"/>
                <w:szCs w:val="20"/>
                <w:color w:val="auto"/>
              </w:rPr>
            </w:pPr>
            <w:r>
              <w:rPr>
                <w:rFonts w:ascii="Arial" w:cs="Arial" w:eastAsia="Arial" w:hAnsi="Arial"/>
                <w:sz w:val="13"/>
                <w:szCs w:val="13"/>
                <w:color w:val="auto"/>
              </w:rPr>
              <w:t>=</w:t>
            </w:r>
          </w:p>
        </w:tc>
        <w:tc>
          <w:tcPr>
            <w:tcW w:w="30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3"/>
                <w:szCs w:val="13"/>
                <w:color w:val="auto"/>
              </w:rPr>
              <w:t>Performance modifier</w:t>
            </w:r>
          </w:p>
        </w:tc>
      </w:tr>
    </w:tbl>
    <w:p>
      <w:pPr>
        <w:spacing w:after="0" w:line="207"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Fourth</w:t>
      </w:r>
      <w:r>
        <w:rPr>
          <w:rFonts w:ascii="Arial" w:cs="Arial" w:eastAsia="Arial" w:hAnsi="Arial"/>
          <w:sz w:val="14"/>
          <w:szCs w:val="14"/>
          <w:color w:val="auto"/>
        </w:rPr>
        <w:t>, we determine the cash value and payout of the performance share award, as follows:</w:t>
      </w:r>
    </w:p>
    <w:p>
      <w:pPr>
        <w:spacing w:after="0" w:line="233" w:lineRule="exact"/>
        <w:rPr>
          <w:sz w:val="20"/>
          <w:szCs w:val="20"/>
          <w:color w:val="auto"/>
        </w:rPr>
      </w:pPr>
    </w:p>
    <w:tbl>
      <w:tblPr>
        <w:tblLayout w:type="fixed"/>
        <w:tblInd w:w="570" w:type="dxa"/>
        <w:tblCellMar>
          <w:top w:w="0" w:type="dxa"/>
          <w:left w:w="0" w:type="dxa"/>
          <w:bottom w:w="0" w:type="dxa"/>
          <w:right w:w="0" w:type="dxa"/>
        </w:tblCellMar>
      </w:tblPr>
      <w:tr>
        <w:trPr>
          <w:trHeight w:val="190"/>
        </w:trPr>
        <w:tc>
          <w:tcPr>
            <w:tcW w:w="2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Number of performance</w:t>
            </w:r>
          </w:p>
        </w:tc>
        <w:tc>
          <w:tcPr>
            <w:tcW w:w="340" w:type="dxa"/>
            <w:vAlign w:val="bottom"/>
            <w:tcBorders>
              <w:right w:val="single" w:sz="8" w:color="auto"/>
            </w:tcBorders>
          </w:tcPr>
          <w:p>
            <w:pPr>
              <w:spacing w:after="0"/>
              <w:rPr>
                <w:sz w:val="16"/>
                <w:szCs w:val="16"/>
                <w:color w:val="auto"/>
              </w:rPr>
            </w:pPr>
          </w:p>
        </w:tc>
        <w:tc>
          <w:tcPr>
            <w:tcW w:w="1260" w:type="dxa"/>
            <w:vAlign w:val="bottom"/>
            <w:tcBorders>
              <w:top w:val="single" w:sz="8" w:color="auto"/>
              <w:right w:val="single" w:sz="8" w:color="auto"/>
            </w:tcBorders>
            <w:vMerge w:val="restart"/>
          </w:tcPr>
          <w:p>
            <w:pPr>
              <w:ind w:left="280"/>
              <w:spacing w:after="0"/>
              <w:rPr>
                <w:sz w:val="20"/>
                <w:szCs w:val="20"/>
                <w:color w:val="auto"/>
              </w:rPr>
            </w:pPr>
            <w:r>
              <w:rPr>
                <w:rFonts w:ascii="Arial" w:cs="Arial" w:eastAsia="Arial" w:hAnsi="Arial"/>
                <w:sz w:val="13"/>
                <w:szCs w:val="13"/>
                <w:color w:val="auto"/>
              </w:rPr>
              <w:t>Performance</w:t>
            </w:r>
          </w:p>
        </w:tc>
        <w:tc>
          <w:tcPr>
            <w:tcW w:w="320" w:type="dxa"/>
            <w:vAlign w:val="bottom"/>
            <w:tcBorders>
              <w:right w:val="single" w:sz="8" w:color="auto"/>
            </w:tcBorders>
          </w:tcPr>
          <w:p>
            <w:pPr>
              <w:spacing w:after="0"/>
              <w:rPr>
                <w:sz w:val="16"/>
                <w:szCs w:val="16"/>
                <w:color w:val="auto"/>
              </w:rPr>
            </w:pPr>
          </w:p>
        </w:tc>
        <w:tc>
          <w:tcPr>
            <w:tcW w:w="41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rPr>
              <w:t>20-day trailing average price of Chevron common</w:t>
            </w:r>
          </w:p>
        </w:tc>
        <w:tc>
          <w:tcPr>
            <w:tcW w:w="340" w:type="dxa"/>
            <w:vAlign w:val="bottom"/>
            <w:tcBorders>
              <w:right w:val="single" w:sz="8" w:color="auto"/>
            </w:tcBorders>
          </w:tcPr>
          <w:p>
            <w:pPr>
              <w:spacing w:after="0"/>
              <w:rPr>
                <w:sz w:val="16"/>
                <w:szCs w:val="16"/>
                <w:color w:val="auto"/>
              </w:rPr>
            </w:pPr>
          </w:p>
        </w:tc>
        <w:tc>
          <w:tcPr>
            <w:tcW w:w="220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rPr>
              <w:t>shares granted +</w:t>
            </w:r>
          </w:p>
        </w:tc>
        <w:tc>
          <w:tcPr>
            <w:tcW w:w="3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auto"/>
              </w:rPr>
              <w:t>x</w:t>
            </w:r>
          </w:p>
        </w:tc>
        <w:tc>
          <w:tcPr>
            <w:tcW w:w="1260" w:type="dxa"/>
            <w:vAlign w:val="bottom"/>
            <w:tcBorders>
              <w:right w:val="single" w:sz="8" w:color="auto"/>
            </w:tcBorders>
            <w:vMerge w:val="continue"/>
          </w:tcPr>
          <w:p>
            <w:pPr>
              <w:spacing w:after="0"/>
              <w:rPr>
                <w:sz w:val="5"/>
                <w:szCs w:val="5"/>
                <w:color w:val="auto"/>
              </w:rPr>
            </w:pPr>
          </w:p>
        </w:tc>
        <w:tc>
          <w:tcPr>
            <w:tcW w:w="3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auto"/>
              </w:rPr>
              <w:t>x</w:t>
            </w:r>
          </w:p>
        </w:tc>
        <w:tc>
          <w:tcPr>
            <w:tcW w:w="4100" w:type="dxa"/>
            <w:vAlign w:val="bottom"/>
            <w:tcBorders>
              <w:right w:val="single" w:sz="8" w:color="auto"/>
            </w:tcBorders>
            <w:vMerge w:val="continue"/>
          </w:tcPr>
          <w:p>
            <w:pPr>
              <w:spacing w:after="0"/>
              <w:rPr>
                <w:sz w:val="5"/>
                <w:szCs w:val="5"/>
                <w:color w:val="auto"/>
              </w:rPr>
            </w:pPr>
          </w:p>
        </w:tc>
        <w:tc>
          <w:tcPr>
            <w:tcW w:w="34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3"/>
                <w:szCs w:val="13"/>
                <w:color w:val="auto"/>
              </w:rPr>
              <w:t>=</w:t>
            </w:r>
          </w:p>
        </w:tc>
        <w:tc>
          <w:tcPr>
            <w:tcW w:w="2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3"/>
                <w:szCs w:val="13"/>
                <w:color w:val="auto"/>
              </w:rPr>
              <w:t>Cash value/payout</w:t>
            </w:r>
          </w:p>
        </w:tc>
        <w:tc>
          <w:tcPr>
            <w:tcW w:w="0" w:type="dxa"/>
            <w:vAlign w:val="bottom"/>
          </w:tcPr>
          <w:p>
            <w:pPr>
              <w:spacing w:after="0"/>
              <w:rPr>
                <w:sz w:val="1"/>
                <w:szCs w:val="1"/>
                <w:color w:val="auto"/>
              </w:rPr>
            </w:pPr>
          </w:p>
        </w:tc>
      </w:tr>
      <w:tr>
        <w:trPr>
          <w:trHeight w:val="81"/>
        </w:trPr>
        <w:tc>
          <w:tcPr>
            <w:tcW w:w="2040" w:type="dxa"/>
            <w:vAlign w:val="bottom"/>
            <w:tcBorders>
              <w:left w:val="single" w:sz="8" w:color="auto"/>
              <w:right w:val="single" w:sz="8" w:color="auto"/>
            </w:tcBorders>
            <w:vMerge w:val="continue"/>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1260" w:type="dxa"/>
            <w:vAlign w:val="bottom"/>
            <w:tcBorders>
              <w:right w:val="single" w:sz="8" w:color="auto"/>
            </w:tcBorders>
            <w:vMerge w:val="restart"/>
          </w:tcPr>
          <w:p>
            <w:pPr>
              <w:ind w:left="320"/>
              <w:spacing w:after="0"/>
              <w:rPr>
                <w:sz w:val="20"/>
                <w:szCs w:val="20"/>
                <w:color w:val="auto"/>
              </w:rPr>
            </w:pPr>
            <w:r>
              <w:rPr>
                <w:rFonts w:ascii="Arial" w:cs="Arial" w:eastAsia="Arial" w:hAnsi="Arial"/>
                <w:sz w:val="13"/>
                <w:szCs w:val="13"/>
                <w:color w:val="auto"/>
              </w:rPr>
              <w:t>modifier</w:t>
            </w:r>
          </w:p>
        </w:tc>
        <w:tc>
          <w:tcPr>
            <w:tcW w:w="320" w:type="dxa"/>
            <w:vAlign w:val="bottom"/>
            <w:tcBorders>
              <w:right w:val="single" w:sz="8" w:color="auto"/>
            </w:tcBorders>
            <w:vMerge w:val="continue"/>
          </w:tcPr>
          <w:p>
            <w:pPr>
              <w:spacing w:after="0"/>
              <w:rPr>
                <w:sz w:val="7"/>
                <w:szCs w:val="7"/>
                <w:color w:val="auto"/>
              </w:rPr>
            </w:pPr>
          </w:p>
        </w:tc>
        <w:tc>
          <w:tcPr>
            <w:tcW w:w="4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stock at the end of the performance period</w:t>
            </w:r>
          </w:p>
        </w:tc>
        <w:tc>
          <w:tcPr>
            <w:tcW w:w="340" w:type="dxa"/>
            <w:vAlign w:val="bottom"/>
            <w:tcBorders>
              <w:right w:val="single" w:sz="8" w:color="auto"/>
            </w:tcBorders>
            <w:vMerge w:val="continue"/>
          </w:tcPr>
          <w:p>
            <w:pPr>
              <w:spacing w:after="0"/>
              <w:rPr>
                <w:sz w:val="7"/>
                <w:szCs w:val="7"/>
                <w:color w:val="auto"/>
              </w:rPr>
            </w:pPr>
          </w:p>
        </w:tc>
        <w:tc>
          <w:tcPr>
            <w:tcW w:w="2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rPr>
              <w:t>dividend equivalents</w:t>
            </w:r>
          </w:p>
        </w:tc>
        <w:tc>
          <w:tcPr>
            <w:tcW w:w="34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4100" w:type="dxa"/>
            <w:vAlign w:val="bottom"/>
            <w:tcBorders>
              <w:right w:val="single" w:sz="8" w:color="auto"/>
            </w:tcBorders>
            <w:vMerge w:val="continue"/>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2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4100" w:type="dxa"/>
            <w:vAlign w:val="bottom"/>
            <w:tcBorders>
              <w:bottom w:val="single" w:sz="8" w:color="auto"/>
              <w:right w:val="single" w:sz="8" w:color="auto"/>
            </w:tcBorders>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560" w:right="20"/>
        <w:spacing w:after="0" w:line="285" w:lineRule="auto"/>
        <w:rPr>
          <w:sz w:val="20"/>
          <w:szCs w:val="20"/>
          <w:color w:val="auto"/>
        </w:rPr>
      </w:pPr>
      <w:r>
        <w:rPr>
          <w:rFonts w:ascii="Arial" w:cs="Arial" w:eastAsia="Arial" w:hAnsi="Arial"/>
          <w:sz w:val="14"/>
          <w:szCs w:val="14"/>
          <w:color w:val="auto"/>
        </w:rPr>
        <w:t>For awards of performance shares made in 2019, the three-year performance period ended December 2021. Chevron came in second place, resulting in a performance modifier for the period of 160%. Accordingly, the cash value of the 2019 grant was calculated as follows:</w:t>
      </w:r>
    </w:p>
    <w:p>
      <w:pPr>
        <w:spacing w:after="0" w:line="192" w:lineRule="exact"/>
        <w:rPr>
          <w:sz w:val="20"/>
          <w:szCs w:val="20"/>
          <w:color w:val="auto"/>
        </w:rPr>
      </w:pPr>
    </w:p>
    <w:tbl>
      <w:tblPr>
        <w:tblLayout w:type="fixed"/>
        <w:tblInd w:w="570" w:type="dxa"/>
        <w:tblCellMar>
          <w:top w:w="0" w:type="dxa"/>
          <w:left w:w="0" w:type="dxa"/>
          <w:bottom w:w="0" w:type="dxa"/>
          <w:right w:w="0" w:type="dxa"/>
        </w:tblCellMar>
      </w:tblPr>
      <w:tr>
        <w:trPr>
          <w:trHeight w:val="149"/>
        </w:trPr>
        <w:tc>
          <w:tcPr>
            <w:tcW w:w="2660" w:type="dxa"/>
            <w:vAlign w:val="bottom"/>
            <w:tcBorders>
              <w:left w:val="single" w:sz="8" w:color="7F7F7F"/>
            </w:tcBorders>
            <w:shd w:val="clear" w:color="auto" w:fill="0066B2"/>
          </w:tcPr>
          <w:p>
            <w:pPr>
              <w:spacing w:after="0"/>
              <w:rPr>
                <w:sz w:val="12"/>
                <w:szCs w:val="12"/>
                <w:color w:val="auto"/>
              </w:rPr>
            </w:pPr>
          </w:p>
        </w:tc>
        <w:tc>
          <w:tcPr>
            <w:tcW w:w="2620" w:type="dxa"/>
            <w:vAlign w:val="bottom"/>
            <w:shd w:val="clear" w:color="auto" w:fill="0066B2"/>
          </w:tcPr>
          <w:p>
            <w:pPr>
              <w:jc w:val="center"/>
              <w:ind w:left="1533"/>
              <w:spacing w:after="0"/>
              <w:rPr>
                <w:sz w:val="20"/>
                <w:szCs w:val="20"/>
                <w:color w:val="auto"/>
              </w:rPr>
            </w:pPr>
            <w:r>
              <w:rPr>
                <w:rFonts w:ascii="Arial" w:cs="Arial" w:eastAsia="Arial" w:hAnsi="Arial"/>
                <w:sz w:val="13"/>
                <w:szCs w:val="13"/>
                <w:b w:val="1"/>
                <w:bCs w:val="1"/>
                <w:color w:val="FFFFFF"/>
              </w:rPr>
              <w:t>Shares</w:t>
            </w:r>
          </w:p>
        </w:tc>
        <w:tc>
          <w:tcPr>
            <w:tcW w:w="1260" w:type="dxa"/>
            <w:vAlign w:val="bottom"/>
            <w:shd w:val="clear" w:color="auto" w:fill="0066B2"/>
          </w:tcPr>
          <w:p>
            <w:pPr>
              <w:spacing w:after="0"/>
              <w:rPr>
                <w:sz w:val="12"/>
                <w:szCs w:val="12"/>
                <w:color w:val="auto"/>
              </w:rPr>
            </w:pPr>
          </w:p>
        </w:tc>
        <w:tc>
          <w:tcPr>
            <w:tcW w:w="1000" w:type="dxa"/>
            <w:vAlign w:val="bottom"/>
            <w:vMerge w:val="restart"/>
            <w:shd w:val="clear" w:color="auto" w:fill="0066B2"/>
          </w:tcPr>
          <w:p>
            <w:pPr>
              <w:jc w:val="center"/>
              <w:spacing w:after="0"/>
              <w:rPr>
                <w:sz w:val="20"/>
                <w:szCs w:val="20"/>
                <w:color w:val="auto"/>
              </w:rPr>
            </w:pPr>
            <w:r>
              <w:rPr>
                <w:rFonts w:ascii="Arial" w:cs="Arial" w:eastAsia="Arial" w:hAnsi="Arial"/>
                <w:sz w:val="13"/>
                <w:szCs w:val="13"/>
                <w:b w:val="1"/>
                <w:bCs w:val="1"/>
                <w:color w:val="FFFFFF"/>
              </w:rPr>
              <w:t>Shares</w:t>
            </w:r>
          </w:p>
        </w:tc>
        <w:tc>
          <w:tcPr>
            <w:tcW w:w="300" w:type="dxa"/>
            <w:vAlign w:val="bottom"/>
            <w:shd w:val="clear" w:color="auto" w:fill="0066B2"/>
          </w:tcPr>
          <w:p>
            <w:pPr>
              <w:spacing w:after="0"/>
              <w:rPr>
                <w:sz w:val="12"/>
                <w:szCs w:val="12"/>
                <w:color w:val="auto"/>
              </w:rPr>
            </w:pPr>
          </w:p>
        </w:tc>
        <w:tc>
          <w:tcPr>
            <w:tcW w:w="960" w:type="dxa"/>
            <w:vAlign w:val="bottom"/>
            <w:shd w:val="clear" w:color="auto" w:fill="0066B2"/>
          </w:tcPr>
          <w:p>
            <w:pPr>
              <w:jc w:val="center"/>
              <w:spacing w:after="0"/>
              <w:rPr>
                <w:sz w:val="20"/>
                <w:szCs w:val="20"/>
                <w:color w:val="auto"/>
              </w:rPr>
            </w:pPr>
            <w:r>
              <w:rPr>
                <w:rFonts w:ascii="Arial" w:cs="Arial" w:eastAsia="Arial" w:hAnsi="Arial"/>
                <w:sz w:val="13"/>
                <w:szCs w:val="13"/>
                <w:b w:val="1"/>
                <w:bCs w:val="1"/>
                <w:color w:val="FFFFFF"/>
              </w:rPr>
              <w:t>20-</w:t>
            </w:r>
          </w:p>
        </w:tc>
        <w:tc>
          <w:tcPr>
            <w:tcW w:w="440" w:type="dxa"/>
            <w:vAlign w:val="bottom"/>
            <w:shd w:val="clear" w:color="auto" w:fill="0066B2"/>
          </w:tcPr>
          <w:p>
            <w:pPr>
              <w:spacing w:after="0"/>
              <w:rPr>
                <w:sz w:val="12"/>
                <w:szCs w:val="12"/>
                <w:color w:val="auto"/>
              </w:rPr>
            </w:pPr>
          </w:p>
        </w:tc>
        <w:tc>
          <w:tcPr>
            <w:tcW w:w="440" w:type="dxa"/>
            <w:vAlign w:val="bottom"/>
            <w:shd w:val="clear" w:color="auto" w:fill="0066B2"/>
          </w:tcPr>
          <w:p>
            <w:pPr>
              <w:spacing w:after="0"/>
              <w:rPr>
                <w:sz w:val="12"/>
                <w:szCs w:val="12"/>
                <w:color w:val="auto"/>
              </w:rPr>
            </w:pPr>
          </w:p>
        </w:tc>
        <w:tc>
          <w:tcPr>
            <w:tcW w:w="920" w:type="dxa"/>
            <w:vAlign w:val="bottom"/>
            <w:tcBorders>
              <w:right w:val="single" w:sz="8" w:color="7F7F7F"/>
            </w:tcBorders>
            <w:shd w:val="clear" w:color="auto" w:fill="0066B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7F7F7F"/>
            </w:tcBorders>
            <w:shd w:val="clear" w:color="auto" w:fill="0066B2"/>
          </w:tcPr>
          <w:p>
            <w:pPr>
              <w:spacing w:after="0"/>
              <w:rPr>
                <w:sz w:val="12"/>
                <w:szCs w:val="12"/>
                <w:color w:val="auto"/>
              </w:rPr>
            </w:pPr>
          </w:p>
        </w:tc>
        <w:tc>
          <w:tcPr>
            <w:tcW w:w="2620" w:type="dxa"/>
            <w:vAlign w:val="bottom"/>
            <w:shd w:val="clear" w:color="auto" w:fill="0066B2"/>
          </w:tcPr>
          <w:p>
            <w:pPr>
              <w:jc w:val="center"/>
              <w:ind w:left="1533"/>
              <w:spacing w:after="0"/>
              <w:rPr>
                <w:sz w:val="20"/>
                <w:szCs w:val="20"/>
                <w:color w:val="auto"/>
              </w:rPr>
            </w:pPr>
            <w:r>
              <w:rPr>
                <w:rFonts w:ascii="Arial" w:cs="Arial" w:eastAsia="Arial" w:hAnsi="Arial"/>
                <w:sz w:val="13"/>
                <w:szCs w:val="13"/>
                <w:b w:val="1"/>
                <w:bCs w:val="1"/>
                <w:color w:val="FFFFFF"/>
              </w:rPr>
              <w:t>granted plus</w:t>
            </w:r>
          </w:p>
        </w:tc>
        <w:tc>
          <w:tcPr>
            <w:tcW w:w="1260" w:type="dxa"/>
            <w:vAlign w:val="bottom"/>
            <w:shd w:val="clear" w:color="auto" w:fill="0066B2"/>
          </w:tcPr>
          <w:p>
            <w:pPr>
              <w:spacing w:after="0"/>
              <w:rPr>
                <w:sz w:val="12"/>
                <w:szCs w:val="12"/>
                <w:color w:val="auto"/>
              </w:rPr>
            </w:pPr>
          </w:p>
        </w:tc>
        <w:tc>
          <w:tcPr>
            <w:tcW w:w="1000" w:type="dxa"/>
            <w:vAlign w:val="bottom"/>
            <w:vMerge w:val="continue"/>
            <w:shd w:val="clear" w:color="auto" w:fill="0066B2"/>
          </w:tcPr>
          <w:p>
            <w:pPr>
              <w:spacing w:after="0"/>
              <w:rPr>
                <w:sz w:val="12"/>
                <w:szCs w:val="12"/>
                <w:color w:val="auto"/>
              </w:rPr>
            </w:pPr>
          </w:p>
        </w:tc>
        <w:tc>
          <w:tcPr>
            <w:tcW w:w="300" w:type="dxa"/>
            <w:vAlign w:val="bottom"/>
            <w:shd w:val="clear" w:color="auto" w:fill="0066B2"/>
          </w:tcPr>
          <w:p>
            <w:pPr>
              <w:spacing w:after="0"/>
              <w:rPr>
                <w:sz w:val="12"/>
                <w:szCs w:val="12"/>
                <w:color w:val="auto"/>
              </w:rPr>
            </w:pPr>
          </w:p>
        </w:tc>
        <w:tc>
          <w:tcPr>
            <w:tcW w:w="960" w:type="dxa"/>
            <w:vAlign w:val="bottom"/>
            <w:shd w:val="clear" w:color="auto" w:fill="0066B2"/>
          </w:tcPr>
          <w:p>
            <w:pPr>
              <w:jc w:val="center"/>
              <w:spacing w:after="0"/>
              <w:rPr>
                <w:sz w:val="20"/>
                <w:szCs w:val="20"/>
                <w:color w:val="auto"/>
              </w:rPr>
            </w:pPr>
            <w:r>
              <w:rPr>
                <w:rFonts w:ascii="Arial" w:cs="Arial" w:eastAsia="Arial" w:hAnsi="Arial"/>
                <w:sz w:val="13"/>
                <w:szCs w:val="13"/>
                <w:b w:val="1"/>
                <w:bCs w:val="1"/>
                <w:color w:val="FFFFFF"/>
              </w:rPr>
              <w:t>day trailing</w:t>
            </w:r>
          </w:p>
        </w:tc>
        <w:tc>
          <w:tcPr>
            <w:tcW w:w="440" w:type="dxa"/>
            <w:vAlign w:val="bottom"/>
            <w:shd w:val="clear" w:color="auto" w:fill="0066B2"/>
          </w:tcPr>
          <w:p>
            <w:pPr>
              <w:spacing w:after="0"/>
              <w:rPr>
                <w:sz w:val="12"/>
                <w:szCs w:val="12"/>
                <w:color w:val="auto"/>
              </w:rPr>
            </w:pPr>
          </w:p>
        </w:tc>
        <w:tc>
          <w:tcPr>
            <w:tcW w:w="440" w:type="dxa"/>
            <w:vAlign w:val="bottom"/>
            <w:shd w:val="clear" w:color="auto" w:fill="0066B2"/>
          </w:tcPr>
          <w:p>
            <w:pPr>
              <w:spacing w:after="0"/>
              <w:rPr>
                <w:sz w:val="12"/>
                <w:szCs w:val="12"/>
                <w:color w:val="auto"/>
              </w:rPr>
            </w:pPr>
          </w:p>
        </w:tc>
        <w:tc>
          <w:tcPr>
            <w:tcW w:w="920" w:type="dxa"/>
            <w:vAlign w:val="bottom"/>
            <w:tcBorders>
              <w:right w:val="single" w:sz="8" w:color="7F7F7F"/>
            </w:tcBorders>
            <w:vMerge w:val="restart"/>
            <w:shd w:val="clear" w:color="auto" w:fill="0066B2"/>
          </w:tcPr>
          <w:p>
            <w:pPr>
              <w:jc w:val="right"/>
              <w:ind w:right="473"/>
              <w:spacing w:after="0"/>
              <w:rPr>
                <w:sz w:val="20"/>
                <w:szCs w:val="20"/>
                <w:color w:val="auto"/>
              </w:rPr>
            </w:pPr>
            <w:r>
              <w:rPr>
                <w:rFonts w:ascii="Arial" w:cs="Arial" w:eastAsia="Arial" w:hAnsi="Arial"/>
                <w:sz w:val="13"/>
                <w:szCs w:val="13"/>
                <w:b w:val="1"/>
                <w:bCs w:val="1"/>
                <w:color w:val="FFFFFF"/>
              </w:rPr>
              <w:t>Cash</w:t>
            </w:r>
          </w:p>
        </w:tc>
        <w:tc>
          <w:tcPr>
            <w:tcW w:w="0" w:type="dxa"/>
            <w:vAlign w:val="bottom"/>
          </w:tcPr>
          <w:p>
            <w:pPr>
              <w:spacing w:after="0"/>
              <w:rPr>
                <w:sz w:val="1"/>
                <w:szCs w:val="1"/>
                <w:color w:val="auto"/>
              </w:rPr>
            </w:pPr>
          </w:p>
        </w:tc>
      </w:tr>
      <w:tr>
        <w:trPr>
          <w:trHeight w:val="149"/>
        </w:trPr>
        <w:tc>
          <w:tcPr>
            <w:tcW w:w="2660" w:type="dxa"/>
            <w:vAlign w:val="bottom"/>
            <w:tcBorders>
              <w:left w:val="single" w:sz="8" w:color="7F7F7F"/>
            </w:tcBorders>
            <w:vMerge w:val="restart"/>
            <w:shd w:val="clear" w:color="auto" w:fill="0066B2"/>
          </w:tcPr>
          <w:p>
            <w:pPr>
              <w:ind w:left="160"/>
              <w:spacing w:after="0"/>
              <w:rPr>
                <w:sz w:val="20"/>
                <w:szCs w:val="20"/>
                <w:color w:val="auto"/>
              </w:rPr>
            </w:pPr>
            <w:r>
              <w:rPr>
                <w:rFonts w:ascii="Arial" w:cs="Arial" w:eastAsia="Arial" w:hAnsi="Arial"/>
                <w:sz w:val="13"/>
                <w:szCs w:val="13"/>
                <w:b w:val="1"/>
                <w:bCs w:val="1"/>
                <w:color w:val="FFFFFF"/>
              </w:rPr>
              <w:t>Name</w:t>
            </w:r>
          </w:p>
        </w:tc>
        <w:tc>
          <w:tcPr>
            <w:tcW w:w="2620" w:type="dxa"/>
            <w:vAlign w:val="bottom"/>
            <w:shd w:val="clear" w:color="auto" w:fill="0066B2"/>
          </w:tcPr>
          <w:p>
            <w:pPr>
              <w:jc w:val="center"/>
              <w:ind w:left="1513"/>
              <w:spacing w:after="0"/>
              <w:rPr>
                <w:sz w:val="20"/>
                <w:szCs w:val="20"/>
                <w:color w:val="auto"/>
              </w:rPr>
            </w:pPr>
            <w:r>
              <w:rPr>
                <w:rFonts w:ascii="Arial" w:cs="Arial" w:eastAsia="Arial" w:hAnsi="Arial"/>
                <w:sz w:val="13"/>
                <w:szCs w:val="13"/>
                <w:b w:val="1"/>
                <w:bCs w:val="1"/>
                <w:color w:val="FFFFFF"/>
              </w:rPr>
              <w:t>dividend</w:t>
            </w:r>
          </w:p>
        </w:tc>
        <w:tc>
          <w:tcPr>
            <w:tcW w:w="1260" w:type="dxa"/>
            <w:vAlign w:val="bottom"/>
            <w:vMerge w:val="restart"/>
            <w:shd w:val="clear" w:color="auto" w:fill="0066B2"/>
          </w:tcPr>
          <w:p>
            <w:pPr>
              <w:jc w:val="right"/>
              <w:ind w:right="53"/>
              <w:spacing w:after="0"/>
              <w:rPr>
                <w:sz w:val="20"/>
                <w:szCs w:val="20"/>
                <w:color w:val="auto"/>
              </w:rPr>
            </w:pPr>
            <w:r>
              <w:rPr>
                <w:rFonts w:ascii="Arial" w:cs="Arial" w:eastAsia="Arial" w:hAnsi="Arial"/>
                <w:sz w:val="13"/>
                <w:szCs w:val="13"/>
                <w:b w:val="1"/>
                <w:bCs w:val="1"/>
                <w:color w:val="FFFFFF"/>
              </w:rPr>
              <w:t>x   Modifier  =</w:t>
            </w:r>
          </w:p>
        </w:tc>
        <w:tc>
          <w:tcPr>
            <w:tcW w:w="1000" w:type="dxa"/>
            <w:vAlign w:val="bottom"/>
            <w:shd w:val="clear" w:color="auto" w:fill="0066B2"/>
          </w:tcPr>
          <w:p>
            <w:pPr>
              <w:jc w:val="center"/>
              <w:spacing w:after="0"/>
              <w:rPr>
                <w:sz w:val="20"/>
                <w:szCs w:val="20"/>
                <w:color w:val="auto"/>
              </w:rPr>
            </w:pPr>
            <w:r>
              <w:rPr>
                <w:rFonts w:ascii="Arial" w:cs="Arial" w:eastAsia="Arial" w:hAnsi="Arial"/>
                <w:sz w:val="13"/>
                <w:szCs w:val="13"/>
                <w:b w:val="1"/>
                <w:bCs w:val="1"/>
                <w:color w:val="FFFFFF"/>
              </w:rPr>
              <w:t>acquired on</w:t>
            </w:r>
          </w:p>
        </w:tc>
        <w:tc>
          <w:tcPr>
            <w:tcW w:w="300" w:type="dxa"/>
            <w:vAlign w:val="bottom"/>
            <w:vMerge w:val="restart"/>
            <w:shd w:val="clear" w:color="auto" w:fill="0066B2"/>
          </w:tcPr>
          <w:p>
            <w:pPr>
              <w:ind w:left="100"/>
              <w:spacing w:after="0"/>
              <w:rPr>
                <w:sz w:val="20"/>
                <w:szCs w:val="20"/>
                <w:color w:val="auto"/>
              </w:rPr>
            </w:pPr>
            <w:r>
              <w:rPr>
                <w:rFonts w:ascii="Arial" w:cs="Arial" w:eastAsia="Arial" w:hAnsi="Arial"/>
                <w:sz w:val="13"/>
                <w:szCs w:val="13"/>
                <w:b w:val="1"/>
                <w:bCs w:val="1"/>
                <w:color w:val="FFFFFF"/>
              </w:rPr>
              <w:t>x</w:t>
            </w:r>
          </w:p>
        </w:tc>
        <w:tc>
          <w:tcPr>
            <w:tcW w:w="960" w:type="dxa"/>
            <w:vAlign w:val="bottom"/>
            <w:shd w:val="clear" w:color="auto" w:fill="0066B2"/>
          </w:tcPr>
          <w:p>
            <w:pPr>
              <w:jc w:val="center"/>
              <w:spacing w:after="0"/>
              <w:rPr>
                <w:sz w:val="20"/>
                <w:szCs w:val="20"/>
                <w:color w:val="auto"/>
              </w:rPr>
            </w:pPr>
            <w:r>
              <w:rPr>
                <w:rFonts w:ascii="Arial" w:cs="Arial" w:eastAsia="Arial" w:hAnsi="Arial"/>
                <w:sz w:val="13"/>
                <w:szCs w:val="13"/>
                <w:b w:val="1"/>
                <w:bCs w:val="1"/>
                <w:color w:val="FFFFFF"/>
              </w:rPr>
              <w:t>average</w:t>
            </w:r>
          </w:p>
        </w:tc>
        <w:tc>
          <w:tcPr>
            <w:tcW w:w="440" w:type="dxa"/>
            <w:vAlign w:val="bottom"/>
            <w:vMerge w:val="restart"/>
            <w:shd w:val="clear" w:color="auto" w:fill="0066B2"/>
          </w:tcPr>
          <w:p>
            <w:pPr>
              <w:jc w:val="right"/>
              <w:ind w:right="173"/>
              <w:spacing w:after="0"/>
              <w:rPr>
                <w:sz w:val="20"/>
                <w:szCs w:val="20"/>
                <w:color w:val="auto"/>
              </w:rPr>
            </w:pPr>
            <w:r>
              <w:rPr>
                <w:rFonts w:ascii="Arial" w:cs="Arial" w:eastAsia="Arial" w:hAnsi="Arial"/>
                <w:sz w:val="13"/>
                <w:szCs w:val="13"/>
                <w:b w:val="1"/>
                <w:bCs w:val="1"/>
                <w:color w:val="FFFFFF"/>
              </w:rPr>
              <w:t>=</w:t>
            </w:r>
          </w:p>
        </w:tc>
        <w:tc>
          <w:tcPr>
            <w:tcW w:w="440" w:type="dxa"/>
            <w:vAlign w:val="bottom"/>
            <w:shd w:val="clear" w:color="auto" w:fill="0066B2"/>
          </w:tcPr>
          <w:p>
            <w:pPr>
              <w:spacing w:after="0"/>
              <w:rPr>
                <w:sz w:val="12"/>
                <w:szCs w:val="12"/>
                <w:color w:val="auto"/>
              </w:rPr>
            </w:pPr>
          </w:p>
        </w:tc>
        <w:tc>
          <w:tcPr>
            <w:tcW w:w="920" w:type="dxa"/>
            <w:vAlign w:val="bottom"/>
            <w:tcBorders>
              <w:right w:val="single" w:sz="8" w:color="7F7F7F"/>
            </w:tcBorders>
            <w:vMerge w:val="continue"/>
            <w:shd w:val="clear" w:color="auto" w:fill="0066B2"/>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660" w:type="dxa"/>
            <w:vAlign w:val="bottom"/>
            <w:tcBorders>
              <w:left w:val="single" w:sz="8" w:color="7F7F7F"/>
            </w:tcBorders>
            <w:vMerge w:val="continue"/>
            <w:shd w:val="clear" w:color="auto" w:fill="0066B2"/>
          </w:tcPr>
          <w:p>
            <w:pPr>
              <w:spacing w:after="0"/>
              <w:rPr>
                <w:sz w:val="14"/>
                <w:szCs w:val="14"/>
                <w:color w:val="auto"/>
              </w:rPr>
            </w:pPr>
          </w:p>
        </w:tc>
        <w:tc>
          <w:tcPr>
            <w:tcW w:w="2620" w:type="dxa"/>
            <w:vAlign w:val="bottom"/>
            <w:shd w:val="clear" w:color="auto" w:fill="0066B2"/>
          </w:tcPr>
          <w:p>
            <w:pPr>
              <w:jc w:val="center"/>
              <w:ind w:left="1533"/>
              <w:spacing w:after="0"/>
              <w:rPr>
                <w:sz w:val="20"/>
                <w:szCs w:val="20"/>
                <w:color w:val="auto"/>
              </w:rPr>
            </w:pPr>
            <w:r>
              <w:rPr>
                <w:rFonts w:ascii="Arial" w:cs="Arial" w:eastAsia="Arial" w:hAnsi="Arial"/>
                <w:sz w:val="13"/>
                <w:szCs w:val="13"/>
                <w:b w:val="1"/>
                <w:bCs w:val="1"/>
                <w:color w:val="FFFFFF"/>
              </w:rPr>
              <w:t>equivalents</w:t>
            </w:r>
          </w:p>
        </w:tc>
        <w:tc>
          <w:tcPr>
            <w:tcW w:w="1260" w:type="dxa"/>
            <w:vAlign w:val="bottom"/>
            <w:vMerge w:val="continue"/>
            <w:shd w:val="clear" w:color="auto" w:fill="0066B2"/>
          </w:tcPr>
          <w:p>
            <w:pPr>
              <w:spacing w:after="0"/>
              <w:rPr>
                <w:sz w:val="14"/>
                <w:szCs w:val="14"/>
                <w:color w:val="auto"/>
              </w:rPr>
            </w:pPr>
          </w:p>
        </w:tc>
        <w:tc>
          <w:tcPr>
            <w:tcW w:w="1000" w:type="dxa"/>
            <w:vAlign w:val="bottom"/>
            <w:shd w:val="clear" w:color="auto" w:fill="0066B2"/>
          </w:tcPr>
          <w:p>
            <w:pPr>
              <w:jc w:val="center"/>
              <w:spacing w:after="0"/>
              <w:rPr>
                <w:sz w:val="20"/>
                <w:szCs w:val="20"/>
                <w:color w:val="auto"/>
              </w:rPr>
            </w:pPr>
            <w:r>
              <w:rPr>
                <w:rFonts w:ascii="Arial" w:cs="Arial" w:eastAsia="Arial" w:hAnsi="Arial"/>
                <w:sz w:val="13"/>
                <w:szCs w:val="13"/>
                <w:b w:val="1"/>
                <w:bCs w:val="1"/>
                <w:color w:val="FFFFFF"/>
              </w:rPr>
              <w:t>vesting</w:t>
            </w:r>
          </w:p>
        </w:tc>
        <w:tc>
          <w:tcPr>
            <w:tcW w:w="300" w:type="dxa"/>
            <w:vAlign w:val="bottom"/>
            <w:vMerge w:val="continue"/>
            <w:shd w:val="clear" w:color="auto" w:fill="0066B2"/>
          </w:tcPr>
          <w:p>
            <w:pPr>
              <w:spacing w:after="0"/>
              <w:rPr>
                <w:sz w:val="14"/>
                <w:szCs w:val="14"/>
                <w:color w:val="auto"/>
              </w:rPr>
            </w:pPr>
          </w:p>
        </w:tc>
        <w:tc>
          <w:tcPr>
            <w:tcW w:w="960" w:type="dxa"/>
            <w:vAlign w:val="bottom"/>
            <w:shd w:val="clear" w:color="auto" w:fill="0066B2"/>
          </w:tcPr>
          <w:p>
            <w:pPr>
              <w:jc w:val="center"/>
              <w:spacing w:after="0"/>
              <w:rPr>
                <w:sz w:val="20"/>
                <w:szCs w:val="20"/>
                <w:color w:val="auto"/>
              </w:rPr>
            </w:pPr>
            <w:r>
              <w:rPr>
                <w:rFonts w:ascii="Arial" w:cs="Arial" w:eastAsia="Arial" w:hAnsi="Arial"/>
                <w:sz w:val="13"/>
                <w:szCs w:val="13"/>
                <w:b w:val="1"/>
                <w:bCs w:val="1"/>
                <w:color w:val="FFFFFF"/>
              </w:rPr>
              <w:t>price</w:t>
            </w:r>
          </w:p>
        </w:tc>
        <w:tc>
          <w:tcPr>
            <w:tcW w:w="440" w:type="dxa"/>
            <w:vAlign w:val="bottom"/>
            <w:vMerge w:val="continue"/>
            <w:shd w:val="clear" w:color="auto" w:fill="0066B2"/>
          </w:tcPr>
          <w:p>
            <w:pPr>
              <w:spacing w:after="0"/>
              <w:rPr>
                <w:sz w:val="14"/>
                <w:szCs w:val="14"/>
                <w:color w:val="auto"/>
              </w:rPr>
            </w:pPr>
          </w:p>
        </w:tc>
        <w:tc>
          <w:tcPr>
            <w:tcW w:w="1360" w:type="dxa"/>
            <w:vAlign w:val="bottom"/>
            <w:tcBorders>
              <w:right w:val="single" w:sz="8" w:color="7F7F7F"/>
            </w:tcBorders>
            <w:gridSpan w:val="2"/>
            <w:shd w:val="clear" w:color="auto" w:fill="0066B2"/>
          </w:tcPr>
          <w:p>
            <w:pPr>
              <w:jc w:val="right"/>
              <w:ind w:right="233"/>
              <w:spacing w:after="0"/>
              <w:rPr>
                <w:sz w:val="20"/>
                <w:szCs w:val="20"/>
                <w:color w:val="auto"/>
              </w:rPr>
            </w:pPr>
            <w:r>
              <w:rPr>
                <w:rFonts w:ascii="Arial" w:cs="Arial" w:eastAsia="Arial" w:hAnsi="Arial"/>
                <w:sz w:val="13"/>
                <w:szCs w:val="13"/>
                <w:b w:val="1"/>
                <w:bCs w:val="1"/>
                <w:color w:val="FFFFFF"/>
              </w:rPr>
              <w:t>value/payout</w:t>
            </w:r>
          </w:p>
        </w:tc>
        <w:tc>
          <w:tcPr>
            <w:tcW w:w="0" w:type="dxa"/>
            <w:vAlign w:val="bottom"/>
          </w:tcPr>
          <w:p>
            <w:pPr>
              <w:spacing w:after="0"/>
              <w:rPr>
                <w:sz w:val="1"/>
                <w:szCs w:val="1"/>
                <w:color w:val="auto"/>
              </w:rPr>
            </w:pPr>
          </w:p>
        </w:tc>
      </w:tr>
      <w:tr>
        <w:trPr>
          <w:trHeight w:val="210"/>
        </w:trPr>
        <w:tc>
          <w:tcPr>
            <w:tcW w:w="2660" w:type="dxa"/>
            <w:vAlign w:val="bottom"/>
            <w:tcBorders>
              <w:left w:val="single" w:sz="8" w:color="7F7F7F"/>
              <w:bottom w:val="single" w:sz="8" w:color="D8D8D8"/>
            </w:tcBorders>
            <w:shd w:val="clear" w:color="auto" w:fill="D8D8D8"/>
          </w:tcPr>
          <w:p>
            <w:pPr>
              <w:ind w:left="160"/>
              <w:spacing w:after="0"/>
              <w:rPr>
                <w:sz w:val="20"/>
                <w:szCs w:val="20"/>
                <w:color w:val="auto"/>
              </w:rPr>
            </w:pPr>
            <w:r>
              <w:rPr>
                <w:rFonts w:ascii="Arial" w:cs="Arial" w:eastAsia="Arial" w:hAnsi="Arial"/>
                <w:sz w:val="13"/>
                <w:szCs w:val="13"/>
                <w:color w:val="auto"/>
              </w:rPr>
              <w:t>M.K. Wirth</w:t>
            </w:r>
          </w:p>
        </w:tc>
        <w:tc>
          <w:tcPr>
            <w:tcW w:w="2620" w:type="dxa"/>
            <w:vAlign w:val="bottom"/>
            <w:tcBorders>
              <w:bottom w:val="single" w:sz="8" w:color="D8D8D8"/>
            </w:tcBorders>
            <w:shd w:val="clear" w:color="auto" w:fill="D8D8D8"/>
          </w:tcPr>
          <w:p>
            <w:pPr>
              <w:jc w:val="right"/>
              <w:ind w:right="193"/>
              <w:spacing w:after="0"/>
              <w:rPr>
                <w:sz w:val="20"/>
                <w:szCs w:val="20"/>
                <w:color w:val="auto"/>
              </w:rPr>
            </w:pPr>
            <w:r>
              <w:rPr>
                <w:rFonts w:ascii="Arial" w:cs="Arial" w:eastAsia="Arial" w:hAnsi="Arial"/>
                <w:sz w:val="13"/>
                <w:szCs w:val="13"/>
                <w:color w:val="auto"/>
              </w:rPr>
              <w:t>76,821</w:t>
            </w:r>
          </w:p>
        </w:tc>
        <w:tc>
          <w:tcPr>
            <w:tcW w:w="1260" w:type="dxa"/>
            <w:vAlign w:val="bottom"/>
            <w:tcBorders>
              <w:bottom w:val="single" w:sz="8" w:color="D8D8D8"/>
            </w:tcBorders>
            <w:shd w:val="clear" w:color="auto" w:fill="D8D8D8"/>
          </w:tcPr>
          <w:p>
            <w:pPr>
              <w:jc w:val="right"/>
              <w:ind w:right="333"/>
              <w:spacing w:after="0"/>
              <w:rPr>
                <w:sz w:val="20"/>
                <w:szCs w:val="20"/>
                <w:color w:val="auto"/>
              </w:rPr>
            </w:pPr>
            <w:r>
              <w:rPr>
                <w:rFonts w:ascii="Arial" w:cs="Arial" w:eastAsia="Arial" w:hAnsi="Arial"/>
                <w:sz w:val="13"/>
                <w:szCs w:val="13"/>
                <w:color w:val="auto"/>
              </w:rPr>
              <w:t>160%</w:t>
            </w:r>
          </w:p>
        </w:tc>
        <w:tc>
          <w:tcPr>
            <w:tcW w:w="1000" w:type="dxa"/>
            <w:vAlign w:val="bottom"/>
            <w:tcBorders>
              <w:bottom w:val="single" w:sz="8" w:color="D8D8D8"/>
            </w:tcBorders>
            <w:shd w:val="clear" w:color="auto" w:fill="D8D8D8"/>
          </w:tcPr>
          <w:p>
            <w:pPr>
              <w:jc w:val="right"/>
              <w:ind w:right="13"/>
              <w:spacing w:after="0"/>
              <w:rPr>
                <w:sz w:val="20"/>
                <w:szCs w:val="20"/>
                <w:color w:val="auto"/>
              </w:rPr>
            </w:pPr>
            <w:r>
              <w:rPr>
                <w:rFonts w:ascii="Arial" w:cs="Arial" w:eastAsia="Arial" w:hAnsi="Arial"/>
                <w:sz w:val="13"/>
                <w:szCs w:val="13"/>
                <w:color w:val="auto"/>
              </w:rPr>
              <w:t>122,914</w:t>
            </w:r>
          </w:p>
        </w:tc>
        <w:tc>
          <w:tcPr>
            <w:tcW w:w="300" w:type="dxa"/>
            <w:vAlign w:val="bottom"/>
            <w:tcBorders>
              <w:bottom w:val="single" w:sz="8" w:color="D8D8D8"/>
            </w:tcBorders>
            <w:shd w:val="clear" w:color="auto" w:fill="D8D8D8"/>
          </w:tcPr>
          <w:p>
            <w:pPr>
              <w:spacing w:after="0"/>
              <w:rPr>
                <w:sz w:val="18"/>
                <w:szCs w:val="18"/>
                <w:color w:val="auto"/>
              </w:rPr>
            </w:pPr>
          </w:p>
        </w:tc>
        <w:tc>
          <w:tcPr>
            <w:tcW w:w="96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rPr>
              <w:t>$116.66</w:t>
            </w:r>
          </w:p>
        </w:tc>
        <w:tc>
          <w:tcPr>
            <w:tcW w:w="440" w:type="dxa"/>
            <w:vAlign w:val="bottom"/>
            <w:tcBorders>
              <w:bottom w:val="single" w:sz="8" w:color="D8D8D8"/>
            </w:tcBorders>
            <w:shd w:val="clear" w:color="auto" w:fill="D8D8D8"/>
          </w:tcPr>
          <w:p>
            <w:pPr>
              <w:spacing w:after="0"/>
              <w:rPr>
                <w:sz w:val="18"/>
                <w:szCs w:val="18"/>
                <w:color w:val="auto"/>
              </w:rPr>
            </w:pPr>
          </w:p>
        </w:tc>
        <w:tc>
          <w:tcPr>
            <w:tcW w:w="4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D8D8D8"/>
              <w:right w:val="single" w:sz="8" w:color="7F7F7F"/>
            </w:tcBorders>
            <w:shd w:val="clear" w:color="auto" w:fill="D8D8D8"/>
          </w:tcPr>
          <w:p>
            <w:pPr>
              <w:jc w:val="right"/>
              <w:ind w:right="173"/>
              <w:spacing w:after="0"/>
              <w:rPr>
                <w:sz w:val="20"/>
                <w:szCs w:val="20"/>
                <w:color w:val="auto"/>
              </w:rPr>
            </w:pPr>
            <w:r>
              <w:rPr>
                <w:rFonts w:ascii="Arial" w:cs="Arial" w:eastAsia="Arial" w:hAnsi="Arial"/>
                <w:sz w:val="13"/>
                <w:szCs w:val="13"/>
                <w:color w:val="auto"/>
              </w:rPr>
              <w:t>14,339,126</w:t>
            </w:r>
          </w:p>
        </w:tc>
        <w:tc>
          <w:tcPr>
            <w:tcW w:w="0" w:type="dxa"/>
            <w:vAlign w:val="bottom"/>
          </w:tcPr>
          <w:p>
            <w:pPr>
              <w:spacing w:after="0"/>
              <w:rPr>
                <w:sz w:val="1"/>
                <w:szCs w:val="1"/>
                <w:color w:val="auto"/>
              </w:rPr>
            </w:pPr>
          </w:p>
        </w:tc>
      </w:tr>
      <w:tr>
        <w:trPr>
          <w:trHeight w:val="204"/>
        </w:trPr>
        <w:tc>
          <w:tcPr>
            <w:tcW w:w="2660" w:type="dxa"/>
            <w:vAlign w:val="bottom"/>
            <w:tcBorders>
              <w:left w:val="single" w:sz="8" w:color="7F7F7F"/>
            </w:tcBorders>
          </w:tcPr>
          <w:p>
            <w:pPr>
              <w:ind w:left="160"/>
              <w:spacing w:after="0"/>
              <w:rPr>
                <w:sz w:val="20"/>
                <w:szCs w:val="20"/>
                <w:color w:val="auto"/>
              </w:rPr>
            </w:pPr>
            <w:r>
              <w:rPr>
                <w:rFonts w:ascii="Arial" w:cs="Arial" w:eastAsia="Arial" w:hAnsi="Arial"/>
                <w:sz w:val="13"/>
                <w:szCs w:val="13"/>
                <w:color w:val="auto"/>
              </w:rPr>
              <w:t>P.R. Breber</w:t>
            </w:r>
          </w:p>
        </w:tc>
        <w:tc>
          <w:tcPr>
            <w:tcW w:w="2620" w:type="dxa"/>
            <w:vAlign w:val="bottom"/>
          </w:tcPr>
          <w:p>
            <w:pPr>
              <w:jc w:val="right"/>
              <w:ind w:right="193"/>
              <w:spacing w:after="0"/>
              <w:rPr>
                <w:sz w:val="20"/>
                <w:szCs w:val="20"/>
                <w:color w:val="auto"/>
              </w:rPr>
            </w:pPr>
            <w:r>
              <w:rPr>
                <w:rFonts w:ascii="Arial" w:cs="Arial" w:eastAsia="Arial" w:hAnsi="Arial"/>
                <w:sz w:val="13"/>
                <w:szCs w:val="13"/>
                <w:color w:val="auto"/>
              </w:rPr>
              <w:t>20,290</w:t>
            </w:r>
          </w:p>
        </w:tc>
        <w:tc>
          <w:tcPr>
            <w:tcW w:w="1260" w:type="dxa"/>
            <w:vAlign w:val="bottom"/>
          </w:tcPr>
          <w:p>
            <w:pPr>
              <w:jc w:val="right"/>
              <w:ind w:right="333"/>
              <w:spacing w:after="0"/>
              <w:rPr>
                <w:sz w:val="20"/>
                <w:szCs w:val="20"/>
                <w:color w:val="auto"/>
              </w:rPr>
            </w:pPr>
            <w:r>
              <w:rPr>
                <w:rFonts w:ascii="Arial" w:cs="Arial" w:eastAsia="Arial" w:hAnsi="Arial"/>
                <w:sz w:val="13"/>
                <w:szCs w:val="13"/>
                <w:color w:val="auto"/>
              </w:rPr>
              <w:t>160%</w:t>
            </w:r>
          </w:p>
        </w:tc>
        <w:tc>
          <w:tcPr>
            <w:tcW w:w="1000" w:type="dxa"/>
            <w:vAlign w:val="bottom"/>
          </w:tcPr>
          <w:p>
            <w:pPr>
              <w:jc w:val="right"/>
              <w:ind w:right="13"/>
              <w:spacing w:after="0"/>
              <w:rPr>
                <w:sz w:val="20"/>
                <w:szCs w:val="20"/>
                <w:color w:val="auto"/>
              </w:rPr>
            </w:pPr>
            <w:r>
              <w:rPr>
                <w:rFonts w:ascii="Arial" w:cs="Arial" w:eastAsia="Arial" w:hAnsi="Arial"/>
                <w:sz w:val="13"/>
                <w:szCs w:val="13"/>
                <w:color w:val="auto"/>
              </w:rPr>
              <w:t>32,465</w:t>
            </w:r>
          </w:p>
        </w:tc>
        <w:tc>
          <w:tcPr>
            <w:tcW w:w="3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rPr>
              <w:t>$116.66</w:t>
            </w:r>
          </w:p>
        </w:tc>
        <w:tc>
          <w:tcPr>
            <w:tcW w:w="4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7F7F7F"/>
            </w:tcBorders>
          </w:tcPr>
          <w:p>
            <w:pPr>
              <w:jc w:val="right"/>
              <w:ind w:right="173"/>
              <w:spacing w:after="0"/>
              <w:rPr>
                <w:sz w:val="20"/>
                <w:szCs w:val="20"/>
                <w:color w:val="auto"/>
              </w:rPr>
            </w:pPr>
            <w:r>
              <w:rPr>
                <w:rFonts w:ascii="Arial" w:cs="Arial" w:eastAsia="Arial" w:hAnsi="Arial"/>
                <w:sz w:val="13"/>
                <w:szCs w:val="13"/>
                <w:color w:val="auto"/>
              </w:rPr>
              <w:t>3,787,327</w:t>
            </w:r>
          </w:p>
        </w:tc>
        <w:tc>
          <w:tcPr>
            <w:tcW w:w="0" w:type="dxa"/>
            <w:vAlign w:val="bottom"/>
          </w:tcPr>
          <w:p>
            <w:pPr>
              <w:spacing w:after="0"/>
              <w:rPr>
                <w:sz w:val="1"/>
                <w:szCs w:val="1"/>
                <w:color w:val="auto"/>
              </w:rPr>
            </w:pPr>
          </w:p>
        </w:tc>
      </w:tr>
      <w:tr>
        <w:trPr>
          <w:trHeight w:val="26"/>
        </w:trPr>
        <w:tc>
          <w:tcPr>
            <w:tcW w:w="2660" w:type="dxa"/>
            <w:vAlign w:val="bottom"/>
            <w:tcBorders>
              <w:left w:val="single" w:sz="8" w:color="7F7F7F"/>
            </w:tcBorders>
          </w:tcPr>
          <w:p>
            <w:pPr>
              <w:spacing w:after="0"/>
              <w:rPr>
                <w:sz w:val="2"/>
                <w:szCs w:val="2"/>
                <w:color w:val="auto"/>
              </w:rPr>
            </w:pPr>
          </w:p>
        </w:tc>
        <w:tc>
          <w:tcPr>
            <w:tcW w:w="2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Borders>
              <w:right w:val="single" w:sz="8" w:color="7F7F7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660" w:type="dxa"/>
            <w:vAlign w:val="bottom"/>
            <w:tcBorders>
              <w:left w:val="single" w:sz="8" w:color="7F7F7F"/>
              <w:bottom w:val="single" w:sz="8" w:color="D8D8D8"/>
            </w:tcBorders>
            <w:shd w:val="clear" w:color="auto" w:fill="D8D8D8"/>
          </w:tcPr>
          <w:p>
            <w:pPr>
              <w:ind w:left="160"/>
              <w:spacing w:after="0"/>
              <w:rPr>
                <w:sz w:val="20"/>
                <w:szCs w:val="20"/>
                <w:color w:val="auto"/>
              </w:rPr>
            </w:pPr>
            <w:r>
              <w:rPr>
                <w:rFonts w:ascii="Arial" w:cs="Arial" w:eastAsia="Arial" w:hAnsi="Arial"/>
                <w:sz w:val="13"/>
                <w:szCs w:val="13"/>
                <w:color w:val="auto"/>
              </w:rPr>
              <w:t>J.W. Johnson</w:t>
            </w:r>
          </w:p>
        </w:tc>
        <w:tc>
          <w:tcPr>
            <w:tcW w:w="2620" w:type="dxa"/>
            <w:vAlign w:val="bottom"/>
            <w:tcBorders>
              <w:bottom w:val="single" w:sz="8" w:color="D8D8D8"/>
            </w:tcBorders>
            <w:shd w:val="clear" w:color="auto" w:fill="D8D8D8"/>
          </w:tcPr>
          <w:p>
            <w:pPr>
              <w:jc w:val="right"/>
              <w:ind w:right="193"/>
              <w:spacing w:after="0"/>
              <w:rPr>
                <w:sz w:val="20"/>
                <w:szCs w:val="20"/>
                <w:color w:val="auto"/>
              </w:rPr>
            </w:pPr>
            <w:r>
              <w:rPr>
                <w:rFonts w:ascii="Arial" w:cs="Arial" w:eastAsia="Arial" w:hAnsi="Arial"/>
                <w:sz w:val="13"/>
                <w:szCs w:val="13"/>
                <w:color w:val="auto"/>
              </w:rPr>
              <w:t>26,367</w:t>
            </w:r>
          </w:p>
        </w:tc>
        <w:tc>
          <w:tcPr>
            <w:tcW w:w="1260" w:type="dxa"/>
            <w:vAlign w:val="bottom"/>
            <w:tcBorders>
              <w:bottom w:val="single" w:sz="8" w:color="D8D8D8"/>
            </w:tcBorders>
            <w:shd w:val="clear" w:color="auto" w:fill="D8D8D8"/>
          </w:tcPr>
          <w:p>
            <w:pPr>
              <w:jc w:val="right"/>
              <w:ind w:right="333"/>
              <w:spacing w:after="0"/>
              <w:rPr>
                <w:sz w:val="20"/>
                <w:szCs w:val="20"/>
                <w:color w:val="auto"/>
              </w:rPr>
            </w:pPr>
            <w:r>
              <w:rPr>
                <w:rFonts w:ascii="Arial" w:cs="Arial" w:eastAsia="Arial" w:hAnsi="Arial"/>
                <w:sz w:val="13"/>
                <w:szCs w:val="13"/>
                <w:color w:val="auto"/>
              </w:rPr>
              <w:t>160%</w:t>
            </w:r>
          </w:p>
        </w:tc>
        <w:tc>
          <w:tcPr>
            <w:tcW w:w="1000" w:type="dxa"/>
            <w:vAlign w:val="bottom"/>
            <w:tcBorders>
              <w:bottom w:val="single" w:sz="8" w:color="D8D8D8"/>
            </w:tcBorders>
            <w:shd w:val="clear" w:color="auto" w:fill="D8D8D8"/>
          </w:tcPr>
          <w:p>
            <w:pPr>
              <w:jc w:val="right"/>
              <w:ind w:right="13"/>
              <w:spacing w:after="0"/>
              <w:rPr>
                <w:sz w:val="20"/>
                <w:szCs w:val="20"/>
                <w:color w:val="auto"/>
              </w:rPr>
            </w:pPr>
            <w:r>
              <w:rPr>
                <w:rFonts w:ascii="Arial" w:cs="Arial" w:eastAsia="Arial" w:hAnsi="Arial"/>
                <w:sz w:val="13"/>
                <w:szCs w:val="13"/>
                <w:color w:val="auto"/>
              </w:rPr>
              <w:t>42,187</w:t>
            </w:r>
          </w:p>
        </w:tc>
        <w:tc>
          <w:tcPr>
            <w:tcW w:w="300" w:type="dxa"/>
            <w:vAlign w:val="bottom"/>
            <w:tcBorders>
              <w:bottom w:val="single" w:sz="8" w:color="D8D8D8"/>
            </w:tcBorders>
            <w:shd w:val="clear" w:color="auto" w:fill="D8D8D8"/>
          </w:tcPr>
          <w:p>
            <w:pPr>
              <w:spacing w:after="0"/>
              <w:rPr>
                <w:sz w:val="18"/>
                <w:szCs w:val="18"/>
                <w:color w:val="auto"/>
              </w:rPr>
            </w:pPr>
          </w:p>
        </w:tc>
        <w:tc>
          <w:tcPr>
            <w:tcW w:w="96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rPr>
              <w:t>$116.66</w:t>
            </w:r>
          </w:p>
        </w:tc>
        <w:tc>
          <w:tcPr>
            <w:tcW w:w="440" w:type="dxa"/>
            <w:vAlign w:val="bottom"/>
            <w:tcBorders>
              <w:bottom w:val="single" w:sz="8" w:color="D8D8D8"/>
            </w:tcBorders>
            <w:shd w:val="clear" w:color="auto" w:fill="D8D8D8"/>
          </w:tcPr>
          <w:p>
            <w:pPr>
              <w:spacing w:after="0"/>
              <w:rPr>
                <w:sz w:val="18"/>
                <w:szCs w:val="18"/>
                <w:color w:val="auto"/>
              </w:rPr>
            </w:pPr>
          </w:p>
        </w:tc>
        <w:tc>
          <w:tcPr>
            <w:tcW w:w="4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D8D8D8"/>
              <w:right w:val="single" w:sz="8" w:color="7F7F7F"/>
            </w:tcBorders>
            <w:shd w:val="clear" w:color="auto" w:fill="D8D8D8"/>
          </w:tcPr>
          <w:p>
            <w:pPr>
              <w:jc w:val="right"/>
              <w:ind w:right="173"/>
              <w:spacing w:after="0"/>
              <w:rPr>
                <w:sz w:val="20"/>
                <w:szCs w:val="20"/>
                <w:color w:val="auto"/>
              </w:rPr>
            </w:pPr>
            <w:r>
              <w:rPr>
                <w:rFonts w:ascii="Arial" w:cs="Arial" w:eastAsia="Arial" w:hAnsi="Arial"/>
                <w:sz w:val="13"/>
                <w:szCs w:val="13"/>
                <w:color w:val="auto"/>
              </w:rPr>
              <w:t>4,921,580</w:t>
            </w:r>
          </w:p>
        </w:tc>
        <w:tc>
          <w:tcPr>
            <w:tcW w:w="0" w:type="dxa"/>
            <w:vAlign w:val="bottom"/>
          </w:tcPr>
          <w:p>
            <w:pPr>
              <w:spacing w:after="0"/>
              <w:rPr>
                <w:sz w:val="1"/>
                <w:szCs w:val="1"/>
                <w:color w:val="auto"/>
              </w:rPr>
            </w:pPr>
          </w:p>
        </w:tc>
      </w:tr>
      <w:tr>
        <w:trPr>
          <w:trHeight w:val="204"/>
        </w:trPr>
        <w:tc>
          <w:tcPr>
            <w:tcW w:w="2660" w:type="dxa"/>
            <w:vAlign w:val="bottom"/>
            <w:tcBorders>
              <w:left w:val="single" w:sz="8" w:color="7F7F7F"/>
            </w:tcBorders>
          </w:tcPr>
          <w:p>
            <w:pPr>
              <w:ind w:left="160"/>
              <w:spacing w:after="0"/>
              <w:rPr>
                <w:sz w:val="20"/>
                <w:szCs w:val="20"/>
                <w:color w:val="auto"/>
              </w:rPr>
            </w:pPr>
            <w:r>
              <w:rPr>
                <w:rFonts w:ascii="Arial" w:cs="Arial" w:eastAsia="Arial" w:hAnsi="Arial"/>
                <w:sz w:val="13"/>
                <w:szCs w:val="13"/>
                <w:color w:val="auto"/>
              </w:rPr>
              <w:t>J.C. Geagea</w:t>
            </w:r>
          </w:p>
        </w:tc>
        <w:tc>
          <w:tcPr>
            <w:tcW w:w="2620" w:type="dxa"/>
            <w:vAlign w:val="bottom"/>
          </w:tcPr>
          <w:p>
            <w:pPr>
              <w:jc w:val="right"/>
              <w:ind w:right="193"/>
              <w:spacing w:after="0"/>
              <w:rPr>
                <w:sz w:val="20"/>
                <w:szCs w:val="20"/>
                <w:color w:val="auto"/>
              </w:rPr>
            </w:pPr>
            <w:r>
              <w:rPr>
                <w:rFonts w:ascii="Arial" w:cs="Arial" w:eastAsia="Arial" w:hAnsi="Arial"/>
                <w:sz w:val="13"/>
                <w:szCs w:val="13"/>
                <w:color w:val="auto"/>
              </w:rPr>
              <w:t>20,290</w:t>
            </w:r>
          </w:p>
        </w:tc>
        <w:tc>
          <w:tcPr>
            <w:tcW w:w="1260" w:type="dxa"/>
            <w:vAlign w:val="bottom"/>
          </w:tcPr>
          <w:p>
            <w:pPr>
              <w:jc w:val="right"/>
              <w:ind w:right="333"/>
              <w:spacing w:after="0"/>
              <w:rPr>
                <w:sz w:val="20"/>
                <w:szCs w:val="20"/>
                <w:color w:val="auto"/>
              </w:rPr>
            </w:pPr>
            <w:r>
              <w:rPr>
                <w:rFonts w:ascii="Arial" w:cs="Arial" w:eastAsia="Arial" w:hAnsi="Arial"/>
                <w:sz w:val="13"/>
                <w:szCs w:val="13"/>
                <w:color w:val="auto"/>
              </w:rPr>
              <w:t>160%</w:t>
            </w:r>
          </w:p>
        </w:tc>
        <w:tc>
          <w:tcPr>
            <w:tcW w:w="1000" w:type="dxa"/>
            <w:vAlign w:val="bottom"/>
          </w:tcPr>
          <w:p>
            <w:pPr>
              <w:jc w:val="right"/>
              <w:ind w:right="13"/>
              <w:spacing w:after="0"/>
              <w:rPr>
                <w:sz w:val="20"/>
                <w:szCs w:val="20"/>
                <w:color w:val="auto"/>
              </w:rPr>
            </w:pPr>
            <w:r>
              <w:rPr>
                <w:rFonts w:ascii="Arial" w:cs="Arial" w:eastAsia="Arial" w:hAnsi="Arial"/>
                <w:sz w:val="13"/>
                <w:szCs w:val="13"/>
                <w:color w:val="auto"/>
              </w:rPr>
              <w:t>32,465</w:t>
            </w:r>
          </w:p>
        </w:tc>
        <w:tc>
          <w:tcPr>
            <w:tcW w:w="3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rPr>
              <w:t>$116.66</w:t>
            </w:r>
          </w:p>
        </w:tc>
        <w:tc>
          <w:tcPr>
            <w:tcW w:w="4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7F7F7F"/>
            </w:tcBorders>
          </w:tcPr>
          <w:p>
            <w:pPr>
              <w:jc w:val="right"/>
              <w:ind w:right="173"/>
              <w:spacing w:after="0"/>
              <w:rPr>
                <w:sz w:val="20"/>
                <w:szCs w:val="20"/>
                <w:color w:val="auto"/>
              </w:rPr>
            </w:pPr>
            <w:r>
              <w:rPr>
                <w:rFonts w:ascii="Arial" w:cs="Arial" w:eastAsia="Arial" w:hAnsi="Arial"/>
                <w:sz w:val="13"/>
                <w:szCs w:val="13"/>
                <w:color w:val="auto"/>
              </w:rPr>
              <w:t>3,787,327</w:t>
            </w:r>
          </w:p>
        </w:tc>
        <w:tc>
          <w:tcPr>
            <w:tcW w:w="0" w:type="dxa"/>
            <w:vAlign w:val="bottom"/>
          </w:tcPr>
          <w:p>
            <w:pPr>
              <w:spacing w:after="0"/>
              <w:rPr>
                <w:sz w:val="1"/>
                <w:szCs w:val="1"/>
                <w:color w:val="auto"/>
              </w:rPr>
            </w:pPr>
          </w:p>
        </w:tc>
      </w:tr>
      <w:tr>
        <w:trPr>
          <w:trHeight w:val="26"/>
        </w:trPr>
        <w:tc>
          <w:tcPr>
            <w:tcW w:w="2660" w:type="dxa"/>
            <w:vAlign w:val="bottom"/>
            <w:tcBorders>
              <w:left w:val="single" w:sz="8" w:color="7F7F7F"/>
            </w:tcBorders>
          </w:tcPr>
          <w:p>
            <w:pPr>
              <w:spacing w:after="0"/>
              <w:rPr>
                <w:sz w:val="2"/>
                <w:szCs w:val="2"/>
                <w:color w:val="auto"/>
              </w:rPr>
            </w:pPr>
          </w:p>
        </w:tc>
        <w:tc>
          <w:tcPr>
            <w:tcW w:w="2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Borders>
              <w:right w:val="single" w:sz="8" w:color="7F7F7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660" w:type="dxa"/>
            <w:vAlign w:val="bottom"/>
            <w:tcBorders>
              <w:left w:val="single" w:sz="8" w:color="7F7F7F"/>
              <w:bottom w:val="single" w:sz="8" w:color="D8D8D8"/>
            </w:tcBorders>
            <w:shd w:val="clear" w:color="auto" w:fill="D8D8D8"/>
          </w:tcPr>
          <w:p>
            <w:pPr>
              <w:ind w:left="160"/>
              <w:spacing w:after="0"/>
              <w:rPr>
                <w:sz w:val="20"/>
                <w:szCs w:val="20"/>
                <w:color w:val="auto"/>
              </w:rPr>
            </w:pPr>
            <w:r>
              <w:rPr>
                <w:rFonts w:ascii="Arial" w:cs="Arial" w:eastAsia="Arial" w:hAnsi="Arial"/>
                <w:sz w:val="13"/>
                <w:szCs w:val="13"/>
                <w:color w:val="auto"/>
              </w:rPr>
              <w:t>M.A. Nelson</w:t>
            </w:r>
          </w:p>
        </w:tc>
        <w:tc>
          <w:tcPr>
            <w:tcW w:w="2620" w:type="dxa"/>
            <w:vAlign w:val="bottom"/>
            <w:tcBorders>
              <w:bottom w:val="single" w:sz="8" w:color="D8D8D8"/>
            </w:tcBorders>
            <w:shd w:val="clear" w:color="auto" w:fill="D8D8D8"/>
          </w:tcPr>
          <w:p>
            <w:pPr>
              <w:jc w:val="right"/>
              <w:ind w:right="193"/>
              <w:spacing w:after="0"/>
              <w:rPr>
                <w:sz w:val="20"/>
                <w:szCs w:val="20"/>
                <w:color w:val="auto"/>
              </w:rPr>
            </w:pPr>
            <w:r>
              <w:rPr>
                <w:rFonts w:ascii="Arial" w:cs="Arial" w:eastAsia="Arial" w:hAnsi="Arial"/>
                <w:sz w:val="13"/>
                <w:szCs w:val="13"/>
                <w:color w:val="auto"/>
              </w:rPr>
              <w:t>20,290</w:t>
            </w:r>
          </w:p>
        </w:tc>
        <w:tc>
          <w:tcPr>
            <w:tcW w:w="1260" w:type="dxa"/>
            <w:vAlign w:val="bottom"/>
            <w:tcBorders>
              <w:bottom w:val="single" w:sz="8" w:color="D8D8D8"/>
            </w:tcBorders>
            <w:shd w:val="clear" w:color="auto" w:fill="D8D8D8"/>
          </w:tcPr>
          <w:p>
            <w:pPr>
              <w:jc w:val="right"/>
              <w:ind w:right="333"/>
              <w:spacing w:after="0"/>
              <w:rPr>
                <w:sz w:val="20"/>
                <w:szCs w:val="20"/>
                <w:color w:val="auto"/>
              </w:rPr>
            </w:pPr>
            <w:r>
              <w:rPr>
                <w:rFonts w:ascii="Arial" w:cs="Arial" w:eastAsia="Arial" w:hAnsi="Arial"/>
                <w:sz w:val="13"/>
                <w:szCs w:val="13"/>
                <w:color w:val="auto"/>
              </w:rPr>
              <w:t>160%</w:t>
            </w:r>
          </w:p>
        </w:tc>
        <w:tc>
          <w:tcPr>
            <w:tcW w:w="1000" w:type="dxa"/>
            <w:vAlign w:val="bottom"/>
            <w:tcBorders>
              <w:bottom w:val="single" w:sz="8" w:color="D8D8D8"/>
            </w:tcBorders>
            <w:shd w:val="clear" w:color="auto" w:fill="D8D8D8"/>
          </w:tcPr>
          <w:p>
            <w:pPr>
              <w:jc w:val="right"/>
              <w:ind w:right="13"/>
              <w:spacing w:after="0"/>
              <w:rPr>
                <w:sz w:val="20"/>
                <w:szCs w:val="20"/>
                <w:color w:val="auto"/>
              </w:rPr>
            </w:pPr>
            <w:r>
              <w:rPr>
                <w:rFonts w:ascii="Arial" w:cs="Arial" w:eastAsia="Arial" w:hAnsi="Arial"/>
                <w:sz w:val="13"/>
                <w:szCs w:val="13"/>
                <w:color w:val="auto"/>
              </w:rPr>
              <w:t>32,465</w:t>
            </w:r>
          </w:p>
        </w:tc>
        <w:tc>
          <w:tcPr>
            <w:tcW w:w="300" w:type="dxa"/>
            <w:vAlign w:val="bottom"/>
            <w:tcBorders>
              <w:bottom w:val="single" w:sz="8" w:color="D8D8D8"/>
            </w:tcBorders>
            <w:shd w:val="clear" w:color="auto" w:fill="D8D8D8"/>
          </w:tcPr>
          <w:p>
            <w:pPr>
              <w:spacing w:after="0"/>
              <w:rPr>
                <w:sz w:val="18"/>
                <w:szCs w:val="18"/>
                <w:color w:val="auto"/>
              </w:rPr>
            </w:pPr>
          </w:p>
        </w:tc>
        <w:tc>
          <w:tcPr>
            <w:tcW w:w="96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3"/>
                <w:szCs w:val="13"/>
                <w:color w:val="auto"/>
              </w:rPr>
              <w:t>$116.66</w:t>
            </w:r>
          </w:p>
        </w:tc>
        <w:tc>
          <w:tcPr>
            <w:tcW w:w="440" w:type="dxa"/>
            <w:vAlign w:val="bottom"/>
            <w:tcBorders>
              <w:bottom w:val="single" w:sz="8" w:color="D8D8D8"/>
            </w:tcBorders>
            <w:shd w:val="clear" w:color="auto" w:fill="D8D8D8"/>
          </w:tcPr>
          <w:p>
            <w:pPr>
              <w:spacing w:after="0"/>
              <w:rPr>
                <w:sz w:val="18"/>
                <w:szCs w:val="18"/>
                <w:color w:val="auto"/>
              </w:rPr>
            </w:pPr>
          </w:p>
        </w:tc>
        <w:tc>
          <w:tcPr>
            <w:tcW w:w="4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D8D8D8"/>
              <w:right w:val="single" w:sz="8" w:color="7F7F7F"/>
            </w:tcBorders>
            <w:shd w:val="clear" w:color="auto" w:fill="D8D8D8"/>
          </w:tcPr>
          <w:p>
            <w:pPr>
              <w:jc w:val="right"/>
              <w:ind w:right="173"/>
              <w:spacing w:after="0"/>
              <w:rPr>
                <w:sz w:val="20"/>
                <w:szCs w:val="20"/>
                <w:color w:val="auto"/>
              </w:rPr>
            </w:pPr>
            <w:r>
              <w:rPr>
                <w:rFonts w:ascii="Arial" w:cs="Arial" w:eastAsia="Arial" w:hAnsi="Arial"/>
                <w:sz w:val="13"/>
                <w:szCs w:val="13"/>
                <w:color w:val="auto"/>
              </w:rPr>
              <w:t>3,787,327</w:t>
            </w:r>
          </w:p>
        </w:tc>
        <w:tc>
          <w:tcPr>
            <w:tcW w:w="0" w:type="dxa"/>
            <w:vAlign w:val="bottom"/>
          </w:tcPr>
          <w:p>
            <w:pPr>
              <w:spacing w:after="0"/>
              <w:rPr>
                <w:sz w:val="1"/>
                <w:szCs w:val="1"/>
                <w:color w:val="auto"/>
              </w:rPr>
            </w:pPr>
          </w:p>
        </w:tc>
      </w:tr>
      <w:tr>
        <w:trPr>
          <w:trHeight w:val="20"/>
        </w:trPr>
        <w:tc>
          <w:tcPr>
            <w:tcW w:w="2660" w:type="dxa"/>
            <w:vAlign w:val="bottom"/>
            <w:tcBorders>
              <w:left w:val="single" w:sz="8" w:color="7F7F7F"/>
            </w:tcBorders>
            <w:shd w:val="clear" w:color="auto" w:fill="7F7F7F"/>
          </w:tcPr>
          <w:p>
            <w:pPr>
              <w:spacing w:after="0" w:line="20" w:lineRule="exact"/>
              <w:rPr>
                <w:sz w:val="1"/>
                <w:szCs w:val="1"/>
                <w:color w:val="auto"/>
              </w:rPr>
            </w:pPr>
          </w:p>
        </w:tc>
        <w:tc>
          <w:tcPr>
            <w:tcW w:w="2620" w:type="dxa"/>
            <w:vAlign w:val="bottom"/>
            <w:shd w:val="clear" w:color="auto" w:fill="7F7F7F"/>
          </w:tcPr>
          <w:p>
            <w:pPr>
              <w:spacing w:after="0" w:line="20" w:lineRule="exact"/>
              <w:rPr>
                <w:sz w:val="1"/>
                <w:szCs w:val="1"/>
                <w:color w:val="auto"/>
              </w:rPr>
            </w:pPr>
          </w:p>
        </w:tc>
        <w:tc>
          <w:tcPr>
            <w:tcW w:w="1260" w:type="dxa"/>
            <w:vAlign w:val="bottom"/>
            <w:shd w:val="clear" w:color="auto" w:fill="7F7F7F"/>
          </w:tcPr>
          <w:p>
            <w:pPr>
              <w:spacing w:after="0" w:line="20" w:lineRule="exact"/>
              <w:rPr>
                <w:sz w:val="1"/>
                <w:szCs w:val="1"/>
                <w:color w:val="auto"/>
              </w:rPr>
            </w:pPr>
          </w:p>
        </w:tc>
        <w:tc>
          <w:tcPr>
            <w:tcW w:w="1000" w:type="dxa"/>
            <w:vAlign w:val="bottom"/>
            <w:shd w:val="clear" w:color="auto" w:fill="7F7F7F"/>
          </w:tcPr>
          <w:p>
            <w:pPr>
              <w:spacing w:after="0" w:line="20" w:lineRule="exact"/>
              <w:rPr>
                <w:sz w:val="1"/>
                <w:szCs w:val="1"/>
                <w:color w:val="auto"/>
              </w:rPr>
            </w:pPr>
          </w:p>
        </w:tc>
        <w:tc>
          <w:tcPr>
            <w:tcW w:w="300" w:type="dxa"/>
            <w:vAlign w:val="bottom"/>
            <w:shd w:val="clear" w:color="auto" w:fill="7F7F7F"/>
          </w:tcPr>
          <w:p>
            <w:pPr>
              <w:spacing w:after="0" w:line="20" w:lineRule="exact"/>
              <w:rPr>
                <w:sz w:val="1"/>
                <w:szCs w:val="1"/>
                <w:color w:val="auto"/>
              </w:rPr>
            </w:pPr>
          </w:p>
        </w:tc>
        <w:tc>
          <w:tcPr>
            <w:tcW w:w="960" w:type="dxa"/>
            <w:vAlign w:val="bottom"/>
            <w:shd w:val="clear" w:color="auto" w:fill="7F7F7F"/>
          </w:tcPr>
          <w:p>
            <w:pPr>
              <w:spacing w:after="0" w:line="20" w:lineRule="exact"/>
              <w:rPr>
                <w:sz w:val="1"/>
                <w:szCs w:val="1"/>
                <w:color w:val="auto"/>
              </w:rPr>
            </w:pPr>
          </w:p>
        </w:tc>
        <w:tc>
          <w:tcPr>
            <w:tcW w:w="440" w:type="dxa"/>
            <w:vAlign w:val="bottom"/>
            <w:shd w:val="clear" w:color="auto" w:fill="7F7F7F"/>
          </w:tcPr>
          <w:p>
            <w:pPr>
              <w:spacing w:after="0" w:line="20" w:lineRule="exact"/>
              <w:rPr>
                <w:sz w:val="1"/>
                <w:szCs w:val="1"/>
                <w:color w:val="auto"/>
              </w:rPr>
            </w:pPr>
          </w:p>
        </w:tc>
        <w:tc>
          <w:tcPr>
            <w:tcW w:w="440" w:type="dxa"/>
            <w:vAlign w:val="bottom"/>
            <w:shd w:val="clear" w:color="auto" w:fill="7F7F7F"/>
          </w:tcPr>
          <w:p>
            <w:pPr>
              <w:spacing w:after="0" w:line="20" w:lineRule="exact"/>
              <w:rPr>
                <w:sz w:val="1"/>
                <w:szCs w:val="1"/>
                <w:color w:val="auto"/>
              </w:rPr>
            </w:pPr>
          </w:p>
        </w:tc>
        <w:tc>
          <w:tcPr>
            <w:tcW w:w="920" w:type="dxa"/>
            <w:vAlign w:val="bottom"/>
            <w:tcBorders>
              <w:right w:val="single" w:sz="8" w:color="7F7F7F"/>
            </w:tcBorders>
            <w:shd w:val="clear" w:color="auto" w:fill="7F7F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cash value/payout includes the value of fractional shares.</w:t>
      </w:r>
    </w:p>
    <w:p>
      <w:pPr>
        <w:spacing w:after="0" w:line="109" w:lineRule="exact"/>
        <w:rPr>
          <w:sz w:val="20"/>
          <w:szCs w:val="20"/>
          <w:color w:val="auto"/>
        </w:rPr>
      </w:pPr>
    </w:p>
    <w:p>
      <w:pPr>
        <w:ind w:left="560" w:right="160"/>
        <w:spacing w:after="0" w:line="285" w:lineRule="auto"/>
        <w:rPr>
          <w:sz w:val="20"/>
          <w:szCs w:val="20"/>
          <w:color w:val="auto"/>
        </w:rPr>
      </w:pPr>
      <w:r>
        <w:rPr>
          <w:rFonts w:ascii="Arial" w:cs="Arial" w:eastAsia="Arial" w:hAnsi="Arial"/>
          <w:sz w:val="14"/>
          <w:szCs w:val="14"/>
          <w:color w:val="auto"/>
        </w:rPr>
        <w:t>Mr. Nelson elected to defer 25% of his 2019 performance share grant, or $946,832, to the DCP. Provisions of the DCP and distribution elections are described in the footnotes to the “Nonqualified Deferred Compensation Table” in this Proxy Statement.</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Chevron Corporation – 2022 Proxy Statement</w:t>
      </w:r>
    </w:p>
    <w:p>
      <w:pPr>
        <w:sectPr>
          <w:pgSz w:w="11900" w:h="16838" w:orient="portrait"/>
          <w:cols w:equalWidth="0" w:num="1">
            <w:col w:w="11140"/>
          </w:cols>
          <w:pgMar w:left="320" w:top="455" w:right="439" w:bottom="70" w:gutter="0" w:footer="0" w:header="0"/>
        </w:sectPr>
      </w:pP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1140"/>
          </w:cols>
          <w:pgMar w:left="320" w:top="455" w:right="439" w:bottom="70" w:gutter="0" w:footer="0" w:header="0"/>
          <w:type w:val="continuous"/>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405890" cy="1454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405890" cy="145415"/>
                    </a:xfrm>
                    <a:prstGeom prst="rect">
                      <a:avLst/>
                    </a:prstGeom>
                    <a:noFill/>
                  </pic:spPr>
                </pic:pic>
              </a:graphicData>
            </a:graphic>
          </wp:anchor>
        </w:drawing>
      </w:r>
    </w:p>
    <w:p>
      <w:pPr>
        <w:spacing w:after="0" w:line="33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Executive compensation</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0B2D71"/>
        </w:rPr>
        <w:t>Restricted stock units</w:t>
      </w:r>
    </w:p>
    <w:p>
      <w:pPr>
        <w:spacing w:after="0" w:line="117" w:lineRule="exact"/>
        <w:rPr>
          <w:sz w:val="20"/>
          <w:szCs w:val="20"/>
          <w:color w:val="auto"/>
        </w:rPr>
      </w:pPr>
    </w:p>
    <w:p>
      <w:pPr>
        <w:ind w:left="560" w:right="80"/>
        <w:spacing w:after="0" w:line="250" w:lineRule="auto"/>
        <w:rPr>
          <w:sz w:val="20"/>
          <w:szCs w:val="20"/>
          <w:color w:val="auto"/>
        </w:rPr>
      </w:pPr>
      <w:r>
        <w:rPr>
          <w:rFonts w:ascii="Arial" w:cs="Arial" w:eastAsia="Arial" w:hAnsi="Arial"/>
          <w:sz w:val="14"/>
          <w:szCs w:val="14"/>
          <w:color w:val="auto"/>
        </w:rPr>
        <w:t>RSUs became part of the standard LTIP mix in 2017. These RSUs are subject to certain tax liabilities prior to vesting, when a substantial risk of forfeiture no longer exists. Generally, this event occurs when grant recipients reach age or age and service milestones. In December 2021, Chevron withheld the following RSUs from grants to pay taxes. The cash value of shares withheld includes the value of fractional shares withheld. Messrs. Wirth, Johnson, Geagea, and Nelson have more than 90 points (sum of age and years of service), and the full FICA tax obligation for the 2017, 2018 and 2019 grants were paid in prior years, when the grants were no longer subject to substantial risk of forfeiture. Mr. Breber has not yet reached 90 points, and the cash value of his shares withheld is based on the pro-rata portion of his RSUs no longer subject to substantial risk of forfeiture.</w:t>
      </w:r>
    </w:p>
    <w:p>
      <w:pPr>
        <w:spacing w:after="0" w:line="217" w:lineRule="exact"/>
        <w:rPr>
          <w:sz w:val="20"/>
          <w:szCs w:val="20"/>
          <w:color w:val="auto"/>
        </w:rPr>
      </w:pPr>
    </w:p>
    <w:tbl>
      <w:tblPr>
        <w:tblLayout w:type="fixed"/>
        <w:tblInd w:w="570" w:type="dxa"/>
        <w:tblCellMar>
          <w:top w:w="0" w:type="dxa"/>
          <w:left w:w="0" w:type="dxa"/>
          <w:bottom w:w="0" w:type="dxa"/>
          <w:right w:w="0" w:type="dxa"/>
        </w:tblCellMar>
      </w:tblPr>
      <w:tr>
        <w:trPr>
          <w:trHeight w:val="149"/>
        </w:trPr>
        <w:tc>
          <w:tcPr>
            <w:tcW w:w="2940" w:type="dxa"/>
            <w:vAlign w:val="bottom"/>
            <w:tcBorders>
              <w:left w:val="single" w:sz="8" w:color="7F7F7F"/>
            </w:tcBorders>
            <w:vMerge w:val="restart"/>
            <w:shd w:val="clear" w:color="auto" w:fill="0066B2"/>
          </w:tcPr>
          <w:p>
            <w:pPr>
              <w:ind w:left="160"/>
              <w:spacing w:after="0"/>
              <w:rPr>
                <w:sz w:val="20"/>
                <w:szCs w:val="20"/>
                <w:color w:val="auto"/>
              </w:rPr>
            </w:pPr>
            <w:r>
              <w:rPr>
                <w:rFonts w:ascii="Arial" w:cs="Arial" w:eastAsia="Arial" w:hAnsi="Arial"/>
                <w:sz w:val="13"/>
                <w:szCs w:val="13"/>
                <w:b w:val="1"/>
                <w:bCs w:val="1"/>
                <w:color w:val="FFFFFF"/>
              </w:rPr>
              <w:t>Name</w:t>
            </w:r>
          </w:p>
        </w:tc>
        <w:tc>
          <w:tcPr>
            <w:tcW w:w="1640" w:type="dxa"/>
            <w:vAlign w:val="bottom"/>
            <w:vMerge w:val="restart"/>
            <w:shd w:val="clear" w:color="auto" w:fill="0066B2"/>
          </w:tcPr>
          <w:p>
            <w:pPr>
              <w:ind w:left="380"/>
              <w:spacing w:after="0"/>
              <w:rPr>
                <w:sz w:val="20"/>
                <w:szCs w:val="20"/>
                <w:color w:val="auto"/>
              </w:rPr>
            </w:pPr>
            <w:r>
              <w:rPr>
                <w:rFonts w:ascii="Arial" w:cs="Arial" w:eastAsia="Arial" w:hAnsi="Arial"/>
                <w:sz w:val="13"/>
                <w:szCs w:val="13"/>
                <w:b w:val="1"/>
                <w:bCs w:val="1"/>
                <w:color w:val="FFFFFF"/>
              </w:rPr>
              <w:t>Shares withheld</w:t>
            </w:r>
          </w:p>
        </w:tc>
        <w:tc>
          <w:tcPr>
            <w:tcW w:w="1160" w:type="dxa"/>
            <w:vAlign w:val="bottom"/>
            <w:shd w:val="clear" w:color="auto" w:fill="0066B2"/>
          </w:tcPr>
          <w:p>
            <w:pPr>
              <w:jc w:val="right"/>
              <w:ind w:right="433"/>
              <w:spacing w:after="0"/>
              <w:rPr>
                <w:sz w:val="20"/>
                <w:szCs w:val="20"/>
                <w:color w:val="auto"/>
              </w:rPr>
            </w:pPr>
            <w:r>
              <w:rPr>
                <w:rFonts w:ascii="Arial" w:cs="Arial" w:eastAsia="Arial" w:hAnsi="Arial"/>
                <w:sz w:val="13"/>
                <w:szCs w:val="13"/>
                <w:b w:val="1"/>
                <w:bCs w:val="1"/>
                <w:color w:val="FFFFFF"/>
              </w:rPr>
              <w:t>Grant</w:t>
            </w:r>
          </w:p>
        </w:tc>
        <w:tc>
          <w:tcPr>
            <w:tcW w:w="1360" w:type="dxa"/>
            <w:vAlign w:val="bottom"/>
            <w:shd w:val="clear" w:color="auto" w:fill="0066B2"/>
          </w:tcPr>
          <w:p>
            <w:pPr>
              <w:ind w:left="380"/>
              <w:spacing w:after="0"/>
              <w:rPr>
                <w:sz w:val="20"/>
                <w:szCs w:val="20"/>
                <w:color w:val="auto"/>
              </w:rPr>
            </w:pPr>
            <w:r>
              <w:rPr>
                <w:rFonts w:ascii="Arial" w:cs="Arial" w:eastAsia="Arial" w:hAnsi="Arial"/>
                <w:sz w:val="13"/>
                <w:szCs w:val="13"/>
                <w:b w:val="1"/>
                <w:bCs w:val="1"/>
                <w:color w:val="FFFFFF"/>
              </w:rPr>
              <w:t>Valuation</w:t>
            </w:r>
          </w:p>
        </w:tc>
        <w:tc>
          <w:tcPr>
            <w:tcW w:w="500" w:type="dxa"/>
            <w:vAlign w:val="bottom"/>
            <w:shd w:val="clear" w:color="auto" w:fill="0066B2"/>
          </w:tcPr>
          <w:p>
            <w:pPr>
              <w:spacing w:after="0"/>
              <w:rPr>
                <w:sz w:val="13"/>
                <w:szCs w:val="13"/>
                <w:color w:val="auto"/>
              </w:rPr>
            </w:pPr>
          </w:p>
        </w:tc>
        <w:tc>
          <w:tcPr>
            <w:tcW w:w="1340" w:type="dxa"/>
            <w:vAlign w:val="bottom"/>
            <w:shd w:val="clear" w:color="auto" w:fill="0066B2"/>
          </w:tcPr>
          <w:p>
            <w:pPr>
              <w:jc w:val="right"/>
              <w:ind w:right="513"/>
              <w:spacing w:after="0"/>
              <w:rPr>
                <w:sz w:val="20"/>
                <w:szCs w:val="20"/>
                <w:color w:val="auto"/>
              </w:rPr>
            </w:pPr>
            <w:r>
              <w:rPr>
                <w:rFonts w:ascii="Arial" w:cs="Arial" w:eastAsia="Arial" w:hAnsi="Arial"/>
                <w:sz w:val="13"/>
                <w:szCs w:val="13"/>
                <w:b w:val="1"/>
                <w:bCs w:val="1"/>
                <w:color w:val="FFFFFF"/>
              </w:rPr>
              <w:t>Price used</w:t>
            </w:r>
          </w:p>
        </w:tc>
        <w:tc>
          <w:tcPr>
            <w:tcW w:w="1660" w:type="dxa"/>
            <w:vAlign w:val="bottom"/>
            <w:tcBorders>
              <w:right w:val="single" w:sz="8" w:color="7F7F7F"/>
            </w:tcBorders>
            <w:gridSpan w:val="2"/>
            <w:shd w:val="clear" w:color="auto" w:fill="0066B2"/>
          </w:tcPr>
          <w:p>
            <w:pPr>
              <w:jc w:val="center"/>
              <w:spacing w:after="0"/>
              <w:rPr>
                <w:sz w:val="20"/>
                <w:szCs w:val="20"/>
                <w:color w:val="auto"/>
              </w:rPr>
            </w:pPr>
            <w:r>
              <w:rPr>
                <w:rFonts w:ascii="Arial" w:cs="Arial" w:eastAsia="Arial" w:hAnsi="Arial"/>
                <w:sz w:val="13"/>
                <w:szCs w:val="13"/>
                <w:b w:val="1"/>
                <w:bCs w:val="1"/>
                <w:color w:val="FFFFFF"/>
              </w:rPr>
              <w:t>Cash value of</w:t>
            </w:r>
          </w:p>
        </w:tc>
        <w:tc>
          <w:tcPr>
            <w:tcW w:w="0" w:type="dxa"/>
            <w:vAlign w:val="bottom"/>
          </w:tcPr>
          <w:p>
            <w:pPr>
              <w:spacing w:after="0"/>
              <w:rPr>
                <w:sz w:val="1"/>
                <w:szCs w:val="1"/>
                <w:color w:val="auto"/>
              </w:rPr>
            </w:pPr>
          </w:p>
        </w:tc>
      </w:tr>
      <w:tr>
        <w:trPr>
          <w:trHeight w:val="175"/>
        </w:trPr>
        <w:tc>
          <w:tcPr>
            <w:tcW w:w="2940" w:type="dxa"/>
            <w:vAlign w:val="bottom"/>
            <w:tcBorders>
              <w:left w:val="single" w:sz="8" w:color="7F7F7F"/>
            </w:tcBorders>
            <w:vMerge w:val="continue"/>
            <w:shd w:val="clear" w:color="auto" w:fill="0066B2"/>
          </w:tcPr>
          <w:p>
            <w:pPr>
              <w:spacing w:after="0"/>
              <w:rPr>
                <w:sz w:val="15"/>
                <w:szCs w:val="15"/>
                <w:color w:val="auto"/>
              </w:rPr>
            </w:pPr>
          </w:p>
        </w:tc>
        <w:tc>
          <w:tcPr>
            <w:tcW w:w="1640" w:type="dxa"/>
            <w:vAlign w:val="bottom"/>
            <w:vMerge w:val="continue"/>
            <w:shd w:val="clear" w:color="auto" w:fill="0066B2"/>
          </w:tcPr>
          <w:p>
            <w:pPr>
              <w:spacing w:after="0"/>
              <w:rPr>
                <w:sz w:val="15"/>
                <w:szCs w:val="15"/>
                <w:color w:val="auto"/>
              </w:rPr>
            </w:pPr>
          </w:p>
        </w:tc>
        <w:tc>
          <w:tcPr>
            <w:tcW w:w="1160" w:type="dxa"/>
            <w:vAlign w:val="bottom"/>
            <w:shd w:val="clear" w:color="auto" w:fill="0066B2"/>
          </w:tcPr>
          <w:p>
            <w:pPr>
              <w:jc w:val="right"/>
              <w:ind w:right="473"/>
              <w:spacing w:after="0"/>
              <w:rPr>
                <w:sz w:val="20"/>
                <w:szCs w:val="20"/>
                <w:color w:val="auto"/>
              </w:rPr>
            </w:pPr>
            <w:r>
              <w:rPr>
                <w:rFonts w:ascii="Arial" w:cs="Arial" w:eastAsia="Arial" w:hAnsi="Arial"/>
                <w:sz w:val="13"/>
                <w:szCs w:val="13"/>
                <w:b w:val="1"/>
                <w:bCs w:val="1"/>
                <w:color w:val="FFFFFF"/>
              </w:rPr>
              <w:t>date</w:t>
            </w:r>
          </w:p>
        </w:tc>
        <w:tc>
          <w:tcPr>
            <w:tcW w:w="1360" w:type="dxa"/>
            <w:vAlign w:val="bottom"/>
            <w:shd w:val="clear" w:color="auto" w:fill="0066B2"/>
          </w:tcPr>
          <w:p>
            <w:pPr>
              <w:ind w:left="540"/>
              <w:spacing w:after="0"/>
              <w:rPr>
                <w:sz w:val="20"/>
                <w:szCs w:val="20"/>
                <w:color w:val="auto"/>
              </w:rPr>
            </w:pPr>
            <w:r>
              <w:rPr>
                <w:rFonts w:ascii="Arial" w:cs="Arial" w:eastAsia="Arial" w:hAnsi="Arial"/>
                <w:sz w:val="13"/>
                <w:szCs w:val="13"/>
                <w:b w:val="1"/>
                <w:bCs w:val="1"/>
                <w:color w:val="FFFFFF"/>
              </w:rPr>
              <w:t>date</w:t>
            </w:r>
          </w:p>
        </w:tc>
        <w:tc>
          <w:tcPr>
            <w:tcW w:w="1840" w:type="dxa"/>
            <w:vAlign w:val="bottom"/>
            <w:gridSpan w:val="2"/>
            <w:shd w:val="clear" w:color="auto" w:fill="0066B2"/>
          </w:tcPr>
          <w:p>
            <w:pPr>
              <w:ind w:left="340"/>
              <w:spacing w:after="0"/>
              <w:rPr>
                <w:sz w:val="20"/>
                <w:szCs w:val="20"/>
                <w:color w:val="auto"/>
              </w:rPr>
            </w:pPr>
            <w:r>
              <w:rPr>
                <w:rFonts w:ascii="Arial" w:cs="Arial" w:eastAsia="Arial" w:hAnsi="Arial"/>
                <w:sz w:val="13"/>
                <w:szCs w:val="13"/>
                <w:b w:val="1"/>
                <w:bCs w:val="1"/>
                <w:color w:val="FFFFFF"/>
              </w:rPr>
              <w:t>to value shares</w:t>
            </w:r>
            <w:r>
              <w:rPr>
                <w:rFonts w:ascii="Arial" w:cs="Arial" w:eastAsia="Arial" w:hAnsi="Arial"/>
                <w:sz w:val="11"/>
                <w:szCs w:val="11"/>
                <w:b w:val="1"/>
                <w:bCs w:val="1"/>
                <w:color w:val="FFFFFF"/>
              </w:rPr>
              <w:t>(a)</w:t>
            </w:r>
          </w:p>
        </w:tc>
        <w:tc>
          <w:tcPr>
            <w:tcW w:w="1660" w:type="dxa"/>
            <w:vAlign w:val="bottom"/>
            <w:tcBorders>
              <w:right w:val="single" w:sz="8" w:color="7F7F7F"/>
            </w:tcBorders>
            <w:gridSpan w:val="2"/>
            <w:shd w:val="clear" w:color="auto" w:fill="0066B2"/>
          </w:tcPr>
          <w:p>
            <w:pPr>
              <w:jc w:val="center"/>
              <w:spacing w:after="0"/>
              <w:rPr>
                <w:sz w:val="20"/>
                <w:szCs w:val="20"/>
                <w:color w:val="auto"/>
              </w:rPr>
            </w:pPr>
            <w:r>
              <w:rPr>
                <w:rFonts w:ascii="Arial" w:cs="Arial" w:eastAsia="Arial" w:hAnsi="Arial"/>
                <w:sz w:val="13"/>
                <w:szCs w:val="13"/>
                <w:b w:val="1"/>
                <w:bCs w:val="1"/>
                <w:color w:val="FFFFFF"/>
              </w:rPr>
              <w:t>shares withheld</w:t>
            </w:r>
          </w:p>
        </w:tc>
        <w:tc>
          <w:tcPr>
            <w:tcW w:w="0" w:type="dxa"/>
            <w:vAlign w:val="bottom"/>
          </w:tcPr>
          <w:p>
            <w:pPr>
              <w:spacing w:after="0"/>
              <w:rPr>
                <w:sz w:val="1"/>
                <w:szCs w:val="1"/>
                <w:color w:val="auto"/>
              </w:rPr>
            </w:pPr>
          </w:p>
        </w:tc>
      </w:tr>
      <w:tr>
        <w:trPr>
          <w:trHeight w:val="196"/>
        </w:trPr>
        <w:tc>
          <w:tcPr>
            <w:tcW w:w="2940" w:type="dxa"/>
            <w:vAlign w:val="bottom"/>
            <w:tcBorders>
              <w:left w:val="single" w:sz="8" w:color="7F7F7F"/>
              <w:bottom w:val="single" w:sz="8" w:color="D8D8D8"/>
            </w:tcBorders>
            <w:shd w:val="clear" w:color="auto" w:fill="D8D8D8"/>
          </w:tcPr>
          <w:p>
            <w:pPr>
              <w:ind w:left="160"/>
              <w:spacing w:after="0"/>
              <w:rPr>
                <w:sz w:val="20"/>
                <w:szCs w:val="20"/>
                <w:color w:val="auto"/>
              </w:rPr>
            </w:pPr>
            <w:r>
              <w:rPr>
                <w:rFonts w:ascii="Arial" w:cs="Arial" w:eastAsia="Arial" w:hAnsi="Arial"/>
                <w:sz w:val="13"/>
                <w:szCs w:val="13"/>
                <w:color w:val="auto"/>
              </w:rPr>
              <w:t>M.K. Wirth</w:t>
            </w:r>
          </w:p>
        </w:tc>
        <w:tc>
          <w:tcPr>
            <w:tcW w:w="1640" w:type="dxa"/>
            <w:vAlign w:val="bottom"/>
            <w:tcBorders>
              <w:bottom w:val="single" w:sz="8" w:color="D8D8D8"/>
            </w:tcBorders>
            <w:shd w:val="clear" w:color="auto" w:fill="D8D8D8"/>
          </w:tcPr>
          <w:p>
            <w:pPr>
              <w:jc w:val="center"/>
              <w:ind w:left="113"/>
              <w:spacing w:after="0"/>
              <w:rPr>
                <w:sz w:val="20"/>
                <w:szCs w:val="20"/>
                <w:color w:val="auto"/>
              </w:rPr>
            </w:pPr>
            <w:r>
              <w:rPr>
                <w:rFonts w:ascii="Arial" w:cs="Arial" w:eastAsia="Arial" w:hAnsi="Arial"/>
                <w:sz w:val="13"/>
                <w:szCs w:val="13"/>
                <w:color w:val="auto"/>
              </w:rPr>
              <w:t>1,740</w:t>
            </w:r>
          </w:p>
        </w:tc>
        <w:tc>
          <w:tcPr>
            <w:tcW w:w="1160" w:type="dxa"/>
            <w:vAlign w:val="bottom"/>
            <w:tcBorders>
              <w:bottom w:val="single" w:sz="8" w:color="D8D8D8"/>
            </w:tcBorders>
            <w:shd w:val="clear" w:color="auto" w:fill="D8D8D8"/>
          </w:tcPr>
          <w:p>
            <w:pPr>
              <w:jc w:val="right"/>
              <w:ind w:right="293"/>
              <w:spacing w:after="0"/>
              <w:rPr>
                <w:sz w:val="20"/>
                <w:szCs w:val="20"/>
                <w:color w:val="auto"/>
              </w:rPr>
            </w:pPr>
            <w:r>
              <w:rPr>
                <w:rFonts w:ascii="Arial" w:cs="Arial" w:eastAsia="Arial" w:hAnsi="Arial"/>
                <w:sz w:val="13"/>
                <w:szCs w:val="13"/>
                <w:color w:val="auto"/>
              </w:rPr>
              <w:t>1/29/2020</w:t>
            </w:r>
          </w:p>
        </w:tc>
        <w:tc>
          <w:tcPr>
            <w:tcW w:w="1360" w:type="dxa"/>
            <w:vAlign w:val="bottom"/>
            <w:tcBorders>
              <w:bottom w:val="single" w:sz="8" w:color="D8D8D8"/>
            </w:tcBorders>
            <w:shd w:val="clear" w:color="auto" w:fill="D8D8D8"/>
          </w:tcPr>
          <w:p>
            <w:pPr>
              <w:ind w:left="360"/>
              <w:spacing w:after="0"/>
              <w:rPr>
                <w:sz w:val="20"/>
                <w:szCs w:val="20"/>
                <w:color w:val="auto"/>
              </w:rPr>
            </w:pPr>
            <w:r>
              <w:rPr>
                <w:rFonts w:ascii="Arial" w:cs="Arial" w:eastAsia="Arial" w:hAnsi="Arial"/>
                <w:sz w:val="13"/>
                <w:szCs w:val="13"/>
                <w:color w:val="auto"/>
              </w:rPr>
              <w:t>12/17/2021</w:t>
            </w:r>
          </w:p>
        </w:tc>
        <w:tc>
          <w:tcPr>
            <w:tcW w:w="500" w:type="dxa"/>
            <w:vAlign w:val="bottom"/>
            <w:tcBorders>
              <w:bottom w:val="single" w:sz="8" w:color="D8D8D8"/>
            </w:tcBorders>
            <w:shd w:val="clear" w:color="auto" w:fill="D8D8D8"/>
          </w:tcPr>
          <w:p>
            <w:pPr>
              <w:ind w:left="340"/>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D8D8D8"/>
            </w:tcBorders>
            <w:shd w:val="clear" w:color="auto" w:fill="D8D8D8"/>
          </w:tcPr>
          <w:p>
            <w:pPr>
              <w:jc w:val="right"/>
              <w:ind w:right="573"/>
              <w:spacing w:after="0"/>
              <w:rPr>
                <w:sz w:val="20"/>
                <w:szCs w:val="20"/>
                <w:color w:val="auto"/>
              </w:rPr>
            </w:pPr>
            <w:r>
              <w:rPr>
                <w:rFonts w:ascii="Arial" w:cs="Arial" w:eastAsia="Arial" w:hAnsi="Arial"/>
                <w:sz w:val="13"/>
                <w:szCs w:val="13"/>
                <w:color w:val="auto"/>
              </w:rPr>
              <w:t>113.60</w:t>
            </w:r>
          </w:p>
        </w:tc>
        <w:tc>
          <w:tcPr>
            <w:tcW w:w="860" w:type="dxa"/>
            <w:vAlign w:val="bottom"/>
            <w:tcBorders>
              <w:bottom w:val="single" w:sz="8" w:color="D8D8D8"/>
            </w:tcBorders>
            <w:shd w:val="clear" w:color="auto" w:fill="D8D8D8"/>
          </w:tcPr>
          <w:p>
            <w:pPr>
              <w:jc w:val="center"/>
              <w:ind w:left="7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8D8D8"/>
              <w:right w:val="single" w:sz="8" w:color="7F7F7F"/>
            </w:tcBorders>
            <w:shd w:val="clear" w:color="auto" w:fill="D8D8D8"/>
          </w:tcPr>
          <w:p>
            <w:pPr>
              <w:jc w:val="right"/>
              <w:ind w:right="253"/>
              <w:spacing w:after="0"/>
              <w:rPr>
                <w:sz w:val="20"/>
                <w:szCs w:val="20"/>
                <w:color w:val="auto"/>
              </w:rPr>
            </w:pPr>
            <w:r>
              <w:rPr>
                <w:rFonts w:ascii="Arial" w:cs="Arial" w:eastAsia="Arial" w:hAnsi="Arial"/>
                <w:sz w:val="13"/>
                <w:szCs w:val="13"/>
                <w:color w:val="auto"/>
                <w:w w:val="97"/>
              </w:rPr>
              <w:t>197,720</w:t>
            </w:r>
          </w:p>
        </w:tc>
        <w:tc>
          <w:tcPr>
            <w:tcW w:w="0" w:type="dxa"/>
            <w:vAlign w:val="bottom"/>
          </w:tcPr>
          <w:p>
            <w:pPr>
              <w:spacing w:after="0"/>
              <w:rPr>
                <w:sz w:val="1"/>
                <w:szCs w:val="1"/>
                <w:color w:val="auto"/>
              </w:rPr>
            </w:pPr>
          </w:p>
        </w:tc>
      </w:tr>
      <w:tr>
        <w:trPr>
          <w:trHeight w:val="177"/>
        </w:trPr>
        <w:tc>
          <w:tcPr>
            <w:tcW w:w="2940" w:type="dxa"/>
            <w:vAlign w:val="bottom"/>
            <w:tcBorders>
              <w:left w:val="single" w:sz="8" w:color="7F7F7F"/>
            </w:tcBorders>
          </w:tcPr>
          <w:p>
            <w:pPr>
              <w:ind w:left="160"/>
              <w:spacing w:after="0"/>
              <w:rPr>
                <w:sz w:val="20"/>
                <w:szCs w:val="20"/>
                <w:color w:val="auto"/>
              </w:rPr>
            </w:pPr>
            <w:r>
              <w:rPr>
                <w:rFonts w:ascii="Arial" w:cs="Arial" w:eastAsia="Arial" w:hAnsi="Arial"/>
                <w:sz w:val="13"/>
                <w:szCs w:val="13"/>
                <w:color w:val="auto"/>
              </w:rPr>
              <w:t>P.R. Breber</w:t>
            </w:r>
          </w:p>
        </w:tc>
        <w:tc>
          <w:tcPr>
            <w:tcW w:w="1640" w:type="dxa"/>
            <w:vAlign w:val="bottom"/>
          </w:tcPr>
          <w:p>
            <w:pPr>
              <w:jc w:val="center"/>
              <w:ind w:left="93"/>
              <w:spacing w:after="0"/>
              <w:rPr>
                <w:sz w:val="20"/>
                <w:szCs w:val="20"/>
                <w:color w:val="auto"/>
              </w:rPr>
            </w:pPr>
            <w:r>
              <w:rPr>
                <w:rFonts w:ascii="Arial" w:cs="Arial" w:eastAsia="Arial" w:hAnsi="Arial"/>
                <w:sz w:val="13"/>
                <w:szCs w:val="13"/>
                <w:color w:val="auto"/>
              </w:rPr>
              <w:t>82</w:t>
            </w:r>
          </w:p>
        </w:tc>
        <w:tc>
          <w:tcPr>
            <w:tcW w:w="1160" w:type="dxa"/>
            <w:vAlign w:val="bottom"/>
          </w:tcPr>
          <w:p>
            <w:pPr>
              <w:jc w:val="right"/>
              <w:ind w:right="293"/>
              <w:spacing w:after="0"/>
              <w:rPr>
                <w:sz w:val="20"/>
                <w:szCs w:val="20"/>
                <w:color w:val="auto"/>
              </w:rPr>
            </w:pPr>
            <w:r>
              <w:rPr>
                <w:rFonts w:ascii="Arial" w:cs="Arial" w:eastAsia="Arial" w:hAnsi="Arial"/>
                <w:sz w:val="13"/>
                <w:szCs w:val="13"/>
                <w:color w:val="auto"/>
              </w:rPr>
              <w:t>1/31/2018</w:t>
            </w:r>
          </w:p>
        </w:tc>
        <w:tc>
          <w:tcPr>
            <w:tcW w:w="1360" w:type="dxa"/>
            <w:vAlign w:val="bottom"/>
          </w:tcPr>
          <w:p>
            <w:pPr>
              <w:ind w:left="360"/>
              <w:spacing w:after="0"/>
              <w:rPr>
                <w:sz w:val="20"/>
                <w:szCs w:val="20"/>
                <w:color w:val="auto"/>
              </w:rPr>
            </w:pPr>
            <w:r>
              <w:rPr>
                <w:rFonts w:ascii="Arial" w:cs="Arial" w:eastAsia="Arial" w:hAnsi="Arial"/>
                <w:sz w:val="13"/>
                <w:szCs w:val="13"/>
                <w:color w:val="auto"/>
              </w:rPr>
              <w:t>12/17/2021</w:t>
            </w:r>
          </w:p>
        </w:tc>
        <w:tc>
          <w:tcPr>
            <w:tcW w:w="500" w:type="dxa"/>
            <w:vAlign w:val="bottom"/>
          </w:tcPr>
          <w:p>
            <w:pPr>
              <w:ind w:left="340"/>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573"/>
              <w:spacing w:after="0"/>
              <w:rPr>
                <w:sz w:val="20"/>
                <w:szCs w:val="20"/>
                <w:color w:val="auto"/>
              </w:rPr>
            </w:pPr>
            <w:r>
              <w:rPr>
                <w:rFonts w:ascii="Arial" w:cs="Arial" w:eastAsia="Arial" w:hAnsi="Arial"/>
                <w:sz w:val="13"/>
                <w:szCs w:val="13"/>
                <w:color w:val="auto"/>
              </w:rPr>
              <w:t>113.60</w:t>
            </w:r>
          </w:p>
        </w:tc>
        <w:tc>
          <w:tcPr>
            <w:tcW w:w="860" w:type="dxa"/>
            <w:vAlign w:val="bottom"/>
          </w:tcPr>
          <w:p>
            <w:pPr>
              <w:jc w:val="center"/>
              <w:ind w:left="713"/>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7F7F7F"/>
            </w:tcBorders>
          </w:tcPr>
          <w:p>
            <w:pPr>
              <w:jc w:val="right"/>
              <w:ind w:right="253"/>
              <w:spacing w:after="0"/>
              <w:rPr>
                <w:sz w:val="20"/>
                <w:szCs w:val="20"/>
                <w:color w:val="auto"/>
              </w:rPr>
            </w:pPr>
            <w:r>
              <w:rPr>
                <w:rFonts w:ascii="Arial" w:cs="Arial" w:eastAsia="Arial" w:hAnsi="Arial"/>
                <w:sz w:val="13"/>
                <w:szCs w:val="13"/>
                <w:color w:val="auto"/>
              </w:rPr>
              <w:t>9,287</w:t>
            </w:r>
          </w:p>
        </w:tc>
        <w:tc>
          <w:tcPr>
            <w:tcW w:w="0" w:type="dxa"/>
            <w:vAlign w:val="bottom"/>
          </w:tcPr>
          <w:p>
            <w:pPr>
              <w:spacing w:after="0"/>
              <w:rPr>
                <w:sz w:val="1"/>
                <w:szCs w:val="1"/>
                <w:color w:val="auto"/>
              </w:rPr>
            </w:pPr>
          </w:p>
        </w:tc>
      </w:tr>
      <w:tr>
        <w:trPr>
          <w:trHeight w:val="216"/>
        </w:trPr>
        <w:tc>
          <w:tcPr>
            <w:tcW w:w="2940" w:type="dxa"/>
            <w:vAlign w:val="bottom"/>
            <w:tcBorders>
              <w:left w:val="single" w:sz="8" w:color="7F7F7F"/>
            </w:tcBorders>
          </w:tcPr>
          <w:p>
            <w:pPr>
              <w:spacing w:after="0"/>
              <w:rPr>
                <w:sz w:val="18"/>
                <w:szCs w:val="18"/>
                <w:color w:val="auto"/>
              </w:rPr>
            </w:pPr>
          </w:p>
        </w:tc>
        <w:tc>
          <w:tcPr>
            <w:tcW w:w="1640" w:type="dxa"/>
            <w:vAlign w:val="bottom"/>
          </w:tcPr>
          <w:p>
            <w:pPr>
              <w:jc w:val="center"/>
              <w:ind w:left="93"/>
              <w:spacing w:after="0"/>
              <w:rPr>
                <w:sz w:val="20"/>
                <w:szCs w:val="20"/>
                <w:color w:val="auto"/>
              </w:rPr>
            </w:pPr>
            <w:r>
              <w:rPr>
                <w:rFonts w:ascii="Arial" w:cs="Arial" w:eastAsia="Arial" w:hAnsi="Arial"/>
                <w:sz w:val="13"/>
                <w:szCs w:val="13"/>
                <w:color w:val="auto"/>
              </w:rPr>
              <w:t>89</w:t>
            </w:r>
          </w:p>
        </w:tc>
        <w:tc>
          <w:tcPr>
            <w:tcW w:w="1160" w:type="dxa"/>
            <w:vAlign w:val="bottom"/>
          </w:tcPr>
          <w:p>
            <w:pPr>
              <w:jc w:val="right"/>
              <w:ind w:right="293"/>
              <w:spacing w:after="0"/>
              <w:rPr>
                <w:sz w:val="20"/>
                <w:szCs w:val="20"/>
                <w:color w:val="auto"/>
              </w:rPr>
            </w:pPr>
            <w:r>
              <w:rPr>
                <w:rFonts w:ascii="Arial" w:cs="Arial" w:eastAsia="Arial" w:hAnsi="Arial"/>
                <w:sz w:val="13"/>
                <w:szCs w:val="13"/>
                <w:color w:val="auto"/>
              </w:rPr>
              <w:t>1/25/2017</w:t>
            </w:r>
          </w:p>
        </w:tc>
        <w:tc>
          <w:tcPr>
            <w:tcW w:w="1360" w:type="dxa"/>
            <w:vAlign w:val="bottom"/>
          </w:tcPr>
          <w:p>
            <w:pPr>
              <w:ind w:left="360"/>
              <w:spacing w:after="0"/>
              <w:rPr>
                <w:sz w:val="20"/>
                <w:szCs w:val="20"/>
                <w:color w:val="auto"/>
              </w:rPr>
            </w:pPr>
            <w:r>
              <w:rPr>
                <w:rFonts w:ascii="Arial" w:cs="Arial" w:eastAsia="Arial" w:hAnsi="Arial"/>
                <w:sz w:val="13"/>
                <w:szCs w:val="13"/>
                <w:color w:val="auto"/>
              </w:rPr>
              <w:t>12/17/2021</w:t>
            </w:r>
          </w:p>
        </w:tc>
        <w:tc>
          <w:tcPr>
            <w:tcW w:w="500" w:type="dxa"/>
            <w:vAlign w:val="bottom"/>
          </w:tcPr>
          <w:p>
            <w:pPr>
              <w:ind w:left="340"/>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573"/>
              <w:spacing w:after="0"/>
              <w:rPr>
                <w:sz w:val="20"/>
                <w:szCs w:val="20"/>
                <w:color w:val="auto"/>
              </w:rPr>
            </w:pPr>
            <w:r>
              <w:rPr>
                <w:rFonts w:ascii="Arial" w:cs="Arial" w:eastAsia="Arial" w:hAnsi="Arial"/>
                <w:sz w:val="13"/>
                <w:szCs w:val="13"/>
                <w:color w:val="auto"/>
              </w:rPr>
              <w:t>113.60</w:t>
            </w:r>
          </w:p>
        </w:tc>
        <w:tc>
          <w:tcPr>
            <w:tcW w:w="860" w:type="dxa"/>
            <w:vAlign w:val="bottom"/>
          </w:tcPr>
          <w:p>
            <w:pPr>
              <w:jc w:val="center"/>
              <w:ind w:left="713"/>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7F7F7F"/>
            </w:tcBorders>
          </w:tcPr>
          <w:p>
            <w:pPr>
              <w:jc w:val="right"/>
              <w:ind w:right="253"/>
              <w:spacing w:after="0"/>
              <w:rPr>
                <w:sz w:val="20"/>
                <w:szCs w:val="20"/>
                <w:color w:val="auto"/>
              </w:rPr>
            </w:pPr>
            <w:r>
              <w:rPr>
                <w:rFonts w:ascii="Arial" w:cs="Arial" w:eastAsia="Arial" w:hAnsi="Arial"/>
                <w:sz w:val="13"/>
                <w:szCs w:val="13"/>
                <w:color w:val="auto"/>
              </w:rPr>
              <w:t>10,159</w:t>
            </w:r>
          </w:p>
        </w:tc>
        <w:tc>
          <w:tcPr>
            <w:tcW w:w="0" w:type="dxa"/>
            <w:vAlign w:val="bottom"/>
          </w:tcPr>
          <w:p>
            <w:pPr>
              <w:spacing w:after="0"/>
              <w:rPr>
                <w:sz w:val="1"/>
                <w:szCs w:val="1"/>
                <w:color w:val="auto"/>
              </w:rPr>
            </w:pPr>
          </w:p>
        </w:tc>
      </w:tr>
      <w:tr>
        <w:trPr>
          <w:trHeight w:val="216"/>
        </w:trPr>
        <w:tc>
          <w:tcPr>
            <w:tcW w:w="2940" w:type="dxa"/>
            <w:vAlign w:val="bottom"/>
            <w:tcBorders>
              <w:left w:val="single" w:sz="8" w:color="7F7F7F"/>
            </w:tcBorders>
          </w:tcPr>
          <w:p>
            <w:pPr>
              <w:spacing w:after="0"/>
              <w:rPr>
                <w:sz w:val="18"/>
                <w:szCs w:val="18"/>
                <w:color w:val="auto"/>
              </w:rPr>
            </w:pPr>
          </w:p>
        </w:tc>
        <w:tc>
          <w:tcPr>
            <w:tcW w:w="1640" w:type="dxa"/>
            <w:vAlign w:val="bottom"/>
          </w:tcPr>
          <w:p>
            <w:pPr>
              <w:jc w:val="center"/>
              <w:ind w:left="93"/>
              <w:spacing w:after="0"/>
              <w:rPr>
                <w:sz w:val="20"/>
                <w:szCs w:val="20"/>
                <w:color w:val="auto"/>
              </w:rPr>
            </w:pPr>
            <w:r>
              <w:rPr>
                <w:rFonts w:ascii="Arial" w:cs="Arial" w:eastAsia="Arial" w:hAnsi="Arial"/>
                <w:sz w:val="13"/>
                <w:szCs w:val="13"/>
                <w:color w:val="auto"/>
              </w:rPr>
              <w:t>90</w:t>
            </w:r>
          </w:p>
        </w:tc>
        <w:tc>
          <w:tcPr>
            <w:tcW w:w="1160" w:type="dxa"/>
            <w:vAlign w:val="bottom"/>
          </w:tcPr>
          <w:p>
            <w:pPr>
              <w:jc w:val="right"/>
              <w:ind w:right="293"/>
              <w:spacing w:after="0"/>
              <w:rPr>
                <w:sz w:val="20"/>
                <w:szCs w:val="20"/>
                <w:color w:val="auto"/>
              </w:rPr>
            </w:pPr>
            <w:r>
              <w:rPr>
                <w:rFonts w:ascii="Arial" w:cs="Arial" w:eastAsia="Arial" w:hAnsi="Arial"/>
                <w:sz w:val="13"/>
                <w:szCs w:val="13"/>
                <w:color w:val="auto"/>
              </w:rPr>
              <w:t>1/30/2019</w:t>
            </w:r>
          </w:p>
        </w:tc>
        <w:tc>
          <w:tcPr>
            <w:tcW w:w="1360" w:type="dxa"/>
            <w:vAlign w:val="bottom"/>
          </w:tcPr>
          <w:p>
            <w:pPr>
              <w:ind w:left="360"/>
              <w:spacing w:after="0"/>
              <w:rPr>
                <w:sz w:val="20"/>
                <w:szCs w:val="20"/>
                <w:color w:val="auto"/>
              </w:rPr>
            </w:pPr>
            <w:r>
              <w:rPr>
                <w:rFonts w:ascii="Arial" w:cs="Arial" w:eastAsia="Arial" w:hAnsi="Arial"/>
                <w:sz w:val="13"/>
                <w:szCs w:val="13"/>
                <w:color w:val="auto"/>
              </w:rPr>
              <w:t>12/17/2021</w:t>
            </w:r>
          </w:p>
        </w:tc>
        <w:tc>
          <w:tcPr>
            <w:tcW w:w="500" w:type="dxa"/>
            <w:vAlign w:val="bottom"/>
          </w:tcPr>
          <w:p>
            <w:pPr>
              <w:ind w:left="340"/>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573"/>
              <w:spacing w:after="0"/>
              <w:rPr>
                <w:sz w:val="20"/>
                <w:szCs w:val="20"/>
                <w:color w:val="auto"/>
              </w:rPr>
            </w:pPr>
            <w:r>
              <w:rPr>
                <w:rFonts w:ascii="Arial" w:cs="Arial" w:eastAsia="Arial" w:hAnsi="Arial"/>
                <w:sz w:val="13"/>
                <w:szCs w:val="13"/>
                <w:color w:val="auto"/>
              </w:rPr>
              <w:t>113.60</w:t>
            </w:r>
          </w:p>
        </w:tc>
        <w:tc>
          <w:tcPr>
            <w:tcW w:w="860" w:type="dxa"/>
            <w:vAlign w:val="bottom"/>
          </w:tcPr>
          <w:p>
            <w:pPr>
              <w:jc w:val="center"/>
              <w:ind w:left="713"/>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7F7F7F"/>
            </w:tcBorders>
          </w:tcPr>
          <w:p>
            <w:pPr>
              <w:jc w:val="right"/>
              <w:ind w:right="253"/>
              <w:spacing w:after="0"/>
              <w:rPr>
                <w:sz w:val="20"/>
                <w:szCs w:val="20"/>
                <w:color w:val="auto"/>
              </w:rPr>
            </w:pPr>
            <w:r>
              <w:rPr>
                <w:rFonts w:ascii="Arial" w:cs="Arial" w:eastAsia="Arial" w:hAnsi="Arial"/>
                <w:sz w:val="13"/>
                <w:szCs w:val="13"/>
                <w:color w:val="auto"/>
              </w:rPr>
              <w:t>10,246</w:t>
            </w:r>
          </w:p>
        </w:tc>
        <w:tc>
          <w:tcPr>
            <w:tcW w:w="0" w:type="dxa"/>
            <w:vAlign w:val="bottom"/>
          </w:tcPr>
          <w:p>
            <w:pPr>
              <w:spacing w:after="0"/>
              <w:rPr>
                <w:sz w:val="1"/>
                <w:szCs w:val="1"/>
                <w:color w:val="auto"/>
              </w:rPr>
            </w:pPr>
          </w:p>
        </w:tc>
      </w:tr>
      <w:tr>
        <w:trPr>
          <w:trHeight w:val="216"/>
        </w:trPr>
        <w:tc>
          <w:tcPr>
            <w:tcW w:w="2940" w:type="dxa"/>
            <w:vAlign w:val="bottom"/>
            <w:tcBorders>
              <w:left w:val="single" w:sz="8" w:color="7F7F7F"/>
            </w:tcBorders>
          </w:tcPr>
          <w:p>
            <w:pPr>
              <w:spacing w:after="0"/>
              <w:rPr>
                <w:sz w:val="18"/>
                <w:szCs w:val="18"/>
                <w:color w:val="auto"/>
              </w:rPr>
            </w:pPr>
          </w:p>
        </w:tc>
        <w:tc>
          <w:tcPr>
            <w:tcW w:w="1640" w:type="dxa"/>
            <w:vAlign w:val="bottom"/>
          </w:tcPr>
          <w:p>
            <w:pPr>
              <w:jc w:val="center"/>
              <w:ind w:left="93"/>
              <w:spacing w:after="0"/>
              <w:rPr>
                <w:sz w:val="20"/>
                <w:szCs w:val="20"/>
                <w:color w:val="auto"/>
              </w:rPr>
            </w:pPr>
            <w:r>
              <w:rPr>
                <w:rFonts w:ascii="Arial" w:cs="Arial" w:eastAsia="Arial" w:hAnsi="Arial"/>
                <w:sz w:val="13"/>
                <w:szCs w:val="13"/>
                <w:color w:val="auto"/>
              </w:rPr>
              <w:t>172</w:t>
            </w:r>
          </w:p>
        </w:tc>
        <w:tc>
          <w:tcPr>
            <w:tcW w:w="1160" w:type="dxa"/>
            <w:vAlign w:val="bottom"/>
          </w:tcPr>
          <w:p>
            <w:pPr>
              <w:jc w:val="right"/>
              <w:ind w:right="293"/>
              <w:spacing w:after="0"/>
              <w:rPr>
                <w:sz w:val="20"/>
                <w:szCs w:val="20"/>
                <w:color w:val="auto"/>
              </w:rPr>
            </w:pPr>
            <w:r>
              <w:rPr>
                <w:rFonts w:ascii="Arial" w:cs="Arial" w:eastAsia="Arial" w:hAnsi="Arial"/>
                <w:sz w:val="13"/>
                <w:szCs w:val="13"/>
                <w:color w:val="auto"/>
              </w:rPr>
              <w:t>1/29/2020</w:t>
            </w:r>
          </w:p>
        </w:tc>
        <w:tc>
          <w:tcPr>
            <w:tcW w:w="1360" w:type="dxa"/>
            <w:vAlign w:val="bottom"/>
          </w:tcPr>
          <w:p>
            <w:pPr>
              <w:ind w:left="360"/>
              <w:spacing w:after="0"/>
              <w:rPr>
                <w:sz w:val="20"/>
                <w:szCs w:val="20"/>
                <w:color w:val="auto"/>
              </w:rPr>
            </w:pPr>
            <w:r>
              <w:rPr>
                <w:rFonts w:ascii="Arial" w:cs="Arial" w:eastAsia="Arial" w:hAnsi="Arial"/>
                <w:sz w:val="13"/>
                <w:szCs w:val="13"/>
                <w:color w:val="auto"/>
              </w:rPr>
              <w:t>12/17/2021</w:t>
            </w:r>
          </w:p>
        </w:tc>
        <w:tc>
          <w:tcPr>
            <w:tcW w:w="500" w:type="dxa"/>
            <w:vAlign w:val="bottom"/>
          </w:tcPr>
          <w:p>
            <w:pPr>
              <w:ind w:left="340"/>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573"/>
              <w:spacing w:after="0"/>
              <w:rPr>
                <w:sz w:val="20"/>
                <w:szCs w:val="20"/>
                <w:color w:val="auto"/>
              </w:rPr>
            </w:pPr>
            <w:r>
              <w:rPr>
                <w:rFonts w:ascii="Arial" w:cs="Arial" w:eastAsia="Arial" w:hAnsi="Arial"/>
                <w:sz w:val="13"/>
                <w:szCs w:val="13"/>
                <w:color w:val="auto"/>
              </w:rPr>
              <w:t>113.60</w:t>
            </w:r>
          </w:p>
        </w:tc>
        <w:tc>
          <w:tcPr>
            <w:tcW w:w="860" w:type="dxa"/>
            <w:vAlign w:val="bottom"/>
          </w:tcPr>
          <w:p>
            <w:pPr>
              <w:jc w:val="center"/>
              <w:ind w:left="713"/>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7F7F7F"/>
            </w:tcBorders>
          </w:tcPr>
          <w:p>
            <w:pPr>
              <w:jc w:val="right"/>
              <w:ind w:right="253"/>
              <w:spacing w:after="0"/>
              <w:rPr>
                <w:sz w:val="20"/>
                <w:szCs w:val="20"/>
                <w:color w:val="auto"/>
              </w:rPr>
            </w:pPr>
            <w:r>
              <w:rPr>
                <w:rFonts w:ascii="Arial" w:cs="Arial" w:eastAsia="Arial" w:hAnsi="Arial"/>
                <w:sz w:val="13"/>
                <w:szCs w:val="13"/>
                <w:color w:val="auto"/>
              </w:rPr>
              <w:t>19,580</w:t>
            </w:r>
          </w:p>
        </w:tc>
        <w:tc>
          <w:tcPr>
            <w:tcW w:w="0" w:type="dxa"/>
            <w:vAlign w:val="bottom"/>
          </w:tcPr>
          <w:p>
            <w:pPr>
              <w:spacing w:after="0"/>
              <w:rPr>
                <w:sz w:val="1"/>
                <w:szCs w:val="1"/>
                <w:color w:val="auto"/>
              </w:rPr>
            </w:pPr>
          </w:p>
        </w:tc>
      </w:tr>
      <w:tr>
        <w:trPr>
          <w:trHeight w:val="39"/>
        </w:trPr>
        <w:tc>
          <w:tcPr>
            <w:tcW w:w="2940" w:type="dxa"/>
            <w:vAlign w:val="bottom"/>
            <w:tcBorders>
              <w:left w:val="single" w:sz="8" w:color="7F7F7F"/>
            </w:tcBorders>
          </w:tcPr>
          <w:p>
            <w:pPr>
              <w:spacing w:after="0"/>
              <w:rPr>
                <w:sz w:val="3"/>
                <w:szCs w:val="3"/>
                <w:color w:val="auto"/>
              </w:rPr>
            </w:pPr>
          </w:p>
        </w:tc>
        <w:tc>
          <w:tcPr>
            <w:tcW w:w="16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Borders>
              <w:right w:val="single" w:sz="8" w:color="7F7F7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Borders>
              <w:left w:val="single" w:sz="8" w:color="7F7F7F"/>
              <w:bottom w:val="single" w:sz="8" w:color="D8D8D8"/>
            </w:tcBorders>
            <w:shd w:val="clear" w:color="auto" w:fill="D8D8D8"/>
          </w:tcPr>
          <w:p>
            <w:pPr>
              <w:ind w:left="160"/>
              <w:spacing w:after="0"/>
              <w:rPr>
                <w:sz w:val="20"/>
                <w:szCs w:val="20"/>
                <w:color w:val="auto"/>
              </w:rPr>
            </w:pPr>
            <w:r>
              <w:rPr>
                <w:rFonts w:ascii="Arial" w:cs="Arial" w:eastAsia="Arial" w:hAnsi="Arial"/>
                <w:sz w:val="13"/>
                <w:szCs w:val="13"/>
                <w:color w:val="auto"/>
              </w:rPr>
              <w:t>J.W. Johnson</w:t>
            </w:r>
          </w:p>
        </w:tc>
        <w:tc>
          <w:tcPr>
            <w:tcW w:w="1640" w:type="dxa"/>
            <w:vAlign w:val="bottom"/>
            <w:tcBorders>
              <w:bottom w:val="single" w:sz="8" w:color="D8D8D8"/>
            </w:tcBorders>
            <w:shd w:val="clear" w:color="auto" w:fill="D8D8D8"/>
          </w:tcPr>
          <w:p>
            <w:pPr>
              <w:jc w:val="center"/>
              <w:ind w:left="93"/>
              <w:spacing w:after="0"/>
              <w:rPr>
                <w:sz w:val="20"/>
                <w:szCs w:val="20"/>
                <w:color w:val="auto"/>
              </w:rPr>
            </w:pPr>
            <w:r>
              <w:rPr>
                <w:rFonts w:ascii="Arial" w:cs="Arial" w:eastAsia="Arial" w:hAnsi="Arial"/>
                <w:sz w:val="13"/>
                <w:szCs w:val="13"/>
                <w:color w:val="auto"/>
              </w:rPr>
              <w:t>562</w:t>
            </w:r>
          </w:p>
        </w:tc>
        <w:tc>
          <w:tcPr>
            <w:tcW w:w="1160" w:type="dxa"/>
            <w:vAlign w:val="bottom"/>
            <w:tcBorders>
              <w:bottom w:val="single" w:sz="8" w:color="D8D8D8"/>
            </w:tcBorders>
            <w:shd w:val="clear" w:color="auto" w:fill="D8D8D8"/>
          </w:tcPr>
          <w:p>
            <w:pPr>
              <w:jc w:val="right"/>
              <w:ind w:right="293"/>
              <w:spacing w:after="0"/>
              <w:rPr>
                <w:sz w:val="20"/>
                <w:szCs w:val="20"/>
                <w:color w:val="auto"/>
              </w:rPr>
            </w:pPr>
            <w:r>
              <w:rPr>
                <w:rFonts w:ascii="Arial" w:cs="Arial" w:eastAsia="Arial" w:hAnsi="Arial"/>
                <w:sz w:val="13"/>
                <w:szCs w:val="13"/>
                <w:color w:val="auto"/>
              </w:rPr>
              <w:t>1/29/2020</w:t>
            </w:r>
          </w:p>
        </w:tc>
        <w:tc>
          <w:tcPr>
            <w:tcW w:w="1360" w:type="dxa"/>
            <w:vAlign w:val="bottom"/>
            <w:tcBorders>
              <w:bottom w:val="single" w:sz="8" w:color="D8D8D8"/>
            </w:tcBorders>
            <w:shd w:val="clear" w:color="auto" w:fill="D8D8D8"/>
          </w:tcPr>
          <w:p>
            <w:pPr>
              <w:ind w:left="360"/>
              <w:spacing w:after="0"/>
              <w:rPr>
                <w:sz w:val="20"/>
                <w:szCs w:val="20"/>
                <w:color w:val="auto"/>
              </w:rPr>
            </w:pPr>
            <w:r>
              <w:rPr>
                <w:rFonts w:ascii="Arial" w:cs="Arial" w:eastAsia="Arial" w:hAnsi="Arial"/>
                <w:sz w:val="13"/>
                <w:szCs w:val="13"/>
                <w:color w:val="auto"/>
              </w:rPr>
              <w:t>12/17/2021</w:t>
            </w:r>
          </w:p>
        </w:tc>
        <w:tc>
          <w:tcPr>
            <w:tcW w:w="500" w:type="dxa"/>
            <w:vAlign w:val="bottom"/>
            <w:tcBorders>
              <w:bottom w:val="single" w:sz="8" w:color="D8D8D8"/>
            </w:tcBorders>
            <w:shd w:val="clear" w:color="auto" w:fill="D8D8D8"/>
          </w:tcPr>
          <w:p>
            <w:pPr>
              <w:ind w:left="340"/>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D8D8D8"/>
            </w:tcBorders>
            <w:shd w:val="clear" w:color="auto" w:fill="D8D8D8"/>
          </w:tcPr>
          <w:p>
            <w:pPr>
              <w:jc w:val="right"/>
              <w:ind w:right="573"/>
              <w:spacing w:after="0"/>
              <w:rPr>
                <w:sz w:val="20"/>
                <w:szCs w:val="20"/>
                <w:color w:val="auto"/>
              </w:rPr>
            </w:pPr>
            <w:r>
              <w:rPr>
                <w:rFonts w:ascii="Arial" w:cs="Arial" w:eastAsia="Arial" w:hAnsi="Arial"/>
                <w:sz w:val="13"/>
                <w:szCs w:val="13"/>
                <w:color w:val="auto"/>
              </w:rPr>
              <w:t>113.60</w:t>
            </w:r>
          </w:p>
        </w:tc>
        <w:tc>
          <w:tcPr>
            <w:tcW w:w="860" w:type="dxa"/>
            <w:vAlign w:val="bottom"/>
            <w:tcBorders>
              <w:bottom w:val="single" w:sz="8" w:color="D8D8D8"/>
            </w:tcBorders>
            <w:shd w:val="clear" w:color="auto" w:fill="D8D8D8"/>
          </w:tcPr>
          <w:p>
            <w:pPr>
              <w:jc w:val="center"/>
              <w:ind w:left="7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8D8D8"/>
              <w:right w:val="single" w:sz="8" w:color="7F7F7F"/>
            </w:tcBorders>
            <w:shd w:val="clear" w:color="auto" w:fill="D8D8D8"/>
          </w:tcPr>
          <w:p>
            <w:pPr>
              <w:jc w:val="right"/>
              <w:ind w:right="253"/>
              <w:spacing w:after="0"/>
              <w:rPr>
                <w:sz w:val="20"/>
                <w:szCs w:val="20"/>
                <w:color w:val="auto"/>
              </w:rPr>
            </w:pPr>
            <w:r>
              <w:rPr>
                <w:rFonts w:ascii="Arial" w:cs="Arial" w:eastAsia="Arial" w:hAnsi="Arial"/>
                <w:sz w:val="13"/>
                <w:szCs w:val="13"/>
                <w:color w:val="auto"/>
              </w:rPr>
              <w:t>63,787</w:t>
            </w:r>
          </w:p>
        </w:tc>
        <w:tc>
          <w:tcPr>
            <w:tcW w:w="0" w:type="dxa"/>
            <w:vAlign w:val="bottom"/>
          </w:tcPr>
          <w:p>
            <w:pPr>
              <w:spacing w:after="0"/>
              <w:rPr>
                <w:sz w:val="1"/>
                <w:szCs w:val="1"/>
                <w:color w:val="auto"/>
              </w:rPr>
            </w:pPr>
          </w:p>
        </w:tc>
      </w:tr>
      <w:tr>
        <w:trPr>
          <w:trHeight w:val="177"/>
        </w:trPr>
        <w:tc>
          <w:tcPr>
            <w:tcW w:w="2940" w:type="dxa"/>
            <w:vAlign w:val="bottom"/>
            <w:tcBorders>
              <w:left w:val="single" w:sz="8" w:color="7F7F7F"/>
            </w:tcBorders>
          </w:tcPr>
          <w:p>
            <w:pPr>
              <w:ind w:left="160"/>
              <w:spacing w:after="0"/>
              <w:rPr>
                <w:sz w:val="20"/>
                <w:szCs w:val="20"/>
                <w:color w:val="auto"/>
              </w:rPr>
            </w:pPr>
            <w:r>
              <w:rPr>
                <w:rFonts w:ascii="Arial" w:cs="Arial" w:eastAsia="Arial" w:hAnsi="Arial"/>
                <w:sz w:val="13"/>
                <w:szCs w:val="13"/>
                <w:color w:val="auto"/>
              </w:rPr>
              <w:t>J.C. Geagea</w:t>
            </w:r>
          </w:p>
        </w:tc>
        <w:tc>
          <w:tcPr>
            <w:tcW w:w="1640" w:type="dxa"/>
            <w:vAlign w:val="bottom"/>
          </w:tcPr>
          <w:p>
            <w:pPr>
              <w:jc w:val="center"/>
              <w:ind w:left="93"/>
              <w:spacing w:after="0"/>
              <w:rPr>
                <w:sz w:val="20"/>
                <w:szCs w:val="20"/>
                <w:color w:val="auto"/>
              </w:rPr>
            </w:pPr>
            <w:r>
              <w:rPr>
                <w:rFonts w:ascii="Arial" w:cs="Arial" w:eastAsia="Arial" w:hAnsi="Arial"/>
                <w:sz w:val="13"/>
                <w:szCs w:val="13"/>
                <w:color w:val="auto"/>
              </w:rPr>
              <w:t>422</w:t>
            </w:r>
          </w:p>
        </w:tc>
        <w:tc>
          <w:tcPr>
            <w:tcW w:w="1160" w:type="dxa"/>
            <w:vAlign w:val="bottom"/>
          </w:tcPr>
          <w:p>
            <w:pPr>
              <w:jc w:val="right"/>
              <w:ind w:right="293"/>
              <w:spacing w:after="0"/>
              <w:rPr>
                <w:sz w:val="20"/>
                <w:szCs w:val="20"/>
                <w:color w:val="auto"/>
              </w:rPr>
            </w:pPr>
            <w:r>
              <w:rPr>
                <w:rFonts w:ascii="Arial" w:cs="Arial" w:eastAsia="Arial" w:hAnsi="Arial"/>
                <w:sz w:val="13"/>
                <w:szCs w:val="13"/>
                <w:color w:val="auto"/>
              </w:rPr>
              <w:t>1/29/2020</w:t>
            </w:r>
          </w:p>
        </w:tc>
        <w:tc>
          <w:tcPr>
            <w:tcW w:w="1360" w:type="dxa"/>
            <w:vAlign w:val="bottom"/>
          </w:tcPr>
          <w:p>
            <w:pPr>
              <w:ind w:left="360"/>
              <w:spacing w:after="0"/>
              <w:rPr>
                <w:sz w:val="20"/>
                <w:szCs w:val="20"/>
                <w:color w:val="auto"/>
              </w:rPr>
            </w:pPr>
            <w:r>
              <w:rPr>
                <w:rFonts w:ascii="Arial" w:cs="Arial" w:eastAsia="Arial" w:hAnsi="Arial"/>
                <w:sz w:val="13"/>
                <w:szCs w:val="13"/>
                <w:color w:val="auto"/>
              </w:rPr>
              <w:t>12/17/2021</w:t>
            </w:r>
          </w:p>
        </w:tc>
        <w:tc>
          <w:tcPr>
            <w:tcW w:w="500" w:type="dxa"/>
            <w:vAlign w:val="bottom"/>
          </w:tcPr>
          <w:p>
            <w:pPr>
              <w:ind w:left="340"/>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573"/>
              <w:spacing w:after="0"/>
              <w:rPr>
                <w:sz w:val="20"/>
                <w:szCs w:val="20"/>
                <w:color w:val="auto"/>
              </w:rPr>
            </w:pPr>
            <w:r>
              <w:rPr>
                <w:rFonts w:ascii="Arial" w:cs="Arial" w:eastAsia="Arial" w:hAnsi="Arial"/>
                <w:sz w:val="13"/>
                <w:szCs w:val="13"/>
                <w:color w:val="auto"/>
              </w:rPr>
              <w:t>113.60</w:t>
            </w:r>
          </w:p>
        </w:tc>
        <w:tc>
          <w:tcPr>
            <w:tcW w:w="860" w:type="dxa"/>
            <w:vAlign w:val="bottom"/>
          </w:tcPr>
          <w:p>
            <w:pPr>
              <w:jc w:val="center"/>
              <w:ind w:left="713"/>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7F7F7F"/>
            </w:tcBorders>
          </w:tcPr>
          <w:p>
            <w:pPr>
              <w:jc w:val="right"/>
              <w:ind w:right="253"/>
              <w:spacing w:after="0"/>
              <w:rPr>
                <w:sz w:val="20"/>
                <w:szCs w:val="20"/>
                <w:color w:val="auto"/>
              </w:rPr>
            </w:pPr>
            <w:r>
              <w:rPr>
                <w:rFonts w:ascii="Arial" w:cs="Arial" w:eastAsia="Arial" w:hAnsi="Arial"/>
                <w:sz w:val="13"/>
                <w:szCs w:val="13"/>
                <w:color w:val="auto"/>
              </w:rPr>
              <w:t>47,960</w:t>
            </w:r>
          </w:p>
        </w:tc>
        <w:tc>
          <w:tcPr>
            <w:tcW w:w="0" w:type="dxa"/>
            <w:vAlign w:val="bottom"/>
          </w:tcPr>
          <w:p>
            <w:pPr>
              <w:spacing w:after="0"/>
              <w:rPr>
                <w:sz w:val="1"/>
                <w:szCs w:val="1"/>
                <w:color w:val="auto"/>
              </w:rPr>
            </w:pPr>
          </w:p>
        </w:tc>
      </w:tr>
      <w:tr>
        <w:trPr>
          <w:trHeight w:val="39"/>
        </w:trPr>
        <w:tc>
          <w:tcPr>
            <w:tcW w:w="2940" w:type="dxa"/>
            <w:vAlign w:val="bottom"/>
            <w:tcBorders>
              <w:left w:val="single" w:sz="8" w:color="7F7F7F"/>
            </w:tcBorders>
          </w:tcPr>
          <w:p>
            <w:pPr>
              <w:spacing w:after="0"/>
              <w:rPr>
                <w:sz w:val="3"/>
                <w:szCs w:val="3"/>
                <w:color w:val="auto"/>
              </w:rPr>
            </w:pPr>
          </w:p>
        </w:tc>
        <w:tc>
          <w:tcPr>
            <w:tcW w:w="16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Borders>
              <w:right w:val="single" w:sz="8" w:color="7F7F7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Borders>
              <w:left w:val="single" w:sz="8" w:color="7F7F7F"/>
              <w:bottom w:val="single" w:sz="8" w:color="D8D8D8"/>
            </w:tcBorders>
            <w:shd w:val="clear" w:color="auto" w:fill="D8D8D8"/>
          </w:tcPr>
          <w:p>
            <w:pPr>
              <w:ind w:left="160"/>
              <w:spacing w:after="0"/>
              <w:rPr>
                <w:sz w:val="20"/>
                <w:szCs w:val="20"/>
                <w:color w:val="auto"/>
              </w:rPr>
            </w:pPr>
            <w:r>
              <w:rPr>
                <w:rFonts w:ascii="Arial" w:cs="Arial" w:eastAsia="Arial" w:hAnsi="Arial"/>
                <w:sz w:val="13"/>
                <w:szCs w:val="13"/>
                <w:color w:val="auto"/>
              </w:rPr>
              <w:t>M.A. Nelson</w:t>
            </w:r>
          </w:p>
        </w:tc>
        <w:tc>
          <w:tcPr>
            <w:tcW w:w="1640" w:type="dxa"/>
            <w:vAlign w:val="bottom"/>
            <w:tcBorders>
              <w:bottom w:val="single" w:sz="8" w:color="D8D8D8"/>
            </w:tcBorders>
            <w:shd w:val="clear" w:color="auto" w:fill="D8D8D8"/>
          </w:tcPr>
          <w:p>
            <w:pPr>
              <w:jc w:val="center"/>
              <w:ind w:left="93"/>
              <w:spacing w:after="0"/>
              <w:rPr>
                <w:sz w:val="20"/>
                <w:szCs w:val="20"/>
                <w:color w:val="auto"/>
              </w:rPr>
            </w:pPr>
            <w:r>
              <w:rPr>
                <w:rFonts w:ascii="Arial" w:cs="Arial" w:eastAsia="Arial" w:hAnsi="Arial"/>
                <w:sz w:val="13"/>
                <w:szCs w:val="13"/>
                <w:color w:val="auto"/>
              </w:rPr>
              <w:t>350</w:t>
            </w:r>
          </w:p>
        </w:tc>
        <w:tc>
          <w:tcPr>
            <w:tcW w:w="1160" w:type="dxa"/>
            <w:vAlign w:val="bottom"/>
            <w:tcBorders>
              <w:bottom w:val="single" w:sz="8" w:color="D8D8D8"/>
            </w:tcBorders>
            <w:shd w:val="clear" w:color="auto" w:fill="D8D8D8"/>
          </w:tcPr>
          <w:p>
            <w:pPr>
              <w:jc w:val="right"/>
              <w:ind w:right="293"/>
              <w:spacing w:after="0"/>
              <w:rPr>
                <w:sz w:val="20"/>
                <w:szCs w:val="20"/>
                <w:color w:val="auto"/>
              </w:rPr>
            </w:pPr>
            <w:r>
              <w:rPr>
                <w:rFonts w:ascii="Arial" w:cs="Arial" w:eastAsia="Arial" w:hAnsi="Arial"/>
                <w:sz w:val="13"/>
                <w:szCs w:val="13"/>
                <w:color w:val="auto"/>
              </w:rPr>
              <w:t>1/29/2020</w:t>
            </w:r>
          </w:p>
        </w:tc>
        <w:tc>
          <w:tcPr>
            <w:tcW w:w="1360" w:type="dxa"/>
            <w:vAlign w:val="bottom"/>
            <w:tcBorders>
              <w:bottom w:val="single" w:sz="8" w:color="D8D8D8"/>
            </w:tcBorders>
            <w:shd w:val="clear" w:color="auto" w:fill="D8D8D8"/>
          </w:tcPr>
          <w:p>
            <w:pPr>
              <w:ind w:left="360"/>
              <w:spacing w:after="0"/>
              <w:rPr>
                <w:sz w:val="20"/>
                <w:szCs w:val="20"/>
                <w:color w:val="auto"/>
              </w:rPr>
            </w:pPr>
            <w:r>
              <w:rPr>
                <w:rFonts w:ascii="Arial" w:cs="Arial" w:eastAsia="Arial" w:hAnsi="Arial"/>
                <w:sz w:val="13"/>
                <w:szCs w:val="13"/>
                <w:color w:val="auto"/>
              </w:rPr>
              <w:t>12/17/2021</w:t>
            </w:r>
          </w:p>
        </w:tc>
        <w:tc>
          <w:tcPr>
            <w:tcW w:w="500" w:type="dxa"/>
            <w:vAlign w:val="bottom"/>
            <w:tcBorders>
              <w:bottom w:val="single" w:sz="8" w:color="D8D8D8"/>
            </w:tcBorders>
            <w:shd w:val="clear" w:color="auto" w:fill="D8D8D8"/>
          </w:tcPr>
          <w:p>
            <w:pPr>
              <w:ind w:left="340"/>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D8D8D8"/>
            </w:tcBorders>
            <w:shd w:val="clear" w:color="auto" w:fill="D8D8D8"/>
          </w:tcPr>
          <w:p>
            <w:pPr>
              <w:jc w:val="right"/>
              <w:ind w:right="573"/>
              <w:spacing w:after="0"/>
              <w:rPr>
                <w:sz w:val="20"/>
                <w:szCs w:val="20"/>
                <w:color w:val="auto"/>
              </w:rPr>
            </w:pPr>
            <w:r>
              <w:rPr>
                <w:rFonts w:ascii="Arial" w:cs="Arial" w:eastAsia="Arial" w:hAnsi="Arial"/>
                <w:sz w:val="13"/>
                <w:szCs w:val="13"/>
                <w:color w:val="auto"/>
              </w:rPr>
              <w:t>113.60</w:t>
            </w:r>
          </w:p>
        </w:tc>
        <w:tc>
          <w:tcPr>
            <w:tcW w:w="860" w:type="dxa"/>
            <w:vAlign w:val="bottom"/>
            <w:tcBorders>
              <w:bottom w:val="single" w:sz="8" w:color="D8D8D8"/>
            </w:tcBorders>
            <w:shd w:val="clear" w:color="auto" w:fill="D8D8D8"/>
          </w:tcPr>
          <w:p>
            <w:pPr>
              <w:jc w:val="center"/>
              <w:ind w:left="7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8D8D8"/>
              <w:right w:val="single" w:sz="8" w:color="7F7F7F"/>
            </w:tcBorders>
            <w:shd w:val="clear" w:color="auto" w:fill="D8D8D8"/>
          </w:tcPr>
          <w:p>
            <w:pPr>
              <w:jc w:val="right"/>
              <w:ind w:right="253"/>
              <w:spacing w:after="0"/>
              <w:rPr>
                <w:sz w:val="20"/>
                <w:szCs w:val="20"/>
                <w:color w:val="auto"/>
              </w:rPr>
            </w:pPr>
            <w:r>
              <w:rPr>
                <w:rFonts w:ascii="Arial" w:cs="Arial" w:eastAsia="Arial" w:hAnsi="Arial"/>
                <w:sz w:val="13"/>
                <w:szCs w:val="13"/>
                <w:color w:val="auto"/>
              </w:rPr>
              <w:t>39,772</w:t>
            </w:r>
          </w:p>
        </w:tc>
        <w:tc>
          <w:tcPr>
            <w:tcW w:w="0" w:type="dxa"/>
            <w:vAlign w:val="bottom"/>
          </w:tcPr>
          <w:p>
            <w:pPr>
              <w:spacing w:after="0"/>
              <w:rPr>
                <w:sz w:val="1"/>
                <w:szCs w:val="1"/>
                <w:color w:val="auto"/>
              </w:rPr>
            </w:pPr>
          </w:p>
        </w:tc>
      </w:tr>
      <w:tr>
        <w:trPr>
          <w:trHeight w:val="20"/>
        </w:trPr>
        <w:tc>
          <w:tcPr>
            <w:tcW w:w="2940" w:type="dxa"/>
            <w:vAlign w:val="bottom"/>
            <w:tcBorders>
              <w:left w:val="single" w:sz="8" w:color="7F7F7F"/>
            </w:tcBorders>
            <w:shd w:val="clear" w:color="auto" w:fill="7F7F7F"/>
          </w:tcPr>
          <w:p>
            <w:pPr>
              <w:spacing w:after="0" w:line="20" w:lineRule="exact"/>
              <w:rPr>
                <w:sz w:val="1"/>
                <w:szCs w:val="1"/>
                <w:color w:val="auto"/>
              </w:rPr>
            </w:pPr>
          </w:p>
        </w:tc>
        <w:tc>
          <w:tcPr>
            <w:tcW w:w="1640" w:type="dxa"/>
            <w:vAlign w:val="bottom"/>
            <w:shd w:val="clear" w:color="auto" w:fill="7F7F7F"/>
          </w:tcPr>
          <w:p>
            <w:pPr>
              <w:spacing w:after="0" w:line="20" w:lineRule="exact"/>
              <w:rPr>
                <w:sz w:val="1"/>
                <w:szCs w:val="1"/>
                <w:color w:val="auto"/>
              </w:rPr>
            </w:pPr>
          </w:p>
        </w:tc>
        <w:tc>
          <w:tcPr>
            <w:tcW w:w="1160" w:type="dxa"/>
            <w:vAlign w:val="bottom"/>
            <w:shd w:val="clear" w:color="auto" w:fill="7F7F7F"/>
          </w:tcPr>
          <w:p>
            <w:pPr>
              <w:spacing w:after="0" w:line="20" w:lineRule="exact"/>
              <w:rPr>
                <w:sz w:val="1"/>
                <w:szCs w:val="1"/>
                <w:color w:val="auto"/>
              </w:rPr>
            </w:pPr>
          </w:p>
        </w:tc>
        <w:tc>
          <w:tcPr>
            <w:tcW w:w="1360" w:type="dxa"/>
            <w:vAlign w:val="bottom"/>
            <w:shd w:val="clear" w:color="auto" w:fill="7F7F7F"/>
          </w:tcPr>
          <w:p>
            <w:pPr>
              <w:spacing w:after="0" w:line="20" w:lineRule="exact"/>
              <w:rPr>
                <w:sz w:val="1"/>
                <w:szCs w:val="1"/>
                <w:color w:val="auto"/>
              </w:rPr>
            </w:pPr>
          </w:p>
        </w:tc>
        <w:tc>
          <w:tcPr>
            <w:tcW w:w="500" w:type="dxa"/>
            <w:vAlign w:val="bottom"/>
            <w:shd w:val="clear" w:color="auto" w:fill="7F7F7F"/>
          </w:tcPr>
          <w:p>
            <w:pPr>
              <w:spacing w:after="0" w:line="20" w:lineRule="exact"/>
              <w:rPr>
                <w:sz w:val="1"/>
                <w:szCs w:val="1"/>
                <w:color w:val="auto"/>
              </w:rPr>
            </w:pPr>
          </w:p>
        </w:tc>
        <w:tc>
          <w:tcPr>
            <w:tcW w:w="1340" w:type="dxa"/>
            <w:vAlign w:val="bottom"/>
            <w:shd w:val="clear" w:color="auto" w:fill="7F7F7F"/>
          </w:tcPr>
          <w:p>
            <w:pPr>
              <w:spacing w:after="0" w:line="20" w:lineRule="exact"/>
              <w:rPr>
                <w:sz w:val="1"/>
                <w:szCs w:val="1"/>
                <w:color w:val="auto"/>
              </w:rPr>
            </w:pPr>
          </w:p>
        </w:tc>
        <w:tc>
          <w:tcPr>
            <w:tcW w:w="860" w:type="dxa"/>
            <w:vAlign w:val="bottom"/>
            <w:shd w:val="clear" w:color="auto" w:fill="7F7F7F"/>
          </w:tcPr>
          <w:p>
            <w:pPr>
              <w:spacing w:after="0" w:line="20" w:lineRule="exact"/>
              <w:rPr>
                <w:sz w:val="1"/>
                <w:szCs w:val="1"/>
                <w:color w:val="auto"/>
              </w:rPr>
            </w:pPr>
          </w:p>
        </w:tc>
        <w:tc>
          <w:tcPr>
            <w:tcW w:w="800" w:type="dxa"/>
            <w:vAlign w:val="bottom"/>
            <w:tcBorders>
              <w:right w:val="single" w:sz="8" w:color="7F7F7F"/>
            </w:tcBorders>
            <w:shd w:val="clear" w:color="auto" w:fill="7F7F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980" w:hanging="432"/>
        <w:spacing w:after="0"/>
        <w:tabs>
          <w:tab w:leader="none" w:pos="9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Closing price of Chevron common stock on the NYSE on the valuation date.</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0B2D71"/>
        </w:rPr>
        <w:t>Pension benefits table</w:t>
      </w:r>
    </w:p>
    <w:p>
      <w:pPr>
        <w:spacing w:after="0" w:line="128"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The following table sets forth information concerning the present value of benefits accumulated by our NEOs, under our defined benefit retirement plans, or pension plans.</w:t>
      </w:r>
    </w:p>
    <w:p>
      <w:pPr>
        <w:spacing w:after="0" w:line="75" w:lineRule="exact"/>
        <w:rPr>
          <w:sz w:val="20"/>
          <w:szCs w:val="20"/>
          <w:color w:val="auto"/>
        </w:rPr>
      </w:pPr>
    </w:p>
    <w:tbl>
      <w:tblPr>
        <w:tblLayout w:type="fixed"/>
        <w:tblInd w:w="130" w:type="dxa"/>
        <w:tblCellMar>
          <w:top w:w="0" w:type="dxa"/>
          <w:left w:w="0" w:type="dxa"/>
          <w:bottom w:w="0" w:type="dxa"/>
          <w:right w:w="0" w:type="dxa"/>
        </w:tblCellMar>
      </w:tblPr>
      <w:tr>
        <w:trPr>
          <w:trHeight w:val="188"/>
        </w:trPr>
        <w:tc>
          <w:tcPr>
            <w:tcW w:w="1020" w:type="dxa"/>
            <w:vAlign w:val="bottom"/>
            <w:tcBorders>
              <w:left w:val="single" w:sz="8" w:color="7F7F7F"/>
            </w:tcBorders>
            <w:shd w:val="clear" w:color="auto" w:fill="0066B2"/>
          </w:tcPr>
          <w:p>
            <w:pPr>
              <w:spacing w:after="0"/>
              <w:rPr>
                <w:sz w:val="16"/>
                <w:szCs w:val="16"/>
                <w:color w:val="auto"/>
              </w:rPr>
            </w:pPr>
          </w:p>
        </w:tc>
        <w:tc>
          <w:tcPr>
            <w:tcW w:w="480" w:type="dxa"/>
            <w:vAlign w:val="bottom"/>
            <w:shd w:val="clear" w:color="auto" w:fill="0066B2"/>
          </w:tcPr>
          <w:p>
            <w:pPr>
              <w:spacing w:after="0"/>
              <w:rPr>
                <w:sz w:val="16"/>
                <w:szCs w:val="16"/>
                <w:color w:val="auto"/>
              </w:rPr>
            </w:pPr>
          </w:p>
        </w:tc>
        <w:tc>
          <w:tcPr>
            <w:tcW w:w="3620" w:type="dxa"/>
            <w:vAlign w:val="bottom"/>
            <w:shd w:val="clear" w:color="auto" w:fill="0066B2"/>
          </w:tcPr>
          <w:p>
            <w:pPr>
              <w:spacing w:after="0"/>
              <w:rPr>
                <w:sz w:val="16"/>
                <w:szCs w:val="16"/>
                <w:color w:val="auto"/>
              </w:rPr>
            </w:pPr>
          </w:p>
        </w:tc>
        <w:tc>
          <w:tcPr>
            <w:tcW w:w="1920" w:type="dxa"/>
            <w:vAlign w:val="bottom"/>
            <w:shd w:val="clear" w:color="auto" w:fill="0066B2"/>
          </w:tcPr>
          <w:p>
            <w:pPr>
              <w:jc w:val="center"/>
              <w:ind w:left="406"/>
              <w:spacing w:after="0"/>
              <w:rPr>
                <w:sz w:val="20"/>
                <w:szCs w:val="20"/>
                <w:color w:val="auto"/>
              </w:rPr>
            </w:pPr>
            <w:r>
              <w:rPr>
                <w:rFonts w:ascii="Arial" w:cs="Arial" w:eastAsia="Arial" w:hAnsi="Arial"/>
                <w:sz w:val="16"/>
                <w:szCs w:val="16"/>
                <w:b w:val="1"/>
                <w:bCs w:val="1"/>
                <w:color w:val="FFFFFF"/>
              </w:rPr>
              <w:t>Number of years</w:t>
            </w:r>
          </w:p>
        </w:tc>
        <w:tc>
          <w:tcPr>
            <w:tcW w:w="480" w:type="dxa"/>
            <w:vAlign w:val="bottom"/>
            <w:shd w:val="clear" w:color="auto" w:fill="0066B2"/>
          </w:tcPr>
          <w:p>
            <w:pPr>
              <w:spacing w:after="0"/>
              <w:rPr>
                <w:sz w:val="16"/>
                <w:szCs w:val="16"/>
                <w:color w:val="auto"/>
              </w:rPr>
            </w:pPr>
          </w:p>
        </w:tc>
        <w:tc>
          <w:tcPr>
            <w:tcW w:w="1920" w:type="dxa"/>
            <w:vAlign w:val="bottom"/>
            <w:gridSpan w:val="2"/>
            <w:shd w:val="clear" w:color="auto" w:fill="0066B2"/>
          </w:tcPr>
          <w:p>
            <w:pPr>
              <w:jc w:val="right"/>
              <w:ind w:right="328"/>
              <w:spacing w:after="0"/>
              <w:rPr>
                <w:sz w:val="20"/>
                <w:szCs w:val="20"/>
                <w:color w:val="auto"/>
              </w:rPr>
            </w:pPr>
            <w:r>
              <w:rPr>
                <w:rFonts w:ascii="Arial" w:cs="Arial" w:eastAsia="Arial" w:hAnsi="Arial"/>
                <w:sz w:val="16"/>
                <w:szCs w:val="16"/>
                <w:b w:val="1"/>
                <w:bCs w:val="1"/>
                <w:color w:val="FFFFFF"/>
              </w:rPr>
              <w:t>Present value of</w:t>
            </w:r>
          </w:p>
        </w:tc>
        <w:tc>
          <w:tcPr>
            <w:tcW w:w="1520" w:type="dxa"/>
            <w:vAlign w:val="bottom"/>
            <w:tcBorders>
              <w:right w:val="single" w:sz="8" w:color="7F7F7F"/>
            </w:tcBorders>
            <w:shd w:val="clear" w:color="auto" w:fill="0066B2"/>
          </w:tcPr>
          <w:p>
            <w:pPr>
              <w:jc w:val="center"/>
              <w:ind w:left="7"/>
              <w:spacing w:after="0"/>
              <w:rPr>
                <w:sz w:val="20"/>
                <w:szCs w:val="20"/>
                <w:color w:val="auto"/>
              </w:rPr>
            </w:pPr>
            <w:r>
              <w:rPr>
                <w:rFonts w:ascii="Arial" w:cs="Arial" w:eastAsia="Arial" w:hAnsi="Arial"/>
                <w:sz w:val="16"/>
                <w:szCs w:val="16"/>
                <w:b w:val="1"/>
                <w:bCs w:val="1"/>
                <w:color w:val="FFFFFF"/>
              </w:rPr>
              <w:t>Payments during</w:t>
            </w:r>
          </w:p>
        </w:tc>
        <w:tc>
          <w:tcPr>
            <w:tcW w:w="0" w:type="dxa"/>
            <w:vAlign w:val="bottom"/>
          </w:tcPr>
          <w:p>
            <w:pPr>
              <w:spacing w:after="0"/>
              <w:rPr>
                <w:sz w:val="1"/>
                <w:szCs w:val="1"/>
                <w:color w:val="auto"/>
              </w:rPr>
            </w:pPr>
          </w:p>
        </w:tc>
      </w:tr>
      <w:tr>
        <w:trPr>
          <w:trHeight w:val="217"/>
        </w:trPr>
        <w:tc>
          <w:tcPr>
            <w:tcW w:w="1020" w:type="dxa"/>
            <w:vAlign w:val="bottom"/>
            <w:tcBorders>
              <w:left w:val="single" w:sz="8" w:color="7F7F7F"/>
            </w:tcBorders>
            <w:shd w:val="clear" w:color="auto" w:fill="0066B2"/>
          </w:tcPr>
          <w:p>
            <w:pPr>
              <w:ind w:left="160"/>
              <w:spacing w:after="0"/>
              <w:rPr>
                <w:sz w:val="20"/>
                <w:szCs w:val="20"/>
                <w:color w:val="auto"/>
              </w:rPr>
            </w:pPr>
            <w:r>
              <w:rPr>
                <w:rFonts w:ascii="Arial" w:cs="Arial" w:eastAsia="Arial" w:hAnsi="Arial"/>
                <w:sz w:val="16"/>
                <w:szCs w:val="16"/>
                <w:b w:val="1"/>
                <w:bCs w:val="1"/>
                <w:color w:val="FFFFFF"/>
              </w:rPr>
              <w:t>Name</w:t>
            </w:r>
          </w:p>
        </w:tc>
        <w:tc>
          <w:tcPr>
            <w:tcW w:w="480" w:type="dxa"/>
            <w:vAlign w:val="bottom"/>
            <w:shd w:val="clear" w:color="auto" w:fill="0066B2"/>
          </w:tcPr>
          <w:p>
            <w:pPr>
              <w:spacing w:after="0"/>
              <w:rPr>
                <w:sz w:val="18"/>
                <w:szCs w:val="18"/>
                <w:color w:val="auto"/>
              </w:rPr>
            </w:pPr>
          </w:p>
        </w:tc>
        <w:tc>
          <w:tcPr>
            <w:tcW w:w="3620" w:type="dxa"/>
            <w:vAlign w:val="bottom"/>
            <w:shd w:val="clear" w:color="auto" w:fill="0066B2"/>
          </w:tcPr>
          <w:p>
            <w:pPr>
              <w:spacing w:after="0"/>
              <w:rPr>
                <w:sz w:val="20"/>
                <w:szCs w:val="20"/>
                <w:color w:val="auto"/>
              </w:rPr>
            </w:pPr>
            <w:r>
              <w:rPr>
                <w:rFonts w:ascii="Arial" w:cs="Arial" w:eastAsia="Arial" w:hAnsi="Arial"/>
                <w:sz w:val="16"/>
                <w:szCs w:val="16"/>
                <w:b w:val="1"/>
                <w:bCs w:val="1"/>
                <w:color w:val="FFFFFF"/>
              </w:rPr>
              <w:t>Plan name</w:t>
            </w:r>
          </w:p>
        </w:tc>
        <w:tc>
          <w:tcPr>
            <w:tcW w:w="1920" w:type="dxa"/>
            <w:vAlign w:val="bottom"/>
            <w:shd w:val="clear" w:color="auto" w:fill="0066B2"/>
          </w:tcPr>
          <w:p>
            <w:pPr>
              <w:jc w:val="center"/>
              <w:ind w:left="406"/>
              <w:spacing w:after="0" w:line="216" w:lineRule="exact"/>
              <w:rPr>
                <w:sz w:val="20"/>
                <w:szCs w:val="20"/>
                <w:color w:val="auto"/>
              </w:rPr>
            </w:pPr>
            <w:r>
              <w:rPr>
                <w:rFonts w:ascii="Arial" w:cs="Arial" w:eastAsia="Arial" w:hAnsi="Arial"/>
                <w:sz w:val="15"/>
                <w:szCs w:val="15"/>
                <w:b w:val="1"/>
                <w:bCs w:val="1"/>
                <w:color w:val="FFFFFF"/>
              </w:rPr>
              <w:t>credited service</w:t>
            </w:r>
            <w:r>
              <w:rPr>
                <w:rFonts w:ascii="Arial" w:cs="Arial" w:eastAsia="Arial" w:hAnsi="Arial"/>
                <w:sz w:val="25"/>
                <w:szCs w:val="25"/>
                <w:b w:val="1"/>
                <w:bCs w:val="1"/>
                <w:color w:val="FFFFFF"/>
                <w:vertAlign w:val="superscript"/>
              </w:rPr>
              <w:t>(1)</w:t>
            </w:r>
          </w:p>
        </w:tc>
        <w:tc>
          <w:tcPr>
            <w:tcW w:w="480" w:type="dxa"/>
            <w:vAlign w:val="bottom"/>
            <w:shd w:val="clear" w:color="auto" w:fill="0066B2"/>
          </w:tcPr>
          <w:p>
            <w:pPr>
              <w:spacing w:after="0"/>
              <w:rPr>
                <w:sz w:val="18"/>
                <w:szCs w:val="18"/>
                <w:color w:val="auto"/>
              </w:rPr>
            </w:pPr>
          </w:p>
        </w:tc>
        <w:tc>
          <w:tcPr>
            <w:tcW w:w="1920" w:type="dxa"/>
            <w:vAlign w:val="bottom"/>
            <w:gridSpan w:val="2"/>
            <w:shd w:val="clear" w:color="auto" w:fill="0066B2"/>
          </w:tcPr>
          <w:p>
            <w:pPr>
              <w:jc w:val="right"/>
              <w:ind w:right="68"/>
              <w:spacing w:after="0" w:line="216" w:lineRule="exact"/>
              <w:rPr>
                <w:sz w:val="20"/>
                <w:szCs w:val="20"/>
                <w:color w:val="auto"/>
              </w:rPr>
            </w:pPr>
            <w:r>
              <w:rPr>
                <w:rFonts w:ascii="Arial" w:cs="Arial" w:eastAsia="Arial" w:hAnsi="Arial"/>
                <w:sz w:val="15"/>
                <w:szCs w:val="15"/>
                <w:b w:val="1"/>
                <w:bCs w:val="1"/>
                <w:color w:val="FFFFFF"/>
              </w:rPr>
              <w:t>accumulated benefit</w:t>
            </w:r>
            <w:r>
              <w:rPr>
                <w:rFonts w:ascii="Arial" w:cs="Arial" w:eastAsia="Arial" w:hAnsi="Arial"/>
                <w:sz w:val="25"/>
                <w:szCs w:val="25"/>
                <w:b w:val="1"/>
                <w:bCs w:val="1"/>
                <w:color w:val="FFFFFF"/>
                <w:vertAlign w:val="superscript"/>
              </w:rPr>
              <w:t>(2)</w:t>
            </w:r>
          </w:p>
        </w:tc>
        <w:tc>
          <w:tcPr>
            <w:tcW w:w="1520" w:type="dxa"/>
            <w:vAlign w:val="bottom"/>
            <w:tcBorders>
              <w:right w:val="single" w:sz="8" w:color="7F7F7F"/>
            </w:tcBorders>
            <w:shd w:val="clear" w:color="auto" w:fill="0066B2"/>
          </w:tcPr>
          <w:p>
            <w:pPr>
              <w:jc w:val="center"/>
              <w:ind w:left="7"/>
              <w:spacing w:after="0"/>
              <w:rPr>
                <w:sz w:val="20"/>
                <w:szCs w:val="20"/>
                <w:color w:val="auto"/>
              </w:rPr>
            </w:pPr>
            <w:r>
              <w:rPr>
                <w:rFonts w:ascii="Arial" w:cs="Arial" w:eastAsia="Arial" w:hAnsi="Arial"/>
                <w:sz w:val="16"/>
                <w:szCs w:val="16"/>
                <w:b w:val="1"/>
                <w:bCs w:val="1"/>
                <w:color w:val="FFFFFF"/>
              </w:rPr>
              <w:t>last fiscal year</w:t>
            </w:r>
          </w:p>
        </w:tc>
        <w:tc>
          <w:tcPr>
            <w:tcW w:w="0" w:type="dxa"/>
            <w:vAlign w:val="bottom"/>
          </w:tcPr>
          <w:p>
            <w:pPr>
              <w:spacing w:after="0"/>
              <w:rPr>
                <w:sz w:val="1"/>
                <w:szCs w:val="1"/>
                <w:color w:val="auto"/>
              </w:rPr>
            </w:pPr>
          </w:p>
        </w:tc>
      </w:tr>
      <w:tr>
        <w:trPr>
          <w:trHeight w:val="221"/>
        </w:trPr>
        <w:tc>
          <w:tcPr>
            <w:tcW w:w="1020" w:type="dxa"/>
            <w:vAlign w:val="bottom"/>
            <w:tcBorders>
              <w:left w:val="single" w:sz="8" w:color="7F7F7F"/>
            </w:tcBorders>
            <w:vMerge w:val="restart"/>
            <w:shd w:val="clear" w:color="auto" w:fill="D8D8D8"/>
          </w:tcPr>
          <w:p>
            <w:pPr>
              <w:ind w:left="160"/>
              <w:spacing w:after="0"/>
              <w:rPr>
                <w:sz w:val="20"/>
                <w:szCs w:val="20"/>
                <w:color w:val="auto"/>
              </w:rPr>
            </w:pPr>
            <w:r>
              <w:rPr>
                <w:rFonts w:ascii="Arial" w:cs="Arial" w:eastAsia="Arial" w:hAnsi="Arial"/>
                <w:sz w:val="14"/>
                <w:szCs w:val="14"/>
                <w:color w:val="auto"/>
              </w:rPr>
              <w:t>M.K. Wirth</w:t>
            </w:r>
          </w:p>
        </w:tc>
        <w:tc>
          <w:tcPr>
            <w:tcW w:w="480" w:type="dxa"/>
            <w:vAlign w:val="bottom"/>
            <w:shd w:val="clear" w:color="auto" w:fill="D8D8D8"/>
          </w:tcPr>
          <w:p>
            <w:pPr>
              <w:spacing w:after="0"/>
              <w:rPr>
                <w:sz w:val="19"/>
                <w:szCs w:val="19"/>
                <w:color w:val="auto"/>
              </w:rPr>
            </w:pPr>
          </w:p>
        </w:tc>
        <w:tc>
          <w:tcPr>
            <w:tcW w:w="3620" w:type="dxa"/>
            <w:vAlign w:val="bottom"/>
            <w:shd w:val="clear" w:color="auto" w:fill="D8D8D8"/>
          </w:tcPr>
          <w:p>
            <w:pPr>
              <w:spacing w:after="0"/>
              <w:rPr>
                <w:sz w:val="20"/>
                <w:szCs w:val="20"/>
                <w:color w:val="auto"/>
              </w:rPr>
            </w:pPr>
            <w:r>
              <w:rPr>
                <w:rFonts w:ascii="Arial" w:cs="Arial" w:eastAsia="Arial" w:hAnsi="Arial"/>
                <w:sz w:val="14"/>
                <w:szCs w:val="14"/>
                <w:color w:val="auto"/>
              </w:rPr>
              <w:t>Chevron Retirement Plan</w:t>
            </w:r>
          </w:p>
        </w:tc>
        <w:tc>
          <w:tcPr>
            <w:tcW w:w="1920" w:type="dxa"/>
            <w:vAlign w:val="bottom"/>
            <w:vMerge w:val="restart"/>
            <w:shd w:val="clear" w:color="auto" w:fill="D8D8D8"/>
          </w:tcPr>
          <w:p>
            <w:pPr>
              <w:jc w:val="center"/>
              <w:ind w:left="406"/>
              <w:spacing w:after="0"/>
              <w:rPr>
                <w:sz w:val="20"/>
                <w:szCs w:val="20"/>
                <w:color w:val="auto"/>
              </w:rPr>
            </w:pPr>
            <w:r>
              <w:rPr>
                <w:rFonts w:ascii="Arial" w:cs="Arial" w:eastAsia="Arial" w:hAnsi="Arial"/>
                <w:sz w:val="14"/>
                <w:szCs w:val="14"/>
                <w:color w:val="auto"/>
              </w:rPr>
              <w:t>36</w:t>
            </w:r>
          </w:p>
        </w:tc>
        <w:tc>
          <w:tcPr>
            <w:tcW w:w="480" w:type="dxa"/>
            <w:vAlign w:val="bottom"/>
            <w:shd w:val="clear" w:color="auto" w:fill="D8D8D8"/>
          </w:tcPr>
          <w:p>
            <w:pPr>
              <w:spacing w:after="0"/>
              <w:rPr>
                <w:sz w:val="19"/>
                <w:szCs w:val="19"/>
                <w:color w:val="auto"/>
              </w:rPr>
            </w:pPr>
          </w:p>
        </w:tc>
        <w:tc>
          <w:tcPr>
            <w:tcW w:w="560" w:type="dxa"/>
            <w:vAlign w:val="bottom"/>
            <w:shd w:val="clear" w:color="auto" w:fill="D8D8D8"/>
          </w:tcPr>
          <w:p>
            <w:pPr>
              <w:jc w:val="right"/>
              <w:ind w:right="6"/>
              <w:spacing w:after="0"/>
              <w:rPr>
                <w:sz w:val="20"/>
                <w:szCs w:val="20"/>
                <w:color w:val="auto"/>
              </w:rPr>
            </w:pPr>
            <w:r>
              <w:rPr>
                <w:rFonts w:ascii="Arial" w:cs="Arial" w:eastAsia="Arial" w:hAnsi="Arial"/>
                <w:sz w:val="14"/>
                <w:szCs w:val="14"/>
                <w:color w:val="auto"/>
              </w:rPr>
              <w:t>$</w:t>
            </w:r>
          </w:p>
        </w:tc>
        <w:tc>
          <w:tcPr>
            <w:tcW w:w="1360" w:type="dxa"/>
            <w:vAlign w:val="bottom"/>
            <w:shd w:val="clear" w:color="auto" w:fill="D8D8D8"/>
          </w:tcPr>
          <w:p>
            <w:pPr>
              <w:jc w:val="right"/>
              <w:ind w:right="488"/>
              <w:spacing w:after="0"/>
              <w:rPr>
                <w:sz w:val="20"/>
                <w:szCs w:val="20"/>
                <w:color w:val="auto"/>
              </w:rPr>
            </w:pPr>
            <w:r>
              <w:rPr>
                <w:rFonts w:ascii="Arial" w:cs="Arial" w:eastAsia="Arial" w:hAnsi="Arial"/>
                <w:sz w:val="14"/>
                <w:szCs w:val="14"/>
                <w:color w:val="auto"/>
              </w:rPr>
              <w:t>2,626,818</w:t>
            </w:r>
          </w:p>
        </w:tc>
        <w:tc>
          <w:tcPr>
            <w:tcW w:w="1520" w:type="dxa"/>
            <w:vAlign w:val="bottom"/>
            <w:tcBorders>
              <w:right w:val="single" w:sz="8" w:color="7F7F7F"/>
            </w:tcBorders>
            <w:shd w:val="clear" w:color="auto" w:fill="D8D8D8"/>
          </w:tcPr>
          <w:p>
            <w:pPr>
              <w:jc w:val="center"/>
              <w:ind w:left="4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1"/>
        </w:trPr>
        <w:tc>
          <w:tcPr>
            <w:tcW w:w="1020" w:type="dxa"/>
            <w:vAlign w:val="bottom"/>
            <w:tcBorders>
              <w:left w:val="single" w:sz="8" w:color="7F7F7F"/>
            </w:tcBorders>
            <w:vMerge w:val="continue"/>
            <w:shd w:val="clear" w:color="auto" w:fill="D8D8D8"/>
          </w:tcPr>
          <w:p>
            <w:pPr>
              <w:spacing w:after="0"/>
              <w:rPr>
                <w:sz w:val="10"/>
                <w:szCs w:val="10"/>
                <w:color w:val="auto"/>
              </w:rPr>
            </w:pPr>
          </w:p>
        </w:tc>
        <w:tc>
          <w:tcPr>
            <w:tcW w:w="480" w:type="dxa"/>
            <w:vAlign w:val="bottom"/>
            <w:shd w:val="clear" w:color="auto" w:fill="D8D8D8"/>
          </w:tcPr>
          <w:p>
            <w:pPr>
              <w:spacing w:after="0"/>
              <w:rPr>
                <w:sz w:val="10"/>
                <w:szCs w:val="10"/>
                <w:color w:val="auto"/>
              </w:rPr>
            </w:pPr>
          </w:p>
        </w:tc>
        <w:tc>
          <w:tcPr>
            <w:tcW w:w="3620" w:type="dxa"/>
            <w:vAlign w:val="bottom"/>
            <w:vMerge w:val="restart"/>
            <w:shd w:val="clear" w:color="auto" w:fill="D8D8D8"/>
          </w:tcPr>
          <w:p>
            <w:pPr>
              <w:spacing w:after="0"/>
              <w:rPr>
                <w:sz w:val="20"/>
                <w:szCs w:val="20"/>
                <w:color w:val="auto"/>
              </w:rPr>
            </w:pPr>
            <w:r>
              <w:rPr>
                <w:rFonts w:ascii="Arial" w:cs="Arial" w:eastAsia="Arial" w:hAnsi="Arial"/>
                <w:sz w:val="14"/>
                <w:szCs w:val="14"/>
                <w:color w:val="auto"/>
              </w:rPr>
              <w:t>Chevron Retirement Restoration Plan</w:t>
            </w:r>
          </w:p>
        </w:tc>
        <w:tc>
          <w:tcPr>
            <w:tcW w:w="1920" w:type="dxa"/>
            <w:vAlign w:val="bottom"/>
            <w:vMerge w:val="continue"/>
            <w:shd w:val="clear" w:color="auto" w:fill="D8D8D8"/>
          </w:tcPr>
          <w:p>
            <w:pPr>
              <w:spacing w:after="0"/>
              <w:rPr>
                <w:sz w:val="10"/>
                <w:szCs w:val="10"/>
                <w:color w:val="auto"/>
              </w:rPr>
            </w:pPr>
          </w:p>
        </w:tc>
        <w:tc>
          <w:tcPr>
            <w:tcW w:w="480" w:type="dxa"/>
            <w:vAlign w:val="bottom"/>
            <w:shd w:val="clear" w:color="auto" w:fill="D8D8D8"/>
          </w:tcPr>
          <w:p>
            <w:pPr>
              <w:spacing w:after="0"/>
              <w:rPr>
                <w:sz w:val="10"/>
                <w:szCs w:val="10"/>
                <w:color w:val="auto"/>
              </w:rPr>
            </w:pPr>
          </w:p>
        </w:tc>
        <w:tc>
          <w:tcPr>
            <w:tcW w:w="560" w:type="dxa"/>
            <w:vAlign w:val="bottom"/>
            <w:vMerge w:val="restart"/>
            <w:shd w:val="clear" w:color="auto" w:fill="D8D8D8"/>
          </w:tcPr>
          <w:p>
            <w:pPr>
              <w:jc w:val="right"/>
              <w:ind w:right="6"/>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D8D8D8"/>
          </w:tcPr>
          <w:p>
            <w:pPr>
              <w:jc w:val="right"/>
              <w:ind w:right="488"/>
              <w:spacing w:after="0"/>
              <w:rPr>
                <w:sz w:val="20"/>
                <w:szCs w:val="20"/>
                <w:color w:val="auto"/>
              </w:rPr>
            </w:pPr>
            <w:r>
              <w:rPr>
                <w:rFonts w:ascii="Arial" w:cs="Arial" w:eastAsia="Arial" w:hAnsi="Arial"/>
                <w:sz w:val="14"/>
                <w:szCs w:val="14"/>
                <w:color w:val="auto"/>
              </w:rPr>
              <w:t>39,479,160</w:t>
            </w:r>
          </w:p>
        </w:tc>
        <w:tc>
          <w:tcPr>
            <w:tcW w:w="1520" w:type="dxa"/>
            <w:vAlign w:val="bottom"/>
            <w:tcBorders>
              <w:right w:val="single" w:sz="8" w:color="7F7F7F"/>
            </w:tcBorders>
            <w:vMerge w:val="restart"/>
            <w:shd w:val="clear" w:color="auto" w:fill="D8D8D8"/>
          </w:tcPr>
          <w:p>
            <w:pPr>
              <w:jc w:val="center"/>
              <w:ind w:left="4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020" w:type="dxa"/>
            <w:vAlign w:val="bottom"/>
            <w:tcBorders>
              <w:left w:val="single" w:sz="8" w:color="7F7F7F"/>
              <w:bottom w:val="single" w:sz="8" w:color="D8D8D8"/>
            </w:tcBorders>
            <w:shd w:val="clear" w:color="auto" w:fill="D8D8D8"/>
          </w:tcPr>
          <w:p>
            <w:pPr>
              <w:spacing w:after="0"/>
              <w:rPr>
                <w:sz w:val="12"/>
                <w:szCs w:val="12"/>
                <w:color w:val="auto"/>
              </w:rPr>
            </w:pPr>
          </w:p>
        </w:tc>
        <w:tc>
          <w:tcPr>
            <w:tcW w:w="480" w:type="dxa"/>
            <w:vAlign w:val="bottom"/>
            <w:tcBorders>
              <w:bottom w:val="single" w:sz="8" w:color="D8D8D8"/>
            </w:tcBorders>
            <w:shd w:val="clear" w:color="auto" w:fill="D8D8D8"/>
          </w:tcPr>
          <w:p>
            <w:pPr>
              <w:spacing w:after="0"/>
              <w:rPr>
                <w:sz w:val="12"/>
                <w:szCs w:val="12"/>
                <w:color w:val="auto"/>
              </w:rPr>
            </w:pPr>
          </w:p>
        </w:tc>
        <w:tc>
          <w:tcPr>
            <w:tcW w:w="3620" w:type="dxa"/>
            <w:vAlign w:val="bottom"/>
            <w:tcBorders>
              <w:bottom w:val="single" w:sz="8" w:color="D8D8D8"/>
            </w:tcBorders>
            <w:vMerge w:val="continue"/>
            <w:shd w:val="clear" w:color="auto" w:fill="D8D8D8"/>
          </w:tcPr>
          <w:p>
            <w:pPr>
              <w:spacing w:after="0"/>
              <w:rPr>
                <w:sz w:val="12"/>
                <w:szCs w:val="12"/>
                <w:color w:val="auto"/>
              </w:rPr>
            </w:pPr>
          </w:p>
        </w:tc>
        <w:tc>
          <w:tcPr>
            <w:tcW w:w="1920" w:type="dxa"/>
            <w:vAlign w:val="bottom"/>
            <w:tcBorders>
              <w:bottom w:val="single" w:sz="8" w:color="D8D8D8"/>
            </w:tcBorders>
            <w:shd w:val="clear" w:color="auto" w:fill="D8D8D8"/>
          </w:tcPr>
          <w:p>
            <w:pPr>
              <w:spacing w:after="0"/>
              <w:rPr>
                <w:sz w:val="12"/>
                <w:szCs w:val="12"/>
                <w:color w:val="auto"/>
              </w:rPr>
            </w:pPr>
          </w:p>
        </w:tc>
        <w:tc>
          <w:tcPr>
            <w:tcW w:w="480" w:type="dxa"/>
            <w:vAlign w:val="bottom"/>
            <w:tcBorders>
              <w:bottom w:val="single" w:sz="8" w:color="D8D8D8"/>
            </w:tcBorders>
            <w:shd w:val="clear" w:color="auto" w:fill="D8D8D8"/>
          </w:tcPr>
          <w:p>
            <w:pPr>
              <w:spacing w:after="0"/>
              <w:rPr>
                <w:sz w:val="12"/>
                <w:szCs w:val="12"/>
                <w:color w:val="auto"/>
              </w:rPr>
            </w:pPr>
          </w:p>
        </w:tc>
        <w:tc>
          <w:tcPr>
            <w:tcW w:w="560" w:type="dxa"/>
            <w:vAlign w:val="bottom"/>
            <w:tcBorders>
              <w:bottom w:val="single" w:sz="8" w:color="D8D8D8"/>
            </w:tcBorders>
            <w:vMerge w:val="continue"/>
            <w:shd w:val="clear" w:color="auto" w:fill="D8D8D8"/>
          </w:tcPr>
          <w:p>
            <w:pPr>
              <w:spacing w:after="0"/>
              <w:rPr>
                <w:sz w:val="12"/>
                <w:szCs w:val="12"/>
                <w:color w:val="auto"/>
              </w:rPr>
            </w:pPr>
          </w:p>
        </w:tc>
        <w:tc>
          <w:tcPr>
            <w:tcW w:w="1360" w:type="dxa"/>
            <w:vAlign w:val="bottom"/>
            <w:tcBorders>
              <w:bottom w:val="single" w:sz="8" w:color="D8D8D8"/>
            </w:tcBorders>
            <w:vMerge w:val="continue"/>
            <w:shd w:val="clear" w:color="auto" w:fill="D8D8D8"/>
          </w:tcPr>
          <w:p>
            <w:pPr>
              <w:spacing w:after="0"/>
              <w:rPr>
                <w:sz w:val="12"/>
                <w:szCs w:val="12"/>
                <w:color w:val="auto"/>
              </w:rPr>
            </w:pPr>
          </w:p>
        </w:tc>
        <w:tc>
          <w:tcPr>
            <w:tcW w:w="1520" w:type="dxa"/>
            <w:vAlign w:val="bottom"/>
            <w:tcBorders>
              <w:bottom w:val="single" w:sz="8" w:color="D8D8D8"/>
              <w:right w:val="single" w:sz="8" w:color="7F7F7F"/>
            </w:tcBorders>
            <w:vMerge w:val="continue"/>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020" w:type="dxa"/>
            <w:vAlign w:val="bottom"/>
            <w:tcBorders>
              <w:top w:val="single" w:sz="8" w:color="7F7F7F"/>
              <w:left w:val="single" w:sz="8" w:color="7F7F7F"/>
            </w:tcBorders>
            <w:vMerge w:val="restart"/>
          </w:tcPr>
          <w:p>
            <w:pPr>
              <w:ind w:left="160"/>
              <w:spacing w:after="0"/>
              <w:rPr>
                <w:sz w:val="20"/>
                <w:szCs w:val="20"/>
                <w:color w:val="auto"/>
              </w:rPr>
            </w:pPr>
            <w:r>
              <w:rPr>
                <w:rFonts w:ascii="Arial" w:cs="Arial" w:eastAsia="Arial" w:hAnsi="Arial"/>
                <w:sz w:val="14"/>
                <w:szCs w:val="14"/>
                <w:color w:val="auto"/>
              </w:rPr>
              <w:t>P.R. Breber</w:t>
            </w:r>
          </w:p>
        </w:tc>
        <w:tc>
          <w:tcPr>
            <w:tcW w:w="480" w:type="dxa"/>
            <w:vAlign w:val="bottom"/>
            <w:tcBorders>
              <w:top w:val="single" w:sz="8" w:color="7F7F7F"/>
            </w:tcBorders>
          </w:tcPr>
          <w:p>
            <w:pPr>
              <w:spacing w:after="0"/>
              <w:rPr>
                <w:sz w:val="18"/>
                <w:szCs w:val="18"/>
                <w:color w:val="auto"/>
              </w:rPr>
            </w:pPr>
          </w:p>
        </w:tc>
        <w:tc>
          <w:tcPr>
            <w:tcW w:w="3620" w:type="dxa"/>
            <w:vAlign w:val="bottom"/>
            <w:tcBorders>
              <w:top w:val="single" w:sz="8" w:color="7F7F7F"/>
            </w:tcBorders>
          </w:tcPr>
          <w:p>
            <w:pPr>
              <w:spacing w:after="0"/>
              <w:rPr>
                <w:sz w:val="20"/>
                <w:szCs w:val="20"/>
                <w:color w:val="auto"/>
              </w:rPr>
            </w:pPr>
            <w:r>
              <w:rPr>
                <w:rFonts w:ascii="Arial" w:cs="Arial" w:eastAsia="Arial" w:hAnsi="Arial"/>
                <w:sz w:val="14"/>
                <w:szCs w:val="14"/>
                <w:color w:val="auto"/>
              </w:rPr>
              <w:t>Chevron Retirement Plan</w:t>
            </w:r>
          </w:p>
        </w:tc>
        <w:tc>
          <w:tcPr>
            <w:tcW w:w="1920" w:type="dxa"/>
            <w:vAlign w:val="bottom"/>
            <w:tcBorders>
              <w:top w:val="single" w:sz="8" w:color="7F7F7F"/>
            </w:tcBorders>
            <w:vMerge w:val="restart"/>
          </w:tcPr>
          <w:p>
            <w:pPr>
              <w:jc w:val="center"/>
              <w:ind w:left="406"/>
              <w:spacing w:after="0"/>
              <w:rPr>
                <w:sz w:val="20"/>
                <w:szCs w:val="20"/>
                <w:color w:val="auto"/>
              </w:rPr>
            </w:pPr>
            <w:r>
              <w:rPr>
                <w:rFonts w:ascii="Arial" w:cs="Arial" w:eastAsia="Arial" w:hAnsi="Arial"/>
                <w:sz w:val="14"/>
                <w:szCs w:val="14"/>
                <w:color w:val="auto"/>
              </w:rPr>
              <w:t>32</w:t>
            </w:r>
          </w:p>
        </w:tc>
        <w:tc>
          <w:tcPr>
            <w:tcW w:w="1040" w:type="dxa"/>
            <w:vAlign w:val="bottom"/>
            <w:tcBorders>
              <w:top w:val="single" w:sz="8" w:color="7F7F7F"/>
            </w:tcBorders>
            <w:gridSpan w:val="2"/>
          </w:tcPr>
          <w:p>
            <w:pPr>
              <w:jc w:val="right"/>
              <w:ind w:right="6"/>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7F7F7F"/>
            </w:tcBorders>
          </w:tcPr>
          <w:p>
            <w:pPr>
              <w:jc w:val="right"/>
              <w:ind w:right="488"/>
              <w:spacing w:after="0"/>
              <w:rPr>
                <w:sz w:val="20"/>
                <w:szCs w:val="20"/>
                <w:color w:val="auto"/>
              </w:rPr>
            </w:pPr>
            <w:r>
              <w:rPr>
                <w:rFonts w:ascii="Arial" w:cs="Arial" w:eastAsia="Arial" w:hAnsi="Arial"/>
                <w:sz w:val="14"/>
                <w:szCs w:val="14"/>
                <w:color w:val="auto"/>
              </w:rPr>
              <w:t>2,128,624</w:t>
            </w:r>
          </w:p>
        </w:tc>
        <w:tc>
          <w:tcPr>
            <w:tcW w:w="1520" w:type="dxa"/>
            <w:vAlign w:val="bottom"/>
            <w:tcBorders>
              <w:top w:val="single" w:sz="8" w:color="7F7F7F"/>
              <w:right w:val="single" w:sz="8" w:color="7F7F7F"/>
            </w:tcBorders>
          </w:tcPr>
          <w:p>
            <w:pPr>
              <w:jc w:val="center"/>
              <w:ind w:left="4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1020" w:type="dxa"/>
            <w:vAlign w:val="bottom"/>
            <w:tcBorders>
              <w:left w:val="single" w:sz="8" w:color="7F7F7F"/>
            </w:tcBorders>
            <w:vMerge w:val="continue"/>
          </w:tcPr>
          <w:p>
            <w:pPr>
              <w:spacing w:after="0"/>
              <w:rPr>
                <w:sz w:val="10"/>
                <w:szCs w:val="10"/>
                <w:color w:val="auto"/>
              </w:rPr>
            </w:pPr>
          </w:p>
        </w:tc>
        <w:tc>
          <w:tcPr>
            <w:tcW w:w="480" w:type="dxa"/>
            <w:vAlign w:val="bottom"/>
          </w:tcPr>
          <w:p>
            <w:pPr>
              <w:spacing w:after="0"/>
              <w:rPr>
                <w:sz w:val="10"/>
                <w:szCs w:val="10"/>
                <w:color w:val="auto"/>
              </w:rPr>
            </w:pPr>
          </w:p>
        </w:tc>
        <w:tc>
          <w:tcPr>
            <w:tcW w:w="3620" w:type="dxa"/>
            <w:vAlign w:val="bottom"/>
            <w:vMerge w:val="restart"/>
          </w:tcPr>
          <w:p>
            <w:pPr>
              <w:spacing w:after="0"/>
              <w:rPr>
                <w:sz w:val="20"/>
                <w:szCs w:val="20"/>
                <w:color w:val="auto"/>
              </w:rPr>
            </w:pPr>
            <w:r>
              <w:rPr>
                <w:rFonts w:ascii="Arial" w:cs="Arial" w:eastAsia="Arial" w:hAnsi="Arial"/>
                <w:sz w:val="14"/>
                <w:szCs w:val="14"/>
                <w:color w:val="auto"/>
              </w:rPr>
              <w:t>Chevron Retirement Restoration Plan</w:t>
            </w:r>
          </w:p>
        </w:tc>
        <w:tc>
          <w:tcPr>
            <w:tcW w:w="1920" w:type="dxa"/>
            <w:vAlign w:val="bottom"/>
            <w:vMerge w:val="continue"/>
          </w:tcPr>
          <w:p>
            <w:pPr>
              <w:spacing w:after="0"/>
              <w:rPr>
                <w:sz w:val="10"/>
                <w:szCs w:val="10"/>
                <w:color w:val="auto"/>
              </w:rPr>
            </w:pPr>
          </w:p>
        </w:tc>
        <w:tc>
          <w:tcPr>
            <w:tcW w:w="1040" w:type="dxa"/>
            <w:vAlign w:val="bottom"/>
            <w:gridSpan w:val="2"/>
            <w:vMerge w:val="restart"/>
          </w:tcPr>
          <w:p>
            <w:pPr>
              <w:jc w:val="right"/>
              <w:ind w:right="6"/>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488"/>
              <w:spacing w:after="0"/>
              <w:rPr>
                <w:sz w:val="20"/>
                <w:szCs w:val="20"/>
                <w:color w:val="auto"/>
              </w:rPr>
            </w:pPr>
            <w:r>
              <w:rPr>
                <w:rFonts w:ascii="Arial" w:cs="Arial" w:eastAsia="Arial" w:hAnsi="Arial"/>
                <w:sz w:val="14"/>
                <w:szCs w:val="14"/>
                <w:color w:val="auto"/>
              </w:rPr>
              <w:t>16,502,346</w:t>
            </w:r>
          </w:p>
        </w:tc>
        <w:tc>
          <w:tcPr>
            <w:tcW w:w="1520" w:type="dxa"/>
            <w:vAlign w:val="bottom"/>
            <w:tcBorders>
              <w:right w:val="single" w:sz="8" w:color="7F7F7F"/>
            </w:tcBorders>
            <w:vMerge w:val="restart"/>
          </w:tcPr>
          <w:p>
            <w:pPr>
              <w:jc w:val="center"/>
              <w:ind w:left="4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1020" w:type="dxa"/>
            <w:vAlign w:val="bottom"/>
            <w:tcBorders>
              <w:left w:val="single" w:sz="8" w:color="7F7F7F"/>
            </w:tcBorders>
          </w:tcPr>
          <w:p>
            <w:pPr>
              <w:spacing w:after="0"/>
              <w:rPr>
                <w:sz w:val="10"/>
                <w:szCs w:val="10"/>
                <w:color w:val="auto"/>
              </w:rPr>
            </w:pPr>
          </w:p>
        </w:tc>
        <w:tc>
          <w:tcPr>
            <w:tcW w:w="480" w:type="dxa"/>
            <w:vAlign w:val="bottom"/>
          </w:tcPr>
          <w:p>
            <w:pPr>
              <w:spacing w:after="0"/>
              <w:rPr>
                <w:sz w:val="10"/>
                <w:szCs w:val="10"/>
                <w:color w:val="auto"/>
              </w:rPr>
            </w:pPr>
          </w:p>
        </w:tc>
        <w:tc>
          <w:tcPr>
            <w:tcW w:w="3620" w:type="dxa"/>
            <w:vAlign w:val="bottom"/>
            <w:vMerge w:val="continue"/>
          </w:tcPr>
          <w:p>
            <w:pPr>
              <w:spacing w:after="0"/>
              <w:rPr>
                <w:sz w:val="10"/>
                <w:szCs w:val="10"/>
                <w:color w:val="auto"/>
              </w:rPr>
            </w:pPr>
          </w:p>
        </w:tc>
        <w:tc>
          <w:tcPr>
            <w:tcW w:w="19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520" w:type="dxa"/>
            <w:vAlign w:val="bottom"/>
            <w:tcBorders>
              <w:right w:val="single" w:sz="8" w:color="7F7F7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020" w:type="dxa"/>
            <w:vAlign w:val="bottom"/>
            <w:tcBorders>
              <w:left w:val="single" w:sz="8" w:color="7F7F7F"/>
              <w:bottom w:val="single" w:sz="8" w:color="7F7F7F"/>
            </w:tcBorders>
          </w:tcPr>
          <w:p>
            <w:pPr>
              <w:spacing w:after="0" w:line="20" w:lineRule="exact"/>
              <w:rPr>
                <w:sz w:val="1"/>
                <w:szCs w:val="1"/>
                <w:color w:val="auto"/>
              </w:rPr>
            </w:pPr>
          </w:p>
        </w:tc>
        <w:tc>
          <w:tcPr>
            <w:tcW w:w="480" w:type="dxa"/>
            <w:vAlign w:val="bottom"/>
            <w:tcBorders>
              <w:bottom w:val="single" w:sz="8" w:color="7F7F7F"/>
            </w:tcBorders>
          </w:tcPr>
          <w:p>
            <w:pPr>
              <w:spacing w:after="0" w:line="20" w:lineRule="exact"/>
              <w:rPr>
                <w:sz w:val="1"/>
                <w:szCs w:val="1"/>
                <w:color w:val="auto"/>
              </w:rPr>
            </w:pPr>
          </w:p>
        </w:tc>
        <w:tc>
          <w:tcPr>
            <w:tcW w:w="3620" w:type="dxa"/>
            <w:vAlign w:val="bottom"/>
            <w:tcBorders>
              <w:bottom w:val="single" w:sz="8" w:color="7F7F7F"/>
            </w:tcBorders>
          </w:tcPr>
          <w:p>
            <w:pPr>
              <w:spacing w:after="0" w:line="20" w:lineRule="exact"/>
              <w:rPr>
                <w:sz w:val="1"/>
                <w:szCs w:val="1"/>
                <w:color w:val="auto"/>
              </w:rPr>
            </w:pPr>
          </w:p>
        </w:tc>
        <w:tc>
          <w:tcPr>
            <w:tcW w:w="1920" w:type="dxa"/>
            <w:vAlign w:val="bottom"/>
            <w:tcBorders>
              <w:bottom w:val="single" w:sz="8" w:color="7F7F7F"/>
            </w:tcBorders>
          </w:tcPr>
          <w:p>
            <w:pPr>
              <w:spacing w:after="0" w:line="20" w:lineRule="exact"/>
              <w:rPr>
                <w:sz w:val="1"/>
                <w:szCs w:val="1"/>
                <w:color w:val="auto"/>
              </w:rPr>
            </w:pPr>
          </w:p>
        </w:tc>
        <w:tc>
          <w:tcPr>
            <w:tcW w:w="1040" w:type="dxa"/>
            <w:vAlign w:val="bottom"/>
            <w:tcBorders>
              <w:bottom w:val="single" w:sz="8" w:color="7F7F7F"/>
            </w:tcBorders>
            <w:gridSpan w:val="2"/>
          </w:tcPr>
          <w:p>
            <w:pPr>
              <w:spacing w:after="0" w:line="20" w:lineRule="exact"/>
              <w:rPr>
                <w:sz w:val="1"/>
                <w:szCs w:val="1"/>
                <w:color w:val="auto"/>
              </w:rPr>
            </w:pPr>
          </w:p>
        </w:tc>
        <w:tc>
          <w:tcPr>
            <w:tcW w:w="1360" w:type="dxa"/>
            <w:vAlign w:val="bottom"/>
            <w:tcBorders>
              <w:bottom w:val="single" w:sz="8" w:color="7F7F7F"/>
            </w:tcBorders>
          </w:tcPr>
          <w:p>
            <w:pPr>
              <w:spacing w:after="0" w:line="20" w:lineRule="exact"/>
              <w:rPr>
                <w:sz w:val="1"/>
                <w:szCs w:val="1"/>
                <w:color w:val="auto"/>
              </w:rPr>
            </w:pPr>
          </w:p>
        </w:tc>
        <w:tc>
          <w:tcPr>
            <w:tcW w:w="1520" w:type="dxa"/>
            <w:vAlign w:val="bottom"/>
            <w:tcBorders>
              <w:bottom w:val="single" w:sz="8" w:color="7F7F7F"/>
              <w:right w:val="single" w:sz="8" w:color="7F7F7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020" w:type="dxa"/>
            <w:vAlign w:val="bottom"/>
            <w:tcBorders>
              <w:left w:val="single" w:sz="8" w:color="7F7F7F"/>
            </w:tcBorders>
            <w:vMerge w:val="restart"/>
            <w:shd w:val="clear" w:color="auto" w:fill="D8D8D8"/>
          </w:tcPr>
          <w:p>
            <w:pPr>
              <w:ind w:left="160"/>
              <w:spacing w:after="0"/>
              <w:rPr>
                <w:sz w:val="20"/>
                <w:szCs w:val="20"/>
                <w:color w:val="auto"/>
              </w:rPr>
            </w:pPr>
            <w:r>
              <w:rPr>
                <w:rFonts w:ascii="Arial" w:cs="Arial" w:eastAsia="Arial" w:hAnsi="Arial"/>
                <w:sz w:val="14"/>
                <w:szCs w:val="14"/>
                <w:color w:val="auto"/>
                <w:w w:val="98"/>
              </w:rPr>
              <w:t>J.W. Johnson</w:t>
            </w:r>
          </w:p>
        </w:tc>
        <w:tc>
          <w:tcPr>
            <w:tcW w:w="480" w:type="dxa"/>
            <w:vAlign w:val="bottom"/>
            <w:shd w:val="clear" w:color="auto" w:fill="D8D8D8"/>
          </w:tcPr>
          <w:p>
            <w:pPr>
              <w:spacing w:after="0"/>
              <w:rPr>
                <w:sz w:val="18"/>
                <w:szCs w:val="18"/>
                <w:color w:val="auto"/>
              </w:rPr>
            </w:pPr>
          </w:p>
        </w:tc>
        <w:tc>
          <w:tcPr>
            <w:tcW w:w="3620" w:type="dxa"/>
            <w:vAlign w:val="bottom"/>
            <w:shd w:val="clear" w:color="auto" w:fill="D8D8D8"/>
          </w:tcPr>
          <w:p>
            <w:pPr>
              <w:spacing w:after="0"/>
              <w:rPr>
                <w:sz w:val="20"/>
                <w:szCs w:val="20"/>
                <w:color w:val="auto"/>
              </w:rPr>
            </w:pPr>
            <w:r>
              <w:rPr>
                <w:rFonts w:ascii="Arial" w:cs="Arial" w:eastAsia="Arial" w:hAnsi="Arial"/>
                <w:sz w:val="14"/>
                <w:szCs w:val="14"/>
                <w:color w:val="auto"/>
              </w:rPr>
              <w:t>Chevron Retirement Plan</w:t>
            </w:r>
          </w:p>
        </w:tc>
        <w:tc>
          <w:tcPr>
            <w:tcW w:w="1920" w:type="dxa"/>
            <w:vAlign w:val="bottom"/>
            <w:vMerge w:val="restart"/>
            <w:shd w:val="clear" w:color="auto" w:fill="D8D8D8"/>
          </w:tcPr>
          <w:p>
            <w:pPr>
              <w:jc w:val="center"/>
              <w:ind w:left="406"/>
              <w:spacing w:after="0"/>
              <w:rPr>
                <w:sz w:val="20"/>
                <w:szCs w:val="20"/>
                <w:color w:val="auto"/>
              </w:rPr>
            </w:pPr>
            <w:r>
              <w:rPr>
                <w:rFonts w:ascii="Arial" w:cs="Arial" w:eastAsia="Arial" w:hAnsi="Arial"/>
                <w:sz w:val="14"/>
                <w:szCs w:val="14"/>
                <w:color w:val="auto"/>
              </w:rPr>
              <w:t>38</w:t>
            </w:r>
          </w:p>
        </w:tc>
        <w:tc>
          <w:tcPr>
            <w:tcW w:w="480" w:type="dxa"/>
            <w:vAlign w:val="bottom"/>
            <w:shd w:val="clear" w:color="auto" w:fill="D8D8D8"/>
          </w:tcPr>
          <w:p>
            <w:pPr>
              <w:spacing w:after="0"/>
              <w:rPr>
                <w:sz w:val="18"/>
                <w:szCs w:val="18"/>
                <w:color w:val="auto"/>
              </w:rPr>
            </w:pPr>
          </w:p>
        </w:tc>
        <w:tc>
          <w:tcPr>
            <w:tcW w:w="560" w:type="dxa"/>
            <w:vAlign w:val="bottom"/>
            <w:shd w:val="clear" w:color="auto" w:fill="D8D8D8"/>
          </w:tcPr>
          <w:p>
            <w:pPr>
              <w:jc w:val="right"/>
              <w:ind w:right="6"/>
              <w:spacing w:after="0"/>
              <w:rPr>
                <w:sz w:val="20"/>
                <w:szCs w:val="20"/>
                <w:color w:val="auto"/>
              </w:rPr>
            </w:pPr>
            <w:r>
              <w:rPr>
                <w:rFonts w:ascii="Arial" w:cs="Arial" w:eastAsia="Arial" w:hAnsi="Arial"/>
                <w:sz w:val="14"/>
                <w:szCs w:val="14"/>
                <w:color w:val="auto"/>
              </w:rPr>
              <w:t>$</w:t>
            </w:r>
          </w:p>
        </w:tc>
        <w:tc>
          <w:tcPr>
            <w:tcW w:w="1360" w:type="dxa"/>
            <w:vAlign w:val="bottom"/>
            <w:shd w:val="clear" w:color="auto" w:fill="D8D8D8"/>
          </w:tcPr>
          <w:p>
            <w:pPr>
              <w:jc w:val="right"/>
              <w:ind w:right="488"/>
              <w:spacing w:after="0"/>
              <w:rPr>
                <w:sz w:val="20"/>
                <w:szCs w:val="20"/>
                <w:color w:val="auto"/>
              </w:rPr>
            </w:pPr>
            <w:r>
              <w:rPr>
                <w:rFonts w:ascii="Arial" w:cs="Arial" w:eastAsia="Arial" w:hAnsi="Arial"/>
                <w:sz w:val="14"/>
                <w:szCs w:val="14"/>
                <w:color w:val="auto"/>
              </w:rPr>
              <w:t>2,620,612</w:t>
            </w:r>
          </w:p>
        </w:tc>
        <w:tc>
          <w:tcPr>
            <w:tcW w:w="1520" w:type="dxa"/>
            <w:vAlign w:val="bottom"/>
            <w:tcBorders>
              <w:right w:val="single" w:sz="8" w:color="7F7F7F"/>
            </w:tcBorders>
            <w:shd w:val="clear" w:color="auto" w:fill="D8D8D8"/>
          </w:tcPr>
          <w:p>
            <w:pPr>
              <w:jc w:val="center"/>
              <w:ind w:left="4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1020" w:type="dxa"/>
            <w:vAlign w:val="bottom"/>
            <w:tcBorders>
              <w:left w:val="single" w:sz="8" w:color="7F7F7F"/>
            </w:tcBorders>
            <w:vMerge w:val="continue"/>
            <w:shd w:val="clear" w:color="auto" w:fill="D8D8D8"/>
          </w:tcPr>
          <w:p>
            <w:pPr>
              <w:spacing w:after="0"/>
              <w:rPr>
                <w:sz w:val="10"/>
                <w:szCs w:val="10"/>
                <w:color w:val="auto"/>
              </w:rPr>
            </w:pPr>
          </w:p>
        </w:tc>
        <w:tc>
          <w:tcPr>
            <w:tcW w:w="480" w:type="dxa"/>
            <w:vAlign w:val="bottom"/>
            <w:shd w:val="clear" w:color="auto" w:fill="D8D8D8"/>
          </w:tcPr>
          <w:p>
            <w:pPr>
              <w:spacing w:after="0"/>
              <w:rPr>
                <w:sz w:val="10"/>
                <w:szCs w:val="10"/>
                <w:color w:val="auto"/>
              </w:rPr>
            </w:pPr>
          </w:p>
        </w:tc>
        <w:tc>
          <w:tcPr>
            <w:tcW w:w="3620" w:type="dxa"/>
            <w:vAlign w:val="bottom"/>
            <w:vMerge w:val="restart"/>
            <w:shd w:val="clear" w:color="auto" w:fill="D8D8D8"/>
          </w:tcPr>
          <w:p>
            <w:pPr>
              <w:spacing w:after="0"/>
              <w:rPr>
                <w:sz w:val="20"/>
                <w:szCs w:val="20"/>
                <w:color w:val="auto"/>
              </w:rPr>
            </w:pPr>
            <w:r>
              <w:rPr>
                <w:rFonts w:ascii="Arial" w:cs="Arial" w:eastAsia="Arial" w:hAnsi="Arial"/>
                <w:sz w:val="14"/>
                <w:szCs w:val="14"/>
                <w:color w:val="auto"/>
              </w:rPr>
              <w:t>Chevron Retirement Restoration Plan</w:t>
            </w:r>
          </w:p>
        </w:tc>
        <w:tc>
          <w:tcPr>
            <w:tcW w:w="1920" w:type="dxa"/>
            <w:vAlign w:val="bottom"/>
            <w:vMerge w:val="continue"/>
            <w:shd w:val="clear" w:color="auto" w:fill="D8D8D8"/>
          </w:tcPr>
          <w:p>
            <w:pPr>
              <w:spacing w:after="0"/>
              <w:rPr>
                <w:sz w:val="10"/>
                <w:szCs w:val="10"/>
                <w:color w:val="auto"/>
              </w:rPr>
            </w:pPr>
          </w:p>
        </w:tc>
        <w:tc>
          <w:tcPr>
            <w:tcW w:w="480" w:type="dxa"/>
            <w:vAlign w:val="bottom"/>
            <w:shd w:val="clear" w:color="auto" w:fill="D8D8D8"/>
          </w:tcPr>
          <w:p>
            <w:pPr>
              <w:spacing w:after="0"/>
              <w:rPr>
                <w:sz w:val="10"/>
                <w:szCs w:val="10"/>
                <w:color w:val="auto"/>
              </w:rPr>
            </w:pPr>
          </w:p>
        </w:tc>
        <w:tc>
          <w:tcPr>
            <w:tcW w:w="560" w:type="dxa"/>
            <w:vAlign w:val="bottom"/>
            <w:vMerge w:val="restart"/>
            <w:shd w:val="clear" w:color="auto" w:fill="D8D8D8"/>
          </w:tcPr>
          <w:p>
            <w:pPr>
              <w:jc w:val="right"/>
              <w:ind w:right="6"/>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D8D8D8"/>
          </w:tcPr>
          <w:p>
            <w:pPr>
              <w:jc w:val="right"/>
              <w:ind w:right="488"/>
              <w:spacing w:after="0"/>
              <w:rPr>
                <w:sz w:val="20"/>
                <w:szCs w:val="20"/>
                <w:color w:val="auto"/>
              </w:rPr>
            </w:pPr>
            <w:r>
              <w:rPr>
                <w:rFonts w:ascii="Arial" w:cs="Arial" w:eastAsia="Arial" w:hAnsi="Arial"/>
                <w:sz w:val="14"/>
                <w:szCs w:val="14"/>
                <w:color w:val="auto"/>
              </w:rPr>
              <w:t>26,490,499</w:t>
            </w:r>
          </w:p>
        </w:tc>
        <w:tc>
          <w:tcPr>
            <w:tcW w:w="1520" w:type="dxa"/>
            <w:vAlign w:val="bottom"/>
            <w:tcBorders>
              <w:right w:val="single" w:sz="8" w:color="7F7F7F"/>
            </w:tcBorders>
            <w:vMerge w:val="restart"/>
            <w:shd w:val="clear" w:color="auto" w:fill="D8D8D8"/>
          </w:tcPr>
          <w:p>
            <w:pPr>
              <w:jc w:val="center"/>
              <w:ind w:left="4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020" w:type="dxa"/>
            <w:vAlign w:val="bottom"/>
            <w:tcBorders>
              <w:left w:val="single" w:sz="8" w:color="7F7F7F"/>
              <w:bottom w:val="single" w:sz="8" w:color="D8D8D8"/>
            </w:tcBorders>
            <w:shd w:val="clear" w:color="auto" w:fill="D8D8D8"/>
          </w:tcPr>
          <w:p>
            <w:pPr>
              <w:spacing w:after="0"/>
              <w:rPr>
                <w:sz w:val="12"/>
                <w:szCs w:val="12"/>
                <w:color w:val="auto"/>
              </w:rPr>
            </w:pPr>
          </w:p>
        </w:tc>
        <w:tc>
          <w:tcPr>
            <w:tcW w:w="480" w:type="dxa"/>
            <w:vAlign w:val="bottom"/>
            <w:tcBorders>
              <w:bottom w:val="single" w:sz="8" w:color="D8D8D8"/>
            </w:tcBorders>
            <w:shd w:val="clear" w:color="auto" w:fill="D8D8D8"/>
          </w:tcPr>
          <w:p>
            <w:pPr>
              <w:spacing w:after="0"/>
              <w:rPr>
                <w:sz w:val="12"/>
                <w:szCs w:val="12"/>
                <w:color w:val="auto"/>
              </w:rPr>
            </w:pPr>
          </w:p>
        </w:tc>
        <w:tc>
          <w:tcPr>
            <w:tcW w:w="3620" w:type="dxa"/>
            <w:vAlign w:val="bottom"/>
            <w:tcBorders>
              <w:bottom w:val="single" w:sz="8" w:color="D8D8D8"/>
            </w:tcBorders>
            <w:vMerge w:val="continue"/>
            <w:shd w:val="clear" w:color="auto" w:fill="D8D8D8"/>
          </w:tcPr>
          <w:p>
            <w:pPr>
              <w:spacing w:after="0"/>
              <w:rPr>
                <w:sz w:val="12"/>
                <w:szCs w:val="12"/>
                <w:color w:val="auto"/>
              </w:rPr>
            </w:pPr>
          </w:p>
        </w:tc>
        <w:tc>
          <w:tcPr>
            <w:tcW w:w="1920" w:type="dxa"/>
            <w:vAlign w:val="bottom"/>
            <w:tcBorders>
              <w:bottom w:val="single" w:sz="8" w:color="D8D8D8"/>
            </w:tcBorders>
            <w:shd w:val="clear" w:color="auto" w:fill="D8D8D8"/>
          </w:tcPr>
          <w:p>
            <w:pPr>
              <w:spacing w:after="0"/>
              <w:rPr>
                <w:sz w:val="12"/>
                <w:szCs w:val="12"/>
                <w:color w:val="auto"/>
              </w:rPr>
            </w:pPr>
          </w:p>
        </w:tc>
        <w:tc>
          <w:tcPr>
            <w:tcW w:w="480" w:type="dxa"/>
            <w:vAlign w:val="bottom"/>
            <w:tcBorders>
              <w:bottom w:val="single" w:sz="8" w:color="D8D8D8"/>
            </w:tcBorders>
            <w:shd w:val="clear" w:color="auto" w:fill="D8D8D8"/>
          </w:tcPr>
          <w:p>
            <w:pPr>
              <w:spacing w:after="0"/>
              <w:rPr>
                <w:sz w:val="12"/>
                <w:szCs w:val="12"/>
                <w:color w:val="auto"/>
              </w:rPr>
            </w:pPr>
          </w:p>
        </w:tc>
        <w:tc>
          <w:tcPr>
            <w:tcW w:w="560" w:type="dxa"/>
            <w:vAlign w:val="bottom"/>
            <w:tcBorders>
              <w:bottom w:val="single" w:sz="8" w:color="D8D8D8"/>
            </w:tcBorders>
            <w:vMerge w:val="continue"/>
            <w:shd w:val="clear" w:color="auto" w:fill="D8D8D8"/>
          </w:tcPr>
          <w:p>
            <w:pPr>
              <w:spacing w:after="0"/>
              <w:rPr>
                <w:sz w:val="12"/>
                <w:szCs w:val="12"/>
                <w:color w:val="auto"/>
              </w:rPr>
            </w:pPr>
          </w:p>
        </w:tc>
        <w:tc>
          <w:tcPr>
            <w:tcW w:w="1360" w:type="dxa"/>
            <w:vAlign w:val="bottom"/>
            <w:tcBorders>
              <w:bottom w:val="single" w:sz="8" w:color="D8D8D8"/>
            </w:tcBorders>
            <w:vMerge w:val="continue"/>
            <w:shd w:val="clear" w:color="auto" w:fill="D8D8D8"/>
          </w:tcPr>
          <w:p>
            <w:pPr>
              <w:spacing w:after="0"/>
              <w:rPr>
                <w:sz w:val="12"/>
                <w:szCs w:val="12"/>
                <w:color w:val="auto"/>
              </w:rPr>
            </w:pPr>
          </w:p>
        </w:tc>
        <w:tc>
          <w:tcPr>
            <w:tcW w:w="1520" w:type="dxa"/>
            <w:vAlign w:val="bottom"/>
            <w:tcBorders>
              <w:bottom w:val="single" w:sz="8" w:color="D8D8D8"/>
              <w:right w:val="single" w:sz="8" w:color="7F7F7F"/>
            </w:tcBorders>
            <w:vMerge w:val="continue"/>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020" w:type="dxa"/>
            <w:vAlign w:val="bottom"/>
            <w:tcBorders>
              <w:top w:val="single" w:sz="8" w:color="7F7F7F"/>
              <w:left w:val="single" w:sz="8" w:color="7F7F7F"/>
            </w:tcBorders>
            <w:vMerge w:val="restart"/>
          </w:tcPr>
          <w:p>
            <w:pPr>
              <w:ind w:left="160"/>
              <w:spacing w:after="0"/>
              <w:rPr>
                <w:sz w:val="20"/>
                <w:szCs w:val="20"/>
                <w:color w:val="auto"/>
              </w:rPr>
            </w:pPr>
            <w:r>
              <w:rPr>
                <w:rFonts w:ascii="Arial" w:cs="Arial" w:eastAsia="Arial" w:hAnsi="Arial"/>
                <w:sz w:val="14"/>
                <w:szCs w:val="14"/>
                <w:color w:val="auto"/>
              </w:rPr>
              <w:t>J.C. Geagea</w:t>
            </w:r>
          </w:p>
        </w:tc>
        <w:tc>
          <w:tcPr>
            <w:tcW w:w="480" w:type="dxa"/>
            <w:vAlign w:val="bottom"/>
            <w:tcBorders>
              <w:top w:val="single" w:sz="8" w:color="7F7F7F"/>
            </w:tcBorders>
          </w:tcPr>
          <w:p>
            <w:pPr>
              <w:spacing w:after="0"/>
              <w:rPr>
                <w:sz w:val="18"/>
                <w:szCs w:val="18"/>
                <w:color w:val="auto"/>
              </w:rPr>
            </w:pPr>
          </w:p>
        </w:tc>
        <w:tc>
          <w:tcPr>
            <w:tcW w:w="3620" w:type="dxa"/>
            <w:vAlign w:val="bottom"/>
            <w:tcBorders>
              <w:top w:val="single" w:sz="8" w:color="7F7F7F"/>
            </w:tcBorders>
          </w:tcPr>
          <w:p>
            <w:pPr>
              <w:spacing w:after="0"/>
              <w:rPr>
                <w:sz w:val="20"/>
                <w:szCs w:val="20"/>
                <w:color w:val="auto"/>
              </w:rPr>
            </w:pPr>
            <w:r>
              <w:rPr>
                <w:rFonts w:ascii="Arial" w:cs="Arial" w:eastAsia="Arial" w:hAnsi="Arial"/>
                <w:sz w:val="14"/>
                <w:szCs w:val="14"/>
                <w:color w:val="auto"/>
              </w:rPr>
              <w:t>Chevron Retirement Plan</w:t>
            </w:r>
          </w:p>
        </w:tc>
        <w:tc>
          <w:tcPr>
            <w:tcW w:w="1920" w:type="dxa"/>
            <w:vAlign w:val="bottom"/>
            <w:tcBorders>
              <w:top w:val="single" w:sz="8" w:color="7F7F7F"/>
            </w:tcBorders>
            <w:vMerge w:val="restart"/>
          </w:tcPr>
          <w:p>
            <w:pPr>
              <w:jc w:val="center"/>
              <w:ind w:left="406"/>
              <w:spacing w:after="0"/>
              <w:rPr>
                <w:sz w:val="20"/>
                <w:szCs w:val="20"/>
                <w:color w:val="auto"/>
              </w:rPr>
            </w:pPr>
            <w:r>
              <w:rPr>
                <w:rFonts w:ascii="Arial" w:cs="Arial" w:eastAsia="Arial" w:hAnsi="Arial"/>
                <w:sz w:val="14"/>
                <w:szCs w:val="14"/>
                <w:color w:val="auto"/>
              </w:rPr>
              <w:t>37</w:t>
            </w:r>
          </w:p>
        </w:tc>
        <w:tc>
          <w:tcPr>
            <w:tcW w:w="1040" w:type="dxa"/>
            <w:vAlign w:val="bottom"/>
            <w:tcBorders>
              <w:top w:val="single" w:sz="8" w:color="7F7F7F"/>
            </w:tcBorders>
            <w:gridSpan w:val="2"/>
          </w:tcPr>
          <w:p>
            <w:pPr>
              <w:jc w:val="right"/>
              <w:ind w:right="6"/>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7F7F7F"/>
            </w:tcBorders>
          </w:tcPr>
          <w:p>
            <w:pPr>
              <w:jc w:val="right"/>
              <w:ind w:right="488"/>
              <w:spacing w:after="0"/>
              <w:rPr>
                <w:sz w:val="20"/>
                <w:szCs w:val="20"/>
                <w:color w:val="auto"/>
              </w:rPr>
            </w:pPr>
            <w:r>
              <w:rPr>
                <w:rFonts w:ascii="Arial" w:cs="Arial" w:eastAsia="Arial" w:hAnsi="Arial"/>
                <w:sz w:val="14"/>
                <w:szCs w:val="14"/>
                <w:color w:val="auto"/>
              </w:rPr>
              <w:t>2,659,214</w:t>
            </w:r>
          </w:p>
        </w:tc>
        <w:tc>
          <w:tcPr>
            <w:tcW w:w="1520" w:type="dxa"/>
            <w:vAlign w:val="bottom"/>
            <w:tcBorders>
              <w:top w:val="single" w:sz="8" w:color="7F7F7F"/>
              <w:right w:val="single" w:sz="8" w:color="7F7F7F"/>
            </w:tcBorders>
          </w:tcPr>
          <w:p>
            <w:pPr>
              <w:jc w:val="center"/>
              <w:ind w:left="4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1"/>
        </w:trPr>
        <w:tc>
          <w:tcPr>
            <w:tcW w:w="1020" w:type="dxa"/>
            <w:vAlign w:val="bottom"/>
            <w:tcBorders>
              <w:left w:val="single" w:sz="8" w:color="7F7F7F"/>
            </w:tcBorders>
            <w:vMerge w:val="continue"/>
          </w:tcPr>
          <w:p>
            <w:pPr>
              <w:spacing w:after="0"/>
              <w:rPr>
                <w:sz w:val="10"/>
                <w:szCs w:val="10"/>
                <w:color w:val="auto"/>
              </w:rPr>
            </w:pPr>
          </w:p>
        </w:tc>
        <w:tc>
          <w:tcPr>
            <w:tcW w:w="480" w:type="dxa"/>
            <w:vAlign w:val="bottom"/>
          </w:tcPr>
          <w:p>
            <w:pPr>
              <w:spacing w:after="0"/>
              <w:rPr>
                <w:sz w:val="10"/>
                <w:szCs w:val="10"/>
                <w:color w:val="auto"/>
              </w:rPr>
            </w:pPr>
          </w:p>
        </w:tc>
        <w:tc>
          <w:tcPr>
            <w:tcW w:w="3620" w:type="dxa"/>
            <w:vAlign w:val="bottom"/>
            <w:vMerge w:val="restart"/>
          </w:tcPr>
          <w:p>
            <w:pPr>
              <w:spacing w:after="0"/>
              <w:rPr>
                <w:sz w:val="20"/>
                <w:szCs w:val="20"/>
                <w:color w:val="auto"/>
              </w:rPr>
            </w:pPr>
            <w:r>
              <w:rPr>
                <w:rFonts w:ascii="Arial" w:cs="Arial" w:eastAsia="Arial" w:hAnsi="Arial"/>
                <w:sz w:val="14"/>
                <w:szCs w:val="14"/>
                <w:color w:val="auto"/>
              </w:rPr>
              <w:t>Chevron Retirement Restoration Plan</w:t>
            </w:r>
          </w:p>
        </w:tc>
        <w:tc>
          <w:tcPr>
            <w:tcW w:w="1920" w:type="dxa"/>
            <w:vAlign w:val="bottom"/>
            <w:vMerge w:val="continue"/>
          </w:tcPr>
          <w:p>
            <w:pPr>
              <w:spacing w:after="0"/>
              <w:rPr>
                <w:sz w:val="10"/>
                <w:szCs w:val="10"/>
                <w:color w:val="auto"/>
              </w:rPr>
            </w:pPr>
          </w:p>
        </w:tc>
        <w:tc>
          <w:tcPr>
            <w:tcW w:w="1040" w:type="dxa"/>
            <w:vAlign w:val="bottom"/>
            <w:gridSpan w:val="2"/>
            <w:vMerge w:val="restart"/>
          </w:tcPr>
          <w:p>
            <w:pPr>
              <w:jc w:val="right"/>
              <w:ind w:right="6"/>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488"/>
              <w:spacing w:after="0"/>
              <w:rPr>
                <w:sz w:val="20"/>
                <w:szCs w:val="20"/>
                <w:color w:val="auto"/>
              </w:rPr>
            </w:pPr>
            <w:r>
              <w:rPr>
                <w:rFonts w:ascii="Arial" w:cs="Arial" w:eastAsia="Arial" w:hAnsi="Arial"/>
                <w:sz w:val="14"/>
                <w:szCs w:val="14"/>
                <w:color w:val="auto"/>
              </w:rPr>
              <w:t>20,888,812</w:t>
            </w:r>
          </w:p>
        </w:tc>
        <w:tc>
          <w:tcPr>
            <w:tcW w:w="1520" w:type="dxa"/>
            <w:vAlign w:val="bottom"/>
            <w:tcBorders>
              <w:right w:val="single" w:sz="8" w:color="7F7F7F"/>
            </w:tcBorders>
            <w:vMerge w:val="restart"/>
          </w:tcPr>
          <w:p>
            <w:pPr>
              <w:jc w:val="center"/>
              <w:ind w:left="4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1020" w:type="dxa"/>
            <w:vAlign w:val="bottom"/>
            <w:tcBorders>
              <w:left w:val="single" w:sz="8" w:color="7F7F7F"/>
            </w:tcBorders>
          </w:tcPr>
          <w:p>
            <w:pPr>
              <w:spacing w:after="0"/>
              <w:rPr>
                <w:sz w:val="10"/>
                <w:szCs w:val="10"/>
                <w:color w:val="auto"/>
              </w:rPr>
            </w:pPr>
          </w:p>
        </w:tc>
        <w:tc>
          <w:tcPr>
            <w:tcW w:w="480" w:type="dxa"/>
            <w:vAlign w:val="bottom"/>
          </w:tcPr>
          <w:p>
            <w:pPr>
              <w:spacing w:after="0"/>
              <w:rPr>
                <w:sz w:val="10"/>
                <w:szCs w:val="10"/>
                <w:color w:val="auto"/>
              </w:rPr>
            </w:pPr>
          </w:p>
        </w:tc>
        <w:tc>
          <w:tcPr>
            <w:tcW w:w="3620" w:type="dxa"/>
            <w:vAlign w:val="bottom"/>
            <w:vMerge w:val="continue"/>
          </w:tcPr>
          <w:p>
            <w:pPr>
              <w:spacing w:after="0"/>
              <w:rPr>
                <w:sz w:val="10"/>
                <w:szCs w:val="10"/>
                <w:color w:val="auto"/>
              </w:rPr>
            </w:pPr>
          </w:p>
        </w:tc>
        <w:tc>
          <w:tcPr>
            <w:tcW w:w="19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520" w:type="dxa"/>
            <w:vAlign w:val="bottom"/>
            <w:tcBorders>
              <w:right w:val="single" w:sz="8" w:color="7F7F7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020" w:type="dxa"/>
            <w:vAlign w:val="bottom"/>
            <w:tcBorders>
              <w:left w:val="single" w:sz="8" w:color="7F7F7F"/>
              <w:bottom w:val="single" w:sz="8" w:color="7F7F7F"/>
            </w:tcBorders>
          </w:tcPr>
          <w:p>
            <w:pPr>
              <w:spacing w:after="0" w:line="20" w:lineRule="exact"/>
              <w:rPr>
                <w:sz w:val="1"/>
                <w:szCs w:val="1"/>
                <w:color w:val="auto"/>
              </w:rPr>
            </w:pPr>
          </w:p>
        </w:tc>
        <w:tc>
          <w:tcPr>
            <w:tcW w:w="480" w:type="dxa"/>
            <w:vAlign w:val="bottom"/>
            <w:tcBorders>
              <w:bottom w:val="single" w:sz="8" w:color="7F7F7F"/>
            </w:tcBorders>
          </w:tcPr>
          <w:p>
            <w:pPr>
              <w:spacing w:after="0" w:line="20" w:lineRule="exact"/>
              <w:rPr>
                <w:sz w:val="1"/>
                <w:szCs w:val="1"/>
                <w:color w:val="auto"/>
              </w:rPr>
            </w:pPr>
          </w:p>
        </w:tc>
        <w:tc>
          <w:tcPr>
            <w:tcW w:w="3620" w:type="dxa"/>
            <w:vAlign w:val="bottom"/>
            <w:tcBorders>
              <w:bottom w:val="single" w:sz="8" w:color="7F7F7F"/>
            </w:tcBorders>
          </w:tcPr>
          <w:p>
            <w:pPr>
              <w:spacing w:after="0" w:line="20" w:lineRule="exact"/>
              <w:rPr>
                <w:sz w:val="1"/>
                <w:szCs w:val="1"/>
                <w:color w:val="auto"/>
              </w:rPr>
            </w:pPr>
          </w:p>
        </w:tc>
        <w:tc>
          <w:tcPr>
            <w:tcW w:w="1920" w:type="dxa"/>
            <w:vAlign w:val="bottom"/>
            <w:tcBorders>
              <w:bottom w:val="single" w:sz="8" w:color="7F7F7F"/>
            </w:tcBorders>
          </w:tcPr>
          <w:p>
            <w:pPr>
              <w:spacing w:after="0" w:line="20" w:lineRule="exact"/>
              <w:rPr>
                <w:sz w:val="1"/>
                <w:szCs w:val="1"/>
                <w:color w:val="auto"/>
              </w:rPr>
            </w:pPr>
          </w:p>
        </w:tc>
        <w:tc>
          <w:tcPr>
            <w:tcW w:w="1040" w:type="dxa"/>
            <w:vAlign w:val="bottom"/>
            <w:tcBorders>
              <w:bottom w:val="single" w:sz="8" w:color="7F7F7F"/>
            </w:tcBorders>
            <w:gridSpan w:val="2"/>
          </w:tcPr>
          <w:p>
            <w:pPr>
              <w:spacing w:after="0" w:line="20" w:lineRule="exact"/>
              <w:rPr>
                <w:sz w:val="1"/>
                <w:szCs w:val="1"/>
                <w:color w:val="auto"/>
              </w:rPr>
            </w:pPr>
          </w:p>
        </w:tc>
        <w:tc>
          <w:tcPr>
            <w:tcW w:w="1360" w:type="dxa"/>
            <w:vAlign w:val="bottom"/>
            <w:tcBorders>
              <w:bottom w:val="single" w:sz="8" w:color="7F7F7F"/>
            </w:tcBorders>
          </w:tcPr>
          <w:p>
            <w:pPr>
              <w:spacing w:after="0" w:line="20" w:lineRule="exact"/>
              <w:rPr>
                <w:sz w:val="1"/>
                <w:szCs w:val="1"/>
                <w:color w:val="auto"/>
              </w:rPr>
            </w:pPr>
          </w:p>
        </w:tc>
        <w:tc>
          <w:tcPr>
            <w:tcW w:w="1520" w:type="dxa"/>
            <w:vAlign w:val="bottom"/>
            <w:tcBorders>
              <w:bottom w:val="single" w:sz="8" w:color="7F7F7F"/>
              <w:right w:val="single" w:sz="8" w:color="7F7F7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020" w:type="dxa"/>
            <w:vAlign w:val="bottom"/>
            <w:tcBorders>
              <w:left w:val="single" w:sz="8" w:color="7F7F7F"/>
            </w:tcBorders>
            <w:vMerge w:val="restart"/>
            <w:shd w:val="clear" w:color="auto" w:fill="D8D8D8"/>
          </w:tcPr>
          <w:p>
            <w:pPr>
              <w:ind w:left="160"/>
              <w:spacing w:after="0"/>
              <w:rPr>
                <w:sz w:val="20"/>
                <w:szCs w:val="20"/>
                <w:color w:val="auto"/>
              </w:rPr>
            </w:pPr>
            <w:r>
              <w:rPr>
                <w:rFonts w:ascii="Arial" w:cs="Arial" w:eastAsia="Arial" w:hAnsi="Arial"/>
                <w:sz w:val="14"/>
                <w:szCs w:val="14"/>
                <w:color w:val="auto"/>
              </w:rPr>
              <w:t>M.A. Nelson</w:t>
            </w:r>
          </w:p>
        </w:tc>
        <w:tc>
          <w:tcPr>
            <w:tcW w:w="480" w:type="dxa"/>
            <w:vAlign w:val="bottom"/>
            <w:shd w:val="clear" w:color="auto" w:fill="D8D8D8"/>
          </w:tcPr>
          <w:p>
            <w:pPr>
              <w:spacing w:after="0"/>
              <w:rPr>
                <w:sz w:val="18"/>
                <w:szCs w:val="18"/>
                <w:color w:val="auto"/>
              </w:rPr>
            </w:pPr>
          </w:p>
        </w:tc>
        <w:tc>
          <w:tcPr>
            <w:tcW w:w="3620" w:type="dxa"/>
            <w:vAlign w:val="bottom"/>
            <w:shd w:val="clear" w:color="auto" w:fill="D8D8D8"/>
          </w:tcPr>
          <w:p>
            <w:pPr>
              <w:spacing w:after="0"/>
              <w:rPr>
                <w:sz w:val="20"/>
                <w:szCs w:val="20"/>
                <w:color w:val="auto"/>
              </w:rPr>
            </w:pPr>
            <w:r>
              <w:rPr>
                <w:rFonts w:ascii="Arial" w:cs="Arial" w:eastAsia="Arial" w:hAnsi="Arial"/>
                <w:sz w:val="14"/>
                <w:szCs w:val="14"/>
                <w:color w:val="auto"/>
              </w:rPr>
              <w:t>Chevron Retirement Plan</w:t>
            </w:r>
          </w:p>
        </w:tc>
        <w:tc>
          <w:tcPr>
            <w:tcW w:w="1920" w:type="dxa"/>
            <w:vAlign w:val="bottom"/>
            <w:vMerge w:val="restart"/>
            <w:shd w:val="clear" w:color="auto" w:fill="D8D8D8"/>
          </w:tcPr>
          <w:p>
            <w:pPr>
              <w:jc w:val="center"/>
              <w:ind w:left="406"/>
              <w:spacing w:after="0"/>
              <w:rPr>
                <w:sz w:val="20"/>
                <w:szCs w:val="20"/>
                <w:color w:val="auto"/>
              </w:rPr>
            </w:pPr>
            <w:r>
              <w:rPr>
                <w:rFonts w:ascii="Arial" w:cs="Arial" w:eastAsia="Arial" w:hAnsi="Arial"/>
                <w:sz w:val="14"/>
                <w:szCs w:val="14"/>
                <w:color w:val="auto"/>
              </w:rPr>
              <w:t>36</w:t>
            </w:r>
          </w:p>
        </w:tc>
        <w:tc>
          <w:tcPr>
            <w:tcW w:w="480" w:type="dxa"/>
            <w:vAlign w:val="bottom"/>
            <w:shd w:val="clear" w:color="auto" w:fill="D8D8D8"/>
          </w:tcPr>
          <w:p>
            <w:pPr>
              <w:spacing w:after="0"/>
              <w:rPr>
                <w:sz w:val="18"/>
                <w:szCs w:val="18"/>
                <w:color w:val="auto"/>
              </w:rPr>
            </w:pPr>
          </w:p>
        </w:tc>
        <w:tc>
          <w:tcPr>
            <w:tcW w:w="560" w:type="dxa"/>
            <w:vAlign w:val="bottom"/>
            <w:shd w:val="clear" w:color="auto" w:fill="D8D8D8"/>
          </w:tcPr>
          <w:p>
            <w:pPr>
              <w:jc w:val="right"/>
              <w:ind w:right="6"/>
              <w:spacing w:after="0"/>
              <w:rPr>
                <w:sz w:val="20"/>
                <w:szCs w:val="20"/>
                <w:color w:val="auto"/>
              </w:rPr>
            </w:pPr>
            <w:r>
              <w:rPr>
                <w:rFonts w:ascii="Arial" w:cs="Arial" w:eastAsia="Arial" w:hAnsi="Arial"/>
                <w:sz w:val="14"/>
                <w:szCs w:val="14"/>
                <w:color w:val="auto"/>
              </w:rPr>
              <w:t>$</w:t>
            </w:r>
          </w:p>
        </w:tc>
        <w:tc>
          <w:tcPr>
            <w:tcW w:w="1360" w:type="dxa"/>
            <w:vAlign w:val="bottom"/>
            <w:shd w:val="clear" w:color="auto" w:fill="D8D8D8"/>
          </w:tcPr>
          <w:p>
            <w:pPr>
              <w:jc w:val="right"/>
              <w:ind w:right="488"/>
              <w:spacing w:after="0"/>
              <w:rPr>
                <w:sz w:val="20"/>
                <w:szCs w:val="20"/>
                <w:color w:val="auto"/>
              </w:rPr>
            </w:pPr>
            <w:r>
              <w:rPr>
                <w:rFonts w:ascii="Arial" w:cs="Arial" w:eastAsia="Arial" w:hAnsi="Arial"/>
                <w:sz w:val="14"/>
                <w:szCs w:val="14"/>
                <w:color w:val="auto"/>
              </w:rPr>
              <w:t>2,539,464</w:t>
            </w:r>
          </w:p>
        </w:tc>
        <w:tc>
          <w:tcPr>
            <w:tcW w:w="1520" w:type="dxa"/>
            <w:vAlign w:val="bottom"/>
            <w:tcBorders>
              <w:right w:val="single" w:sz="8" w:color="7F7F7F"/>
            </w:tcBorders>
            <w:shd w:val="clear" w:color="auto" w:fill="D8D8D8"/>
          </w:tcPr>
          <w:p>
            <w:pPr>
              <w:jc w:val="center"/>
              <w:ind w:left="4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1"/>
        </w:trPr>
        <w:tc>
          <w:tcPr>
            <w:tcW w:w="1020" w:type="dxa"/>
            <w:vAlign w:val="bottom"/>
            <w:tcBorders>
              <w:left w:val="single" w:sz="8" w:color="7F7F7F"/>
            </w:tcBorders>
            <w:vMerge w:val="continue"/>
            <w:shd w:val="clear" w:color="auto" w:fill="D8D8D8"/>
          </w:tcPr>
          <w:p>
            <w:pPr>
              <w:spacing w:after="0"/>
              <w:rPr>
                <w:sz w:val="10"/>
                <w:szCs w:val="10"/>
                <w:color w:val="auto"/>
              </w:rPr>
            </w:pPr>
          </w:p>
        </w:tc>
        <w:tc>
          <w:tcPr>
            <w:tcW w:w="480" w:type="dxa"/>
            <w:vAlign w:val="bottom"/>
            <w:shd w:val="clear" w:color="auto" w:fill="D8D8D8"/>
          </w:tcPr>
          <w:p>
            <w:pPr>
              <w:spacing w:after="0"/>
              <w:rPr>
                <w:sz w:val="10"/>
                <w:szCs w:val="10"/>
                <w:color w:val="auto"/>
              </w:rPr>
            </w:pPr>
          </w:p>
        </w:tc>
        <w:tc>
          <w:tcPr>
            <w:tcW w:w="3620" w:type="dxa"/>
            <w:vAlign w:val="bottom"/>
            <w:vMerge w:val="restart"/>
            <w:shd w:val="clear" w:color="auto" w:fill="D8D8D8"/>
          </w:tcPr>
          <w:p>
            <w:pPr>
              <w:spacing w:after="0"/>
              <w:rPr>
                <w:sz w:val="20"/>
                <w:szCs w:val="20"/>
                <w:color w:val="auto"/>
              </w:rPr>
            </w:pPr>
            <w:r>
              <w:rPr>
                <w:rFonts w:ascii="Arial" w:cs="Arial" w:eastAsia="Arial" w:hAnsi="Arial"/>
                <w:sz w:val="14"/>
                <w:szCs w:val="14"/>
                <w:color w:val="auto"/>
              </w:rPr>
              <w:t>Chevron Retirement Restoration Plan</w:t>
            </w:r>
          </w:p>
        </w:tc>
        <w:tc>
          <w:tcPr>
            <w:tcW w:w="1920" w:type="dxa"/>
            <w:vAlign w:val="bottom"/>
            <w:vMerge w:val="continue"/>
            <w:shd w:val="clear" w:color="auto" w:fill="D8D8D8"/>
          </w:tcPr>
          <w:p>
            <w:pPr>
              <w:spacing w:after="0"/>
              <w:rPr>
                <w:sz w:val="10"/>
                <w:szCs w:val="10"/>
                <w:color w:val="auto"/>
              </w:rPr>
            </w:pPr>
          </w:p>
        </w:tc>
        <w:tc>
          <w:tcPr>
            <w:tcW w:w="480" w:type="dxa"/>
            <w:vAlign w:val="bottom"/>
            <w:shd w:val="clear" w:color="auto" w:fill="D8D8D8"/>
          </w:tcPr>
          <w:p>
            <w:pPr>
              <w:spacing w:after="0"/>
              <w:rPr>
                <w:sz w:val="10"/>
                <w:szCs w:val="10"/>
                <w:color w:val="auto"/>
              </w:rPr>
            </w:pPr>
          </w:p>
        </w:tc>
        <w:tc>
          <w:tcPr>
            <w:tcW w:w="560" w:type="dxa"/>
            <w:vAlign w:val="bottom"/>
            <w:vMerge w:val="restart"/>
            <w:shd w:val="clear" w:color="auto" w:fill="D8D8D8"/>
          </w:tcPr>
          <w:p>
            <w:pPr>
              <w:jc w:val="right"/>
              <w:ind w:right="6"/>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D8D8D8"/>
          </w:tcPr>
          <w:p>
            <w:pPr>
              <w:jc w:val="right"/>
              <w:ind w:right="488"/>
              <w:spacing w:after="0"/>
              <w:rPr>
                <w:sz w:val="20"/>
                <w:szCs w:val="20"/>
                <w:color w:val="auto"/>
              </w:rPr>
            </w:pPr>
            <w:r>
              <w:rPr>
                <w:rFonts w:ascii="Arial" w:cs="Arial" w:eastAsia="Arial" w:hAnsi="Arial"/>
                <w:sz w:val="14"/>
                <w:szCs w:val="14"/>
                <w:color w:val="auto"/>
              </w:rPr>
              <w:t>13,171,749</w:t>
            </w:r>
          </w:p>
        </w:tc>
        <w:tc>
          <w:tcPr>
            <w:tcW w:w="1520" w:type="dxa"/>
            <w:vAlign w:val="bottom"/>
            <w:tcBorders>
              <w:right w:val="single" w:sz="8" w:color="7F7F7F"/>
            </w:tcBorders>
            <w:vMerge w:val="restart"/>
            <w:shd w:val="clear" w:color="auto" w:fill="D8D8D8"/>
          </w:tcPr>
          <w:p>
            <w:pPr>
              <w:jc w:val="center"/>
              <w:ind w:left="4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1020" w:type="dxa"/>
            <w:vAlign w:val="bottom"/>
            <w:tcBorders>
              <w:left w:val="single" w:sz="8" w:color="7F7F7F"/>
              <w:bottom w:val="single" w:sz="8" w:color="D8D8D8"/>
            </w:tcBorders>
            <w:shd w:val="clear" w:color="auto" w:fill="D8D8D8"/>
          </w:tcPr>
          <w:p>
            <w:pPr>
              <w:spacing w:after="0"/>
              <w:rPr>
                <w:sz w:val="10"/>
                <w:szCs w:val="10"/>
                <w:color w:val="auto"/>
              </w:rPr>
            </w:pPr>
          </w:p>
        </w:tc>
        <w:tc>
          <w:tcPr>
            <w:tcW w:w="480" w:type="dxa"/>
            <w:vAlign w:val="bottom"/>
            <w:tcBorders>
              <w:bottom w:val="single" w:sz="8" w:color="D8D8D8"/>
            </w:tcBorders>
            <w:shd w:val="clear" w:color="auto" w:fill="D8D8D8"/>
          </w:tcPr>
          <w:p>
            <w:pPr>
              <w:spacing w:after="0"/>
              <w:rPr>
                <w:sz w:val="10"/>
                <w:szCs w:val="10"/>
                <w:color w:val="auto"/>
              </w:rPr>
            </w:pPr>
          </w:p>
        </w:tc>
        <w:tc>
          <w:tcPr>
            <w:tcW w:w="3620" w:type="dxa"/>
            <w:vAlign w:val="bottom"/>
            <w:tcBorders>
              <w:bottom w:val="single" w:sz="8" w:color="D8D8D8"/>
            </w:tcBorders>
            <w:vMerge w:val="continue"/>
            <w:shd w:val="clear" w:color="auto" w:fill="D8D8D8"/>
          </w:tcPr>
          <w:p>
            <w:pPr>
              <w:spacing w:after="0"/>
              <w:rPr>
                <w:sz w:val="10"/>
                <w:szCs w:val="10"/>
                <w:color w:val="auto"/>
              </w:rPr>
            </w:pPr>
          </w:p>
        </w:tc>
        <w:tc>
          <w:tcPr>
            <w:tcW w:w="1920" w:type="dxa"/>
            <w:vAlign w:val="bottom"/>
            <w:tcBorders>
              <w:bottom w:val="single" w:sz="8" w:color="D8D8D8"/>
            </w:tcBorders>
            <w:shd w:val="clear" w:color="auto" w:fill="D8D8D8"/>
          </w:tcPr>
          <w:p>
            <w:pPr>
              <w:spacing w:after="0"/>
              <w:rPr>
                <w:sz w:val="10"/>
                <w:szCs w:val="10"/>
                <w:color w:val="auto"/>
              </w:rPr>
            </w:pPr>
          </w:p>
        </w:tc>
        <w:tc>
          <w:tcPr>
            <w:tcW w:w="480" w:type="dxa"/>
            <w:vAlign w:val="bottom"/>
            <w:tcBorders>
              <w:bottom w:val="single" w:sz="8" w:color="D8D8D8"/>
            </w:tcBorders>
            <w:shd w:val="clear" w:color="auto" w:fill="D8D8D8"/>
          </w:tcPr>
          <w:p>
            <w:pPr>
              <w:spacing w:after="0"/>
              <w:rPr>
                <w:sz w:val="10"/>
                <w:szCs w:val="10"/>
                <w:color w:val="auto"/>
              </w:rPr>
            </w:pPr>
          </w:p>
        </w:tc>
        <w:tc>
          <w:tcPr>
            <w:tcW w:w="560" w:type="dxa"/>
            <w:vAlign w:val="bottom"/>
            <w:tcBorders>
              <w:bottom w:val="single" w:sz="8" w:color="D8D8D8"/>
            </w:tcBorders>
            <w:vMerge w:val="continue"/>
            <w:shd w:val="clear" w:color="auto" w:fill="D8D8D8"/>
          </w:tcPr>
          <w:p>
            <w:pPr>
              <w:spacing w:after="0"/>
              <w:rPr>
                <w:sz w:val="10"/>
                <w:szCs w:val="10"/>
                <w:color w:val="auto"/>
              </w:rPr>
            </w:pPr>
          </w:p>
        </w:tc>
        <w:tc>
          <w:tcPr>
            <w:tcW w:w="1360" w:type="dxa"/>
            <w:vAlign w:val="bottom"/>
            <w:tcBorders>
              <w:bottom w:val="single" w:sz="8" w:color="D8D8D8"/>
            </w:tcBorders>
            <w:vMerge w:val="continue"/>
            <w:shd w:val="clear" w:color="auto" w:fill="D8D8D8"/>
          </w:tcPr>
          <w:p>
            <w:pPr>
              <w:spacing w:after="0"/>
              <w:rPr>
                <w:sz w:val="10"/>
                <w:szCs w:val="10"/>
                <w:color w:val="auto"/>
              </w:rPr>
            </w:pPr>
          </w:p>
        </w:tc>
        <w:tc>
          <w:tcPr>
            <w:tcW w:w="1520" w:type="dxa"/>
            <w:vAlign w:val="bottom"/>
            <w:tcBorders>
              <w:bottom w:val="single" w:sz="8" w:color="D8D8D8"/>
              <w:right w:val="single" w:sz="8" w:color="7F7F7F"/>
            </w:tcBorders>
            <w:vMerge w:val="continue"/>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20" w:type="dxa"/>
            <w:vAlign w:val="bottom"/>
            <w:tcBorders>
              <w:left w:val="single" w:sz="8" w:color="7F7F7F"/>
            </w:tcBorders>
            <w:shd w:val="clear" w:color="auto" w:fill="7F7F7F"/>
          </w:tcPr>
          <w:p>
            <w:pPr>
              <w:spacing w:after="0" w:line="20" w:lineRule="exact"/>
              <w:rPr>
                <w:sz w:val="1"/>
                <w:szCs w:val="1"/>
                <w:color w:val="auto"/>
              </w:rPr>
            </w:pPr>
          </w:p>
        </w:tc>
        <w:tc>
          <w:tcPr>
            <w:tcW w:w="480" w:type="dxa"/>
            <w:vAlign w:val="bottom"/>
            <w:shd w:val="clear" w:color="auto" w:fill="7F7F7F"/>
          </w:tcPr>
          <w:p>
            <w:pPr>
              <w:spacing w:after="0" w:line="20" w:lineRule="exact"/>
              <w:rPr>
                <w:sz w:val="1"/>
                <w:szCs w:val="1"/>
                <w:color w:val="auto"/>
              </w:rPr>
            </w:pPr>
          </w:p>
        </w:tc>
        <w:tc>
          <w:tcPr>
            <w:tcW w:w="3620" w:type="dxa"/>
            <w:vAlign w:val="bottom"/>
            <w:shd w:val="clear" w:color="auto" w:fill="7F7F7F"/>
          </w:tcPr>
          <w:p>
            <w:pPr>
              <w:spacing w:after="0" w:line="20" w:lineRule="exact"/>
              <w:rPr>
                <w:sz w:val="1"/>
                <w:szCs w:val="1"/>
                <w:color w:val="auto"/>
              </w:rPr>
            </w:pPr>
          </w:p>
        </w:tc>
        <w:tc>
          <w:tcPr>
            <w:tcW w:w="1920" w:type="dxa"/>
            <w:vAlign w:val="bottom"/>
            <w:shd w:val="clear" w:color="auto" w:fill="7F7F7F"/>
          </w:tcPr>
          <w:p>
            <w:pPr>
              <w:spacing w:after="0" w:line="20" w:lineRule="exact"/>
              <w:rPr>
                <w:sz w:val="1"/>
                <w:szCs w:val="1"/>
                <w:color w:val="auto"/>
              </w:rPr>
            </w:pPr>
          </w:p>
        </w:tc>
        <w:tc>
          <w:tcPr>
            <w:tcW w:w="480" w:type="dxa"/>
            <w:vAlign w:val="bottom"/>
            <w:shd w:val="clear" w:color="auto" w:fill="7F7F7F"/>
          </w:tcPr>
          <w:p>
            <w:pPr>
              <w:spacing w:after="0" w:line="20" w:lineRule="exact"/>
              <w:rPr>
                <w:sz w:val="1"/>
                <w:szCs w:val="1"/>
                <w:color w:val="auto"/>
              </w:rPr>
            </w:pPr>
          </w:p>
        </w:tc>
        <w:tc>
          <w:tcPr>
            <w:tcW w:w="560" w:type="dxa"/>
            <w:vAlign w:val="bottom"/>
            <w:shd w:val="clear" w:color="auto" w:fill="7F7F7F"/>
          </w:tcPr>
          <w:p>
            <w:pPr>
              <w:spacing w:after="0" w:line="20" w:lineRule="exact"/>
              <w:rPr>
                <w:sz w:val="1"/>
                <w:szCs w:val="1"/>
                <w:color w:val="auto"/>
              </w:rPr>
            </w:pPr>
          </w:p>
        </w:tc>
        <w:tc>
          <w:tcPr>
            <w:tcW w:w="1360" w:type="dxa"/>
            <w:vAlign w:val="bottom"/>
            <w:shd w:val="clear" w:color="auto" w:fill="7F7F7F"/>
          </w:tcPr>
          <w:p>
            <w:pPr>
              <w:spacing w:after="0" w:line="20" w:lineRule="exact"/>
              <w:rPr>
                <w:sz w:val="1"/>
                <w:szCs w:val="1"/>
                <w:color w:val="auto"/>
              </w:rPr>
            </w:pPr>
          </w:p>
        </w:tc>
        <w:tc>
          <w:tcPr>
            <w:tcW w:w="1520" w:type="dxa"/>
            <w:vAlign w:val="bottom"/>
            <w:tcBorders>
              <w:right w:val="single" w:sz="8" w:color="7F7F7F"/>
            </w:tcBorders>
            <w:shd w:val="clear" w:color="auto" w:fill="7F7F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540" w:right="100" w:hanging="424"/>
        <w:spacing w:after="0" w:line="256" w:lineRule="auto"/>
        <w:tabs>
          <w:tab w:leader="none" w:pos="5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Credited service is computed as of the same pension plan measurement date used for financial statement reporting purposes with respect to Chevron’s audited 2021 financial statements and is generally the period that an employee is a participant in the plan for which the employee is an eligible employee and receives pay from a participating company. Credited service does not include service prior to July 1, 1986, if employees were under age 25. Our NEOs have such pre–July 1, 1986, age 25 service. Their actual years of service are as follows: Mr. Wirth, 39 years; Mr. Johnson, 41 years; Mr. Geagea, 40 years; and Mr. Nelson, 37 years.</w:t>
      </w:r>
    </w:p>
    <w:p>
      <w:pPr>
        <w:spacing w:after="0" w:line="82" w:lineRule="exact"/>
        <w:rPr>
          <w:rFonts w:ascii="Arial" w:cs="Arial" w:eastAsia="Arial" w:hAnsi="Arial"/>
          <w:sz w:val="14"/>
          <w:szCs w:val="14"/>
          <w:color w:val="auto"/>
        </w:rPr>
      </w:pPr>
    </w:p>
    <w:p>
      <w:pPr>
        <w:ind w:left="540" w:right="40" w:hanging="424"/>
        <w:spacing w:after="0" w:line="246" w:lineRule="auto"/>
        <w:tabs>
          <w:tab w:leader="none" w:pos="5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Reflects the actuarial present value of the accumulated benefit as of December 31, 2021, computed as of the same pension plan measurement date used for financial statement reporting purposes with respect to Chevron’s audited 2021 financial statements. A present value of the benefit is determined at the earliest age when participants may retire without any benefit reduction due to age (age 60, or current age if older, for the NEOs), using service and compensation as of December 31, 2021. This present value is then discounted with interest to the date used for financial reporting purposes. Except for the assumption that the retirement age is the earliest retirement without a benefit reduction due to age, the assumptions used to compute the present value of accumulated benefits are the assumptions described in Note 23, “Employee Benefit Plans,” to the Consolidated Financial Statements contained in our Annual Report on Form 10-K for the year ended December 31, 2021. These assumptions include the discount rate of 2.8% as of December 31, 2021. This rate reflects the rate at which benefits could be effectively settled and is equal to the equivalent single rate resulting from yield curve analysis as described in Note 23. The present values reflect the lump sum forms of payment based on the lump sum interest rate assumptions used for financial reporting purposes on December 31, 2021, which are representative of the Pension Protection Act of 2006 lump sum interest rates.</w:t>
      </w:r>
    </w:p>
    <w:p>
      <w:pPr>
        <w:spacing w:after="0" w:line="91" w:lineRule="exact"/>
        <w:rPr>
          <w:sz w:val="20"/>
          <w:szCs w:val="20"/>
          <w:color w:val="auto"/>
        </w:rPr>
      </w:pPr>
    </w:p>
    <w:p>
      <w:pPr>
        <w:ind w:left="540" w:right="60"/>
        <w:spacing w:after="0" w:line="285" w:lineRule="auto"/>
        <w:rPr>
          <w:sz w:val="20"/>
          <w:szCs w:val="20"/>
          <w:color w:val="auto"/>
        </w:rPr>
      </w:pPr>
      <w:r>
        <w:rPr>
          <w:rFonts w:ascii="Arial" w:cs="Arial" w:eastAsia="Arial" w:hAnsi="Arial"/>
          <w:sz w:val="14"/>
          <w:szCs w:val="14"/>
          <w:color w:val="auto"/>
        </w:rPr>
        <w:t>See footnote 5 to the “Summary Compensation Table” in this Proxy Statement for a description of the factors related to the change in the present value of the pension benefit.</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70</w:t>
      </w:r>
    </w:p>
    <w:p>
      <w:pPr>
        <w:sectPr>
          <w:pgSz w:w="11900" w:h="16838" w:orient="portrait"/>
          <w:cols w:equalWidth="0" w:num="1">
            <w:col w:w="11140"/>
          </w:cols>
          <w:pgMar w:left="320" w:top="455" w:right="4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208280</wp:posOffset>
            </wp:positionV>
            <wp:extent cx="1474470" cy="1454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474470" cy="145415"/>
                    </a:xfrm>
                    <a:prstGeom prst="rect">
                      <a:avLst/>
                    </a:prstGeom>
                    <a:noFill/>
                  </pic:spPr>
                </pic:pic>
              </a:graphicData>
            </a:graphic>
          </wp:anchor>
        </w:drawing>
      </w:r>
    </w:p>
    <w:p>
      <w:pPr>
        <w:spacing w:after="0" w:line="339"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FFFFFF"/>
        </w:rPr>
        <w:t>Executive compensation</w:t>
      </w:r>
    </w:p>
    <w:p>
      <w:pPr>
        <w:spacing w:after="0" w:line="172"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color w:val="auto"/>
        </w:rPr>
        <w:t>Our NEOs are eligible for a pension after retirement and participate in both the Chevron Retirement Plan (a defined-benefit pension plan that is intended to be tax-qualified under Code section 401(a)) and the Chevron Retirement Restoration Plan (an unfunded, nonqualified defined-benefit pension plan). The RRP is designed to provide benefits comparable with those provided by the CRP, but that cannot be paid from the CRP because of Code limitations on benefits and earnings.</w:t>
      </w:r>
    </w:p>
    <w:p>
      <w:pPr>
        <w:spacing w:after="0" w:line="16"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For employees hired prior to January 1, 2008, including all of our NEOs, the age 65 retirement benefits are calculated as a single life annuity equal to 1.6% of the participant’s highest average earnings multiplied by years of credited service, minus an offset for Social Security benefits. For this purpose, “highest average earnings” are the average of the highest base salary and CIP awards over 36 consecutive months. On December 31, 2021, the applicable annualized averages were: Mr. Wirth, $4,210,000; Mr. Breber, $2,329,367; Mr. Johnson, $2,923,000; Mr. Geagea, $2,335,167; and Mr. Nelson, $1,650,861.</w:t>
      </w:r>
    </w:p>
    <w:p>
      <w:pPr>
        <w:spacing w:after="0" w:line="18" w:lineRule="exact"/>
        <w:rPr>
          <w:sz w:val="20"/>
          <w:szCs w:val="20"/>
          <w:color w:val="auto"/>
        </w:rPr>
      </w:pPr>
    </w:p>
    <w:p>
      <w:pPr>
        <w:ind w:left="120" w:right="320"/>
        <w:spacing w:after="0" w:line="281" w:lineRule="auto"/>
        <w:rPr>
          <w:sz w:val="20"/>
          <w:szCs w:val="20"/>
          <w:color w:val="auto"/>
        </w:rPr>
      </w:pPr>
      <w:r>
        <w:rPr>
          <w:rFonts w:ascii="Arial" w:cs="Arial" w:eastAsia="Arial" w:hAnsi="Arial"/>
          <w:sz w:val="16"/>
          <w:szCs w:val="16"/>
          <w:color w:val="auto"/>
        </w:rPr>
        <w:t>The CRP benefit reflects the earnings limitation imposed by the Code for qualified plans. On December 31, 2021, the applicable annualized earnings, after reflecting the average of the last three-year Code Compensation limitations, was $285,000.</w:t>
      </w:r>
    </w:p>
    <w:p>
      <w:pPr>
        <w:spacing w:after="0" w:line="1" w:lineRule="exact"/>
        <w:rPr>
          <w:sz w:val="20"/>
          <w:szCs w:val="20"/>
          <w:color w:val="auto"/>
        </w:rPr>
      </w:pPr>
    </w:p>
    <w:p>
      <w:pPr>
        <w:ind w:left="120" w:right="80"/>
        <w:spacing w:after="0" w:line="266" w:lineRule="auto"/>
        <w:rPr>
          <w:sz w:val="20"/>
          <w:szCs w:val="20"/>
          <w:color w:val="auto"/>
        </w:rPr>
      </w:pPr>
      <w:r>
        <w:rPr>
          <w:rFonts w:ascii="Arial" w:cs="Arial" w:eastAsia="Arial" w:hAnsi="Arial"/>
          <w:sz w:val="16"/>
          <w:szCs w:val="16"/>
          <w:color w:val="auto"/>
        </w:rPr>
        <w:t>The RRP benefit reflects the difference between the total retirement benefit and the benefit provided under the CRP. The age 65 retirement benefits for employees hired prior to January 1, 2008, are actuarially reduced below age 50, reduced by early retirement discount factors of 5% per year from age 50 to age 60, and unreduced at age 60.</w:t>
      </w:r>
    </w:p>
    <w:p>
      <w:pPr>
        <w:spacing w:after="0" w:line="9" w:lineRule="exact"/>
        <w:rPr>
          <w:sz w:val="20"/>
          <w:szCs w:val="20"/>
          <w:color w:val="auto"/>
        </w:rPr>
      </w:pPr>
    </w:p>
    <w:p>
      <w:pPr>
        <w:ind w:left="120" w:right="80"/>
        <w:spacing w:after="0" w:line="281" w:lineRule="auto"/>
        <w:rPr>
          <w:sz w:val="20"/>
          <w:szCs w:val="20"/>
          <w:color w:val="auto"/>
        </w:rPr>
      </w:pPr>
      <w:r>
        <w:rPr>
          <w:rFonts w:ascii="Arial" w:cs="Arial" w:eastAsia="Arial" w:hAnsi="Arial"/>
          <w:sz w:val="16"/>
          <w:szCs w:val="16"/>
          <w:color w:val="auto"/>
        </w:rPr>
        <w:t>Participants are eligible for an early retirement benefit if they are vested on the date employment ends. Generally, a participant is vested after completing five years of service. All NEOs are eligible for an early retirement benefit, calculated as described above.</w:t>
      </w:r>
    </w:p>
    <w:p>
      <w:pPr>
        <w:spacing w:after="0" w:line="1" w:lineRule="exact"/>
        <w:rPr>
          <w:sz w:val="20"/>
          <w:szCs w:val="20"/>
          <w:color w:val="auto"/>
        </w:rPr>
      </w:pPr>
    </w:p>
    <w:p>
      <w:pPr>
        <w:ind w:left="120" w:right="20"/>
        <w:spacing w:after="0" w:line="281" w:lineRule="auto"/>
        <w:rPr>
          <w:sz w:val="20"/>
          <w:szCs w:val="20"/>
          <w:color w:val="auto"/>
        </w:rPr>
      </w:pPr>
      <w:r>
        <w:rPr>
          <w:rFonts w:ascii="Arial" w:cs="Arial" w:eastAsia="Arial" w:hAnsi="Arial"/>
          <w:sz w:val="16"/>
          <w:szCs w:val="16"/>
          <w:color w:val="auto"/>
        </w:rPr>
        <w:t>Despite the calculations above, all retirees may elect to have their benefits paid in the form of a single life annuity or lump sum. Joint and survivor annuity, life and term-certain annuity, and uniform income annuity options are also available under the CRP.</w:t>
      </w:r>
    </w:p>
    <w:p>
      <w:pPr>
        <w:spacing w:after="0" w:line="1"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color w:val="auto"/>
        </w:rPr>
        <w:t>The equivalent of optional forms of annuity payment are calculated by multiplying the early retirement benefit by actuarial factors, based on age, in effect on the benefit calculation date. The Code applicable interest rate and applicable mortality table are used for converting from one form of benefit to an actuarially equivalent optional form of benefit. Employees can elect to have their CRP benefit commence prior to normal retirement age, which is age 65, but no earlier than when employment ends. CRP participants do not make distribution elections until separation from service.</w:t>
      </w:r>
    </w:p>
    <w:p>
      <w:pPr>
        <w:spacing w:after="0" w:line="70"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The RRP may be paid as early as the first quarter that is at least one year following separation from service. Retirees may elect to receive the RRP lump sum equivalent in a single payment or in up to 10 annual installments.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NEOs made the following RRP distribution elections:</w:t>
      </w:r>
    </w:p>
    <w:p>
      <w:pPr>
        <w:spacing w:after="0" w:line="168" w:lineRule="exact"/>
        <w:rPr>
          <w:sz w:val="20"/>
          <w:szCs w:val="20"/>
          <w:color w:val="auto"/>
        </w:rPr>
      </w:pPr>
    </w:p>
    <w:tbl>
      <w:tblPr>
        <w:tblLayout w:type="fixed"/>
        <w:tblInd w:w="170" w:type="dxa"/>
        <w:tblCellMar>
          <w:top w:w="0" w:type="dxa"/>
          <w:left w:w="0" w:type="dxa"/>
          <w:bottom w:w="0" w:type="dxa"/>
          <w:right w:w="0" w:type="dxa"/>
        </w:tblCellMar>
      </w:tblPr>
      <w:tr>
        <w:trPr>
          <w:trHeight w:val="188"/>
        </w:trPr>
        <w:tc>
          <w:tcPr>
            <w:tcW w:w="1640" w:type="dxa"/>
            <w:vAlign w:val="bottom"/>
            <w:tcBorders>
              <w:left w:val="single" w:sz="8" w:color="7F7F7F"/>
            </w:tcBorders>
            <w:shd w:val="clear" w:color="auto" w:fill="0066B2"/>
          </w:tcPr>
          <w:p>
            <w:pPr>
              <w:spacing w:after="0"/>
              <w:rPr>
                <w:sz w:val="16"/>
                <w:szCs w:val="16"/>
                <w:color w:val="auto"/>
              </w:rPr>
            </w:pPr>
          </w:p>
        </w:tc>
        <w:tc>
          <w:tcPr>
            <w:tcW w:w="2380" w:type="dxa"/>
            <w:vAlign w:val="bottom"/>
            <w:shd w:val="clear" w:color="auto" w:fill="0066B2"/>
          </w:tcPr>
          <w:p>
            <w:pPr>
              <w:jc w:val="center"/>
              <w:ind w:left="139"/>
              <w:spacing w:after="0"/>
              <w:rPr>
                <w:sz w:val="20"/>
                <w:szCs w:val="20"/>
                <w:color w:val="auto"/>
              </w:rPr>
            </w:pPr>
            <w:r>
              <w:rPr>
                <w:rFonts w:ascii="Arial" w:cs="Arial" w:eastAsia="Arial" w:hAnsi="Arial"/>
                <w:sz w:val="16"/>
                <w:szCs w:val="16"/>
                <w:b w:val="1"/>
                <w:bCs w:val="1"/>
                <w:color w:val="FFFFFF"/>
                <w:w w:val="99"/>
              </w:rPr>
              <w:t>Number of annual</w:t>
            </w:r>
          </w:p>
        </w:tc>
        <w:tc>
          <w:tcPr>
            <w:tcW w:w="6940" w:type="dxa"/>
            <w:vAlign w:val="bottom"/>
            <w:tcBorders>
              <w:right w:val="single" w:sz="8" w:color="7F7F7F"/>
            </w:tcBorders>
            <w:shd w:val="clear" w:color="auto" w:fill="0066B2"/>
          </w:tcPr>
          <w:p>
            <w:pPr>
              <w:spacing w:after="0"/>
              <w:rPr>
                <w:sz w:val="16"/>
                <w:szCs w:val="16"/>
                <w:color w:val="auto"/>
              </w:rPr>
            </w:pPr>
          </w:p>
        </w:tc>
      </w:tr>
      <w:tr>
        <w:trPr>
          <w:trHeight w:val="203"/>
        </w:trPr>
        <w:tc>
          <w:tcPr>
            <w:tcW w:w="1640" w:type="dxa"/>
            <w:vAlign w:val="bottom"/>
            <w:tcBorders>
              <w:left w:val="single" w:sz="8" w:color="7F7F7F"/>
            </w:tcBorders>
            <w:shd w:val="clear" w:color="auto" w:fill="0066B2"/>
          </w:tcPr>
          <w:p>
            <w:pPr>
              <w:ind w:left="140"/>
              <w:spacing w:after="0"/>
              <w:rPr>
                <w:sz w:val="20"/>
                <w:szCs w:val="20"/>
                <w:color w:val="auto"/>
              </w:rPr>
            </w:pPr>
            <w:r>
              <w:rPr>
                <w:rFonts w:ascii="Arial" w:cs="Arial" w:eastAsia="Arial" w:hAnsi="Arial"/>
                <w:sz w:val="16"/>
                <w:szCs w:val="16"/>
                <w:b w:val="1"/>
                <w:bCs w:val="1"/>
                <w:color w:val="FFFFFF"/>
              </w:rPr>
              <w:t>Name</w:t>
            </w:r>
          </w:p>
        </w:tc>
        <w:tc>
          <w:tcPr>
            <w:tcW w:w="2380" w:type="dxa"/>
            <w:vAlign w:val="bottom"/>
            <w:shd w:val="clear" w:color="auto" w:fill="0066B2"/>
          </w:tcPr>
          <w:p>
            <w:pPr>
              <w:jc w:val="center"/>
              <w:ind w:left="139"/>
              <w:spacing w:after="0"/>
              <w:rPr>
                <w:sz w:val="20"/>
                <w:szCs w:val="20"/>
                <w:color w:val="auto"/>
              </w:rPr>
            </w:pPr>
            <w:r>
              <w:rPr>
                <w:rFonts w:ascii="Arial" w:cs="Arial" w:eastAsia="Arial" w:hAnsi="Arial"/>
                <w:sz w:val="16"/>
                <w:szCs w:val="16"/>
                <w:b w:val="1"/>
                <w:bCs w:val="1"/>
                <w:color w:val="FFFFFF"/>
              </w:rPr>
              <w:t>installments elected</w:t>
            </w:r>
          </w:p>
        </w:tc>
        <w:tc>
          <w:tcPr>
            <w:tcW w:w="6940" w:type="dxa"/>
            <w:vAlign w:val="bottom"/>
            <w:tcBorders>
              <w:right w:val="single" w:sz="8" w:color="7F7F7F"/>
            </w:tcBorders>
            <w:shd w:val="clear" w:color="auto" w:fill="0066B2"/>
          </w:tcPr>
          <w:p>
            <w:pPr>
              <w:ind w:left="300"/>
              <w:spacing w:after="0"/>
              <w:rPr>
                <w:sz w:val="20"/>
                <w:szCs w:val="20"/>
                <w:color w:val="auto"/>
              </w:rPr>
            </w:pPr>
            <w:r>
              <w:rPr>
                <w:rFonts w:ascii="Arial" w:cs="Arial" w:eastAsia="Arial" w:hAnsi="Arial"/>
                <w:sz w:val="16"/>
                <w:szCs w:val="16"/>
                <w:b w:val="1"/>
                <w:bCs w:val="1"/>
                <w:color w:val="FFFFFF"/>
              </w:rPr>
              <w:t>Time of first payment</w:t>
            </w:r>
          </w:p>
        </w:tc>
      </w:tr>
      <w:tr>
        <w:trPr>
          <w:trHeight w:val="243"/>
        </w:trPr>
        <w:tc>
          <w:tcPr>
            <w:tcW w:w="1640" w:type="dxa"/>
            <w:vAlign w:val="bottom"/>
            <w:tcBorders>
              <w:left w:val="single" w:sz="8" w:color="7F7F7F"/>
            </w:tcBorders>
            <w:shd w:val="clear" w:color="auto" w:fill="D8D8D8"/>
          </w:tcPr>
          <w:p>
            <w:pPr>
              <w:ind w:left="140"/>
              <w:spacing w:after="0"/>
              <w:rPr>
                <w:sz w:val="20"/>
                <w:szCs w:val="20"/>
                <w:color w:val="auto"/>
              </w:rPr>
            </w:pPr>
            <w:r>
              <w:rPr>
                <w:rFonts w:ascii="Arial" w:cs="Arial" w:eastAsia="Arial" w:hAnsi="Arial"/>
                <w:sz w:val="16"/>
                <w:szCs w:val="16"/>
                <w:color w:val="auto"/>
              </w:rPr>
              <w:t>M.K. Wirth</w:t>
            </w:r>
          </w:p>
        </w:tc>
        <w:tc>
          <w:tcPr>
            <w:tcW w:w="2380" w:type="dxa"/>
            <w:vAlign w:val="bottom"/>
            <w:shd w:val="clear" w:color="auto" w:fill="D8D8D8"/>
          </w:tcPr>
          <w:p>
            <w:pPr>
              <w:jc w:val="center"/>
              <w:ind w:left="139"/>
              <w:spacing w:after="0"/>
              <w:rPr>
                <w:sz w:val="20"/>
                <w:szCs w:val="20"/>
                <w:color w:val="auto"/>
              </w:rPr>
            </w:pPr>
            <w:r>
              <w:rPr>
                <w:rFonts w:ascii="Arial" w:cs="Arial" w:eastAsia="Arial" w:hAnsi="Arial"/>
                <w:sz w:val="16"/>
                <w:szCs w:val="16"/>
                <w:color w:val="auto"/>
                <w:w w:val="89"/>
              </w:rPr>
              <w:t>1</w:t>
            </w:r>
          </w:p>
        </w:tc>
        <w:tc>
          <w:tcPr>
            <w:tcW w:w="6940" w:type="dxa"/>
            <w:vAlign w:val="bottom"/>
            <w:tcBorders>
              <w:right w:val="single" w:sz="8" w:color="7F7F7F"/>
            </w:tcBorders>
            <w:shd w:val="clear" w:color="auto" w:fill="D8D8D8"/>
          </w:tcPr>
          <w:p>
            <w:pPr>
              <w:ind w:left="300"/>
              <w:spacing w:after="0"/>
              <w:rPr>
                <w:sz w:val="20"/>
                <w:szCs w:val="20"/>
                <w:color w:val="auto"/>
              </w:rPr>
            </w:pPr>
            <w:r>
              <w:rPr>
                <w:rFonts w:ascii="Arial" w:cs="Arial" w:eastAsia="Arial" w:hAnsi="Arial"/>
                <w:sz w:val="16"/>
                <w:szCs w:val="16"/>
                <w:color w:val="auto"/>
              </w:rPr>
              <w:t>First quarter that is at least one year following separation from service</w:t>
            </w:r>
          </w:p>
        </w:tc>
      </w:tr>
      <w:tr>
        <w:trPr>
          <w:trHeight w:val="235"/>
        </w:trPr>
        <w:tc>
          <w:tcPr>
            <w:tcW w:w="1640" w:type="dxa"/>
            <w:vAlign w:val="bottom"/>
            <w:tcBorders>
              <w:left w:val="single" w:sz="8" w:color="7F7F7F"/>
            </w:tcBorders>
          </w:tcPr>
          <w:p>
            <w:pPr>
              <w:ind w:left="140"/>
              <w:spacing w:after="0"/>
              <w:rPr>
                <w:sz w:val="20"/>
                <w:szCs w:val="20"/>
                <w:color w:val="auto"/>
              </w:rPr>
            </w:pPr>
            <w:r>
              <w:rPr>
                <w:rFonts w:ascii="Arial" w:cs="Arial" w:eastAsia="Arial" w:hAnsi="Arial"/>
                <w:sz w:val="16"/>
                <w:szCs w:val="16"/>
                <w:color w:val="auto"/>
              </w:rPr>
              <w:t>P.R. Breber</w:t>
            </w:r>
          </w:p>
        </w:tc>
        <w:tc>
          <w:tcPr>
            <w:tcW w:w="2380" w:type="dxa"/>
            <w:vAlign w:val="bottom"/>
          </w:tcPr>
          <w:p>
            <w:pPr>
              <w:jc w:val="center"/>
              <w:ind w:left="139"/>
              <w:spacing w:after="0"/>
              <w:rPr>
                <w:sz w:val="20"/>
                <w:szCs w:val="20"/>
                <w:color w:val="auto"/>
              </w:rPr>
            </w:pPr>
            <w:r>
              <w:rPr>
                <w:rFonts w:ascii="Arial" w:cs="Arial" w:eastAsia="Arial" w:hAnsi="Arial"/>
                <w:sz w:val="16"/>
                <w:szCs w:val="16"/>
                <w:color w:val="auto"/>
                <w:w w:val="89"/>
              </w:rPr>
              <w:t>5</w:t>
            </w:r>
          </w:p>
        </w:tc>
        <w:tc>
          <w:tcPr>
            <w:tcW w:w="6940" w:type="dxa"/>
            <w:vAlign w:val="bottom"/>
            <w:tcBorders>
              <w:right w:val="single" w:sz="8" w:color="7F7F7F"/>
            </w:tcBorders>
          </w:tcPr>
          <w:p>
            <w:pPr>
              <w:ind w:left="300"/>
              <w:spacing w:after="0"/>
              <w:rPr>
                <w:sz w:val="20"/>
                <w:szCs w:val="20"/>
                <w:color w:val="auto"/>
              </w:rPr>
            </w:pPr>
            <w:r>
              <w:rPr>
                <w:rFonts w:ascii="Arial" w:cs="Arial" w:eastAsia="Arial" w:hAnsi="Arial"/>
                <w:sz w:val="16"/>
                <w:szCs w:val="16"/>
                <w:color w:val="auto"/>
              </w:rPr>
              <w:t>First January that is at least one year following separation from service</w:t>
            </w:r>
          </w:p>
        </w:tc>
      </w:tr>
      <w:tr>
        <w:trPr>
          <w:trHeight w:val="251"/>
        </w:trPr>
        <w:tc>
          <w:tcPr>
            <w:tcW w:w="1640" w:type="dxa"/>
            <w:vAlign w:val="bottom"/>
            <w:tcBorders>
              <w:left w:val="single" w:sz="8" w:color="7F7F7F"/>
            </w:tcBorders>
            <w:shd w:val="clear" w:color="auto" w:fill="D8D8D8"/>
          </w:tcPr>
          <w:p>
            <w:pPr>
              <w:ind w:left="140"/>
              <w:spacing w:after="0"/>
              <w:rPr>
                <w:sz w:val="20"/>
                <w:szCs w:val="20"/>
                <w:color w:val="auto"/>
              </w:rPr>
            </w:pPr>
            <w:r>
              <w:rPr>
                <w:rFonts w:ascii="Arial" w:cs="Arial" w:eastAsia="Arial" w:hAnsi="Arial"/>
                <w:sz w:val="16"/>
                <w:szCs w:val="16"/>
                <w:color w:val="auto"/>
              </w:rPr>
              <w:t>J.W. Johnson</w:t>
            </w:r>
          </w:p>
        </w:tc>
        <w:tc>
          <w:tcPr>
            <w:tcW w:w="2380" w:type="dxa"/>
            <w:vAlign w:val="bottom"/>
            <w:shd w:val="clear" w:color="auto" w:fill="D8D8D8"/>
          </w:tcPr>
          <w:p>
            <w:pPr>
              <w:jc w:val="center"/>
              <w:ind w:left="139"/>
              <w:spacing w:after="0"/>
              <w:rPr>
                <w:sz w:val="20"/>
                <w:szCs w:val="20"/>
                <w:color w:val="auto"/>
              </w:rPr>
            </w:pPr>
            <w:r>
              <w:rPr>
                <w:rFonts w:ascii="Arial" w:cs="Arial" w:eastAsia="Arial" w:hAnsi="Arial"/>
                <w:sz w:val="16"/>
                <w:szCs w:val="16"/>
                <w:color w:val="auto"/>
                <w:w w:val="89"/>
              </w:rPr>
              <w:t>4</w:t>
            </w:r>
          </w:p>
        </w:tc>
        <w:tc>
          <w:tcPr>
            <w:tcW w:w="6940" w:type="dxa"/>
            <w:vAlign w:val="bottom"/>
            <w:tcBorders>
              <w:right w:val="single" w:sz="8" w:color="7F7F7F"/>
            </w:tcBorders>
            <w:shd w:val="clear" w:color="auto" w:fill="D8D8D8"/>
          </w:tcPr>
          <w:p>
            <w:pPr>
              <w:ind w:left="300"/>
              <w:spacing w:after="0"/>
              <w:rPr>
                <w:sz w:val="20"/>
                <w:szCs w:val="20"/>
                <w:color w:val="auto"/>
              </w:rPr>
            </w:pPr>
            <w:r>
              <w:rPr>
                <w:rFonts w:ascii="Arial" w:cs="Arial" w:eastAsia="Arial" w:hAnsi="Arial"/>
                <w:sz w:val="16"/>
                <w:szCs w:val="16"/>
                <w:color w:val="auto"/>
              </w:rPr>
              <w:t>First quarter that is at least one year following separation from service</w:t>
            </w:r>
          </w:p>
        </w:tc>
      </w:tr>
      <w:tr>
        <w:trPr>
          <w:trHeight w:val="235"/>
        </w:trPr>
        <w:tc>
          <w:tcPr>
            <w:tcW w:w="1640" w:type="dxa"/>
            <w:vAlign w:val="bottom"/>
            <w:tcBorders>
              <w:left w:val="single" w:sz="8" w:color="7F7F7F"/>
            </w:tcBorders>
          </w:tcPr>
          <w:p>
            <w:pPr>
              <w:ind w:left="140"/>
              <w:spacing w:after="0"/>
              <w:rPr>
                <w:sz w:val="20"/>
                <w:szCs w:val="20"/>
                <w:color w:val="auto"/>
              </w:rPr>
            </w:pPr>
            <w:r>
              <w:rPr>
                <w:rFonts w:ascii="Arial" w:cs="Arial" w:eastAsia="Arial" w:hAnsi="Arial"/>
                <w:sz w:val="16"/>
                <w:szCs w:val="16"/>
                <w:color w:val="auto"/>
              </w:rPr>
              <w:t>J.C. Geagea</w:t>
            </w:r>
          </w:p>
        </w:tc>
        <w:tc>
          <w:tcPr>
            <w:tcW w:w="2380" w:type="dxa"/>
            <w:vAlign w:val="bottom"/>
          </w:tcPr>
          <w:p>
            <w:pPr>
              <w:jc w:val="center"/>
              <w:ind w:left="139"/>
              <w:spacing w:after="0"/>
              <w:rPr>
                <w:sz w:val="20"/>
                <w:szCs w:val="20"/>
                <w:color w:val="auto"/>
              </w:rPr>
            </w:pPr>
            <w:r>
              <w:rPr>
                <w:rFonts w:ascii="Arial" w:cs="Arial" w:eastAsia="Arial" w:hAnsi="Arial"/>
                <w:sz w:val="16"/>
                <w:szCs w:val="16"/>
                <w:color w:val="auto"/>
                <w:w w:val="89"/>
              </w:rPr>
              <w:t>1</w:t>
            </w:r>
          </w:p>
        </w:tc>
        <w:tc>
          <w:tcPr>
            <w:tcW w:w="6940" w:type="dxa"/>
            <w:vAlign w:val="bottom"/>
            <w:tcBorders>
              <w:right w:val="single" w:sz="8" w:color="7F7F7F"/>
            </w:tcBorders>
          </w:tcPr>
          <w:p>
            <w:pPr>
              <w:ind w:left="300"/>
              <w:spacing w:after="0"/>
              <w:rPr>
                <w:sz w:val="20"/>
                <w:szCs w:val="20"/>
                <w:color w:val="auto"/>
              </w:rPr>
            </w:pPr>
            <w:r>
              <w:rPr>
                <w:rFonts w:ascii="Arial" w:cs="Arial" w:eastAsia="Arial" w:hAnsi="Arial"/>
                <w:sz w:val="16"/>
                <w:szCs w:val="16"/>
                <w:color w:val="auto"/>
              </w:rPr>
              <w:t>First quarter that is at least one year following separation from service</w:t>
            </w:r>
          </w:p>
        </w:tc>
      </w:tr>
      <w:tr>
        <w:trPr>
          <w:trHeight w:val="244"/>
        </w:trPr>
        <w:tc>
          <w:tcPr>
            <w:tcW w:w="1640" w:type="dxa"/>
            <w:vAlign w:val="bottom"/>
            <w:tcBorders>
              <w:left w:val="single" w:sz="8" w:color="7F7F7F"/>
              <w:bottom w:val="single" w:sz="8" w:color="7F7F7F"/>
            </w:tcBorders>
            <w:shd w:val="clear" w:color="auto" w:fill="D8D8D8"/>
          </w:tcPr>
          <w:p>
            <w:pPr>
              <w:ind w:left="140"/>
              <w:spacing w:after="0"/>
              <w:rPr>
                <w:sz w:val="20"/>
                <w:szCs w:val="20"/>
                <w:color w:val="auto"/>
              </w:rPr>
            </w:pPr>
            <w:r>
              <w:rPr>
                <w:rFonts w:ascii="Arial" w:cs="Arial" w:eastAsia="Arial" w:hAnsi="Arial"/>
                <w:sz w:val="16"/>
                <w:szCs w:val="16"/>
                <w:color w:val="auto"/>
              </w:rPr>
              <w:t>M.A. Nelson</w:t>
            </w:r>
          </w:p>
        </w:tc>
        <w:tc>
          <w:tcPr>
            <w:tcW w:w="2380" w:type="dxa"/>
            <w:vAlign w:val="bottom"/>
            <w:tcBorders>
              <w:bottom w:val="single" w:sz="8" w:color="7F7F7F"/>
            </w:tcBorders>
            <w:shd w:val="clear" w:color="auto" w:fill="D8D8D8"/>
          </w:tcPr>
          <w:p>
            <w:pPr>
              <w:jc w:val="center"/>
              <w:ind w:left="119"/>
              <w:spacing w:after="0"/>
              <w:rPr>
                <w:sz w:val="20"/>
                <w:szCs w:val="20"/>
                <w:color w:val="auto"/>
              </w:rPr>
            </w:pPr>
            <w:r>
              <w:rPr>
                <w:rFonts w:ascii="Arial" w:cs="Arial" w:eastAsia="Arial" w:hAnsi="Arial"/>
                <w:sz w:val="16"/>
                <w:szCs w:val="16"/>
                <w:color w:val="auto"/>
              </w:rPr>
              <w:t>10</w:t>
            </w:r>
          </w:p>
        </w:tc>
        <w:tc>
          <w:tcPr>
            <w:tcW w:w="6940" w:type="dxa"/>
            <w:vAlign w:val="bottom"/>
            <w:tcBorders>
              <w:bottom w:val="single" w:sz="8" w:color="7F7F7F"/>
              <w:right w:val="single" w:sz="8" w:color="7F7F7F"/>
            </w:tcBorders>
            <w:shd w:val="clear" w:color="auto" w:fill="D8D8D8"/>
          </w:tcPr>
          <w:p>
            <w:pPr>
              <w:ind w:left="300"/>
              <w:spacing w:after="0"/>
              <w:rPr>
                <w:sz w:val="20"/>
                <w:szCs w:val="20"/>
                <w:color w:val="auto"/>
              </w:rPr>
            </w:pPr>
            <w:r>
              <w:rPr>
                <w:rFonts w:ascii="Arial" w:cs="Arial" w:eastAsia="Arial" w:hAnsi="Arial"/>
                <w:sz w:val="16"/>
                <w:szCs w:val="16"/>
                <w:color w:val="auto"/>
              </w:rPr>
              <w:t>First quarter that is at least one year following separation from service</w:t>
            </w:r>
          </w:p>
        </w:tc>
      </w:tr>
    </w:tbl>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0B2D71"/>
        </w:rPr>
        <w:t>Nonqualified deferred compensation table</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this section, we set forth information concerning the value of each NEO’s compensation that is deferred pursuant to our DCP and our ESIP-RP.</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DCP</w:t>
      </w:r>
    </w:p>
    <w:p>
      <w:pPr>
        <w:spacing w:after="0" w:line="58"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auto"/>
        </w:rPr>
        <w:t>The DCP is an unfunded and nonqualified defined contribution plan that permits NEOs to defer up to 90% of CIP awards, up to 90% of LTIP performance share awards, and up to 40% of salary. The DCP is intended to qualify as an unfunded pension plan maintained by an employer for a select group of management or highly compensated employees within the meaning of the Employee Retirement Income and Security Act.</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71</w:t>
      </w:r>
    </w:p>
    <w:p>
      <w:pPr>
        <w:sectPr>
          <w:pgSz w:w="11900" w:h="16838" w:orient="portrait"/>
          <w:cols w:equalWidth="0" w:num="1">
            <w:col w:w="11120"/>
          </w:cols>
          <w:pgMar w:left="320" w:top="455" w:right="4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405890" cy="1454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405890" cy="145415"/>
                    </a:xfrm>
                    <a:prstGeom prst="rect">
                      <a:avLst/>
                    </a:prstGeom>
                    <a:noFill/>
                  </pic:spPr>
                </pic:pic>
              </a:graphicData>
            </a:graphic>
          </wp:anchor>
        </w:drawing>
      </w:r>
    </w:p>
    <w:p>
      <w:pPr>
        <w:spacing w:after="0" w:line="33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Executive compensation</w:t>
      </w:r>
    </w:p>
    <w:p>
      <w:pPr>
        <w:spacing w:after="0" w:line="172" w:lineRule="exact"/>
        <w:rPr>
          <w:sz w:val="20"/>
          <w:szCs w:val="20"/>
          <w:color w:val="auto"/>
        </w:rPr>
      </w:pPr>
    </w:p>
    <w:p>
      <w:pPr>
        <w:jc w:val="both"/>
        <w:ind w:left="120" w:right="180"/>
        <w:spacing w:after="0" w:line="266" w:lineRule="auto"/>
        <w:rPr>
          <w:sz w:val="20"/>
          <w:szCs w:val="20"/>
          <w:color w:val="auto"/>
        </w:rPr>
      </w:pPr>
      <w:r>
        <w:rPr>
          <w:rFonts w:ascii="Arial" w:cs="Arial" w:eastAsia="Arial" w:hAnsi="Arial"/>
          <w:sz w:val="16"/>
          <w:szCs w:val="16"/>
          <w:color w:val="auto"/>
        </w:rPr>
        <w:t>DCP deferrals accrue earnings, including dividend equivalents and common stock price appreciation or depreciation, based upon an NEO’s selection of investments from 15 different funds that are designated by the MCC and that are also available in the ESIP, Chevron’s tax-qualified defined contribution plan open to employees on the U.S. payroll. DCP funds and their annual rates of return as of December 31, 2021, were:</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264"/>
        </w:trPr>
        <w:tc>
          <w:tcPr>
            <w:tcW w:w="8080" w:type="dxa"/>
            <w:vAlign w:val="bottom"/>
            <w:tcBorders>
              <w:top w:val="single" w:sz="8" w:color="7F7F7F"/>
              <w:bottom w:val="single" w:sz="8" w:color="D8D8D8"/>
            </w:tcBorders>
            <w:shd w:val="clear" w:color="auto" w:fill="D8D8D8"/>
          </w:tcPr>
          <w:p>
            <w:pPr>
              <w:spacing w:after="0"/>
              <w:rPr>
                <w:sz w:val="20"/>
                <w:szCs w:val="20"/>
                <w:color w:val="auto"/>
              </w:rPr>
            </w:pPr>
            <w:r>
              <w:rPr>
                <w:rFonts w:ascii="Arial" w:cs="Arial" w:eastAsia="Arial" w:hAnsi="Arial"/>
                <w:sz w:val="16"/>
                <w:szCs w:val="16"/>
                <w:color w:val="auto"/>
              </w:rPr>
              <w:t>Chevron Common Stock Fund</w:t>
            </w:r>
          </w:p>
        </w:tc>
        <w:tc>
          <w:tcPr>
            <w:tcW w:w="2940" w:type="dxa"/>
            <w:vAlign w:val="bottom"/>
            <w:tcBorders>
              <w:top w:val="single" w:sz="8" w:color="7F7F7F"/>
              <w:bottom w:val="single" w:sz="8" w:color="D8D8D8"/>
            </w:tcBorders>
            <w:shd w:val="clear" w:color="auto" w:fill="D8D8D8"/>
          </w:tcPr>
          <w:p>
            <w:pPr>
              <w:jc w:val="right"/>
              <w:ind w:right="139"/>
              <w:spacing w:after="0"/>
              <w:rPr>
                <w:sz w:val="20"/>
                <w:szCs w:val="20"/>
                <w:color w:val="auto"/>
              </w:rPr>
            </w:pPr>
            <w:r>
              <w:rPr>
                <w:rFonts w:ascii="Arial" w:cs="Arial" w:eastAsia="Arial" w:hAnsi="Arial"/>
                <w:sz w:val="16"/>
                <w:szCs w:val="16"/>
                <w:color w:val="auto"/>
              </w:rPr>
              <w:t>46.32%</w:t>
            </w:r>
          </w:p>
        </w:tc>
      </w:tr>
      <w:tr>
        <w:trPr>
          <w:trHeight w:val="241"/>
        </w:trPr>
        <w:tc>
          <w:tcPr>
            <w:tcW w:w="8080" w:type="dxa"/>
            <w:vAlign w:val="bottom"/>
          </w:tcPr>
          <w:p>
            <w:pPr>
              <w:spacing w:after="0"/>
              <w:rPr>
                <w:sz w:val="20"/>
                <w:szCs w:val="20"/>
                <w:color w:val="auto"/>
              </w:rPr>
            </w:pPr>
            <w:r>
              <w:rPr>
                <w:rFonts w:ascii="Arial" w:cs="Arial" w:eastAsia="Arial" w:hAnsi="Arial"/>
                <w:sz w:val="16"/>
                <w:szCs w:val="16"/>
                <w:color w:val="auto"/>
              </w:rPr>
              <w:t>Capital Group EuroPacific Growth Trust (US) Class U3</w:t>
            </w:r>
          </w:p>
        </w:tc>
        <w:tc>
          <w:tcPr>
            <w:tcW w:w="2940" w:type="dxa"/>
            <w:vAlign w:val="bottom"/>
          </w:tcPr>
          <w:p>
            <w:pPr>
              <w:jc w:val="right"/>
              <w:ind w:right="139"/>
              <w:spacing w:after="0"/>
              <w:rPr>
                <w:sz w:val="20"/>
                <w:szCs w:val="20"/>
                <w:color w:val="auto"/>
              </w:rPr>
            </w:pPr>
            <w:r>
              <w:rPr>
                <w:rFonts w:ascii="Arial" w:cs="Arial" w:eastAsia="Arial" w:hAnsi="Arial"/>
                <w:sz w:val="16"/>
                <w:szCs w:val="16"/>
                <w:color w:val="auto"/>
              </w:rPr>
              <w:t>2.92%</w:t>
            </w:r>
          </w:p>
        </w:tc>
      </w:tr>
      <w:tr>
        <w:trPr>
          <w:trHeight w:val="29"/>
        </w:trPr>
        <w:tc>
          <w:tcPr>
            <w:tcW w:w="808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08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6"/>
                <w:szCs w:val="16"/>
                <w:color w:val="auto"/>
              </w:rPr>
              <w:t>Dodge &amp; Cox Income Separate Account</w:t>
            </w:r>
          </w:p>
        </w:tc>
        <w:tc>
          <w:tcPr>
            <w:tcW w:w="2940" w:type="dxa"/>
            <w:vAlign w:val="bottom"/>
            <w:tcBorders>
              <w:bottom w:val="single" w:sz="8" w:color="D8D8D8"/>
            </w:tcBorders>
            <w:shd w:val="clear" w:color="auto" w:fill="D8D8D8"/>
          </w:tcPr>
          <w:p>
            <w:pPr>
              <w:jc w:val="right"/>
              <w:ind w:right="139"/>
              <w:spacing w:after="0"/>
              <w:rPr>
                <w:sz w:val="20"/>
                <w:szCs w:val="20"/>
                <w:color w:val="auto"/>
              </w:rPr>
            </w:pPr>
            <w:r>
              <w:rPr>
                <w:rFonts w:ascii="Arial" w:cs="Arial" w:eastAsia="Arial" w:hAnsi="Arial"/>
                <w:sz w:val="16"/>
                <w:szCs w:val="16"/>
                <w:color w:val="auto"/>
              </w:rPr>
              <w:t>-0.40%</w:t>
            </w:r>
          </w:p>
        </w:tc>
      </w:tr>
      <w:tr>
        <w:trPr>
          <w:trHeight w:val="241"/>
        </w:trPr>
        <w:tc>
          <w:tcPr>
            <w:tcW w:w="8080" w:type="dxa"/>
            <w:vAlign w:val="bottom"/>
          </w:tcPr>
          <w:p>
            <w:pPr>
              <w:spacing w:after="0"/>
              <w:rPr>
                <w:sz w:val="20"/>
                <w:szCs w:val="20"/>
                <w:color w:val="auto"/>
              </w:rPr>
            </w:pPr>
            <w:r>
              <w:rPr>
                <w:rFonts w:ascii="Arial" w:cs="Arial" w:eastAsia="Arial" w:hAnsi="Arial"/>
                <w:sz w:val="16"/>
                <w:szCs w:val="16"/>
                <w:color w:val="auto"/>
              </w:rPr>
              <w:t>State Street U.S. Inflation Protected Bond Index Non-Lending Series Fund Class C</w:t>
            </w:r>
          </w:p>
        </w:tc>
        <w:tc>
          <w:tcPr>
            <w:tcW w:w="2940" w:type="dxa"/>
            <w:vAlign w:val="bottom"/>
          </w:tcPr>
          <w:p>
            <w:pPr>
              <w:jc w:val="right"/>
              <w:ind w:right="139"/>
              <w:spacing w:after="0"/>
              <w:rPr>
                <w:sz w:val="20"/>
                <w:szCs w:val="20"/>
                <w:color w:val="auto"/>
              </w:rPr>
            </w:pPr>
            <w:r>
              <w:rPr>
                <w:rFonts w:ascii="Arial" w:cs="Arial" w:eastAsia="Arial" w:hAnsi="Arial"/>
                <w:sz w:val="16"/>
                <w:szCs w:val="16"/>
                <w:color w:val="auto"/>
              </w:rPr>
              <w:t>5.85%</w:t>
            </w:r>
          </w:p>
        </w:tc>
      </w:tr>
      <w:tr>
        <w:trPr>
          <w:trHeight w:val="29"/>
        </w:trPr>
        <w:tc>
          <w:tcPr>
            <w:tcW w:w="808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08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6"/>
                <w:szCs w:val="16"/>
                <w:color w:val="auto"/>
              </w:rPr>
              <w:t>Vanguard Balanced Index Fund Institutional Shares</w:t>
            </w:r>
          </w:p>
        </w:tc>
        <w:tc>
          <w:tcPr>
            <w:tcW w:w="2940" w:type="dxa"/>
            <w:vAlign w:val="bottom"/>
            <w:tcBorders>
              <w:bottom w:val="single" w:sz="8" w:color="D8D8D8"/>
            </w:tcBorders>
            <w:shd w:val="clear" w:color="auto" w:fill="D8D8D8"/>
          </w:tcPr>
          <w:p>
            <w:pPr>
              <w:jc w:val="right"/>
              <w:ind w:right="139"/>
              <w:spacing w:after="0"/>
              <w:rPr>
                <w:sz w:val="20"/>
                <w:szCs w:val="20"/>
                <w:color w:val="auto"/>
              </w:rPr>
            </w:pPr>
            <w:r>
              <w:rPr>
                <w:rFonts w:ascii="Arial" w:cs="Arial" w:eastAsia="Arial" w:hAnsi="Arial"/>
                <w:sz w:val="16"/>
                <w:szCs w:val="16"/>
                <w:color w:val="auto"/>
              </w:rPr>
              <w:t>14.20%</w:t>
            </w:r>
          </w:p>
        </w:tc>
      </w:tr>
      <w:tr>
        <w:trPr>
          <w:trHeight w:val="241"/>
        </w:trPr>
        <w:tc>
          <w:tcPr>
            <w:tcW w:w="8080" w:type="dxa"/>
            <w:vAlign w:val="bottom"/>
          </w:tcPr>
          <w:p>
            <w:pPr>
              <w:spacing w:after="0"/>
              <w:rPr>
                <w:sz w:val="20"/>
                <w:szCs w:val="20"/>
                <w:color w:val="auto"/>
              </w:rPr>
            </w:pPr>
            <w:r>
              <w:rPr>
                <w:rFonts w:ascii="Arial" w:cs="Arial" w:eastAsia="Arial" w:hAnsi="Arial"/>
                <w:sz w:val="16"/>
                <w:szCs w:val="16"/>
                <w:color w:val="auto"/>
              </w:rPr>
              <w:t>Vanguard Developed Market Index Fund Institutional Plus Shares</w:t>
            </w:r>
          </w:p>
        </w:tc>
        <w:tc>
          <w:tcPr>
            <w:tcW w:w="2940" w:type="dxa"/>
            <w:vAlign w:val="bottom"/>
          </w:tcPr>
          <w:p>
            <w:pPr>
              <w:jc w:val="right"/>
              <w:ind w:right="139"/>
              <w:spacing w:after="0"/>
              <w:rPr>
                <w:sz w:val="20"/>
                <w:szCs w:val="20"/>
                <w:color w:val="auto"/>
              </w:rPr>
            </w:pPr>
            <w:r>
              <w:rPr>
                <w:rFonts w:ascii="Arial" w:cs="Arial" w:eastAsia="Arial" w:hAnsi="Arial"/>
                <w:sz w:val="16"/>
                <w:szCs w:val="16"/>
                <w:color w:val="auto"/>
              </w:rPr>
              <w:t>11.49%</w:t>
            </w:r>
          </w:p>
        </w:tc>
      </w:tr>
      <w:tr>
        <w:trPr>
          <w:trHeight w:val="29"/>
        </w:trPr>
        <w:tc>
          <w:tcPr>
            <w:tcW w:w="808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08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6"/>
                <w:szCs w:val="16"/>
                <w:color w:val="auto"/>
              </w:rPr>
              <w:t>Vanguard Emerging Markets Stock Index Fund Institutional Plus Shares</w:t>
            </w:r>
          </w:p>
        </w:tc>
        <w:tc>
          <w:tcPr>
            <w:tcW w:w="2940" w:type="dxa"/>
            <w:vAlign w:val="bottom"/>
            <w:tcBorders>
              <w:bottom w:val="single" w:sz="8" w:color="D8D8D8"/>
            </w:tcBorders>
            <w:shd w:val="clear" w:color="auto" w:fill="D8D8D8"/>
          </w:tcPr>
          <w:p>
            <w:pPr>
              <w:jc w:val="right"/>
              <w:ind w:right="139"/>
              <w:spacing w:after="0"/>
              <w:rPr>
                <w:sz w:val="20"/>
                <w:szCs w:val="20"/>
                <w:color w:val="auto"/>
              </w:rPr>
            </w:pPr>
            <w:r>
              <w:rPr>
                <w:rFonts w:ascii="Arial" w:cs="Arial" w:eastAsia="Arial" w:hAnsi="Arial"/>
                <w:sz w:val="16"/>
                <w:szCs w:val="16"/>
                <w:color w:val="auto"/>
              </w:rPr>
              <w:t>0.94%</w:t>
            </w:r>
          </w:p>
        </w:tc>
      </w:tr>
      <w:tr>
        <w:trPr>
          <w:trHeight w:val="241"/>
        </w:trPr>
        <w:tc>
          <w:tcPr>
            <w:tcW w:w="8080" w:type="dxa"/>
            <w:vAlign w:val="bottom"/>
          </w:tcPr>
          <w:p>
            <w:pPr>
              <w:spacing w:after="0"/>
              <w:rPr>
                <w:sz w:val="20"/>
                <w:szCs w:val="20"/>
                <w:color w:val="auto"/>
              </w:rPr>
            </w:pPr>
            <w:r>
              <w:rPr>
                <w:rFonts w:ascii="Arial" w:cs="Arial" w:eastAsia="Arial" w:hAnsi="Arial"/>
                <w:sz w:val="16"/>
                <w:szCs w:val="16"/>
                <w:color w:val="auto"/>
              </w:rPr>
              <w:t>Vanguard Federal Money Market Fund Investor Shares</w:t>
            </w:r>
          </w:p>
        </w:tc>
        <w:tc>
          <w:tcPr>
            <w:tcW w:w="2940" w:type="dxa"/>
            <w:vAlign w:val="bottom"/>
          </w:tcPr>
          <w:p>
            <w:pPr>
              <w:jc w:val="right"/>
              <w:ind w:right="139"/>
              <w:spacing w:after="0"/>
              <w:rPr>
                <w:sz w:val="20"/>
                <w:szCs w:val="20"/>
                <w:color w:val="auto"/>
              </w:rPr>
            </w:pPr>
            <w:r>
              <w:rPr>
                <w:rFonts w:ascii="Arial" w:cs="Arial" w:eastAsia="Arial" w:hAnsi="Arial"/>
                <w:sz w:val="16"/>
                <w:szCs w:val="16"/>
                <w:color w:val="auto"/>
              </w:rPr>
              <w:t>0.01%</w:t>
            </w:r>
          </w:p>
        </w:tc>
      </w:tr>
      <w:tr>
        <w:trPr>
          <w:trHeight w:val="29"/>
        </w:trPr>
        <w:tc>
          <w:tcPr>
            <w:tcW w:w="808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08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6"/>
                <w:szCs w:val="16"/>
                <w:color w:val="auto"/>
              </w:rPr>
              <w:t>Vanguard Institutional 500 Index Trust</w:t>
            </w:r>
          </w:p>
        </w:tc>
        <w:tc>
          <w:tcPr>
            <w:tcW w:w="2940" w:type="dxa"/>
            <w:vAlign w:val="bottom"/>
            <w:tcBorders>
              <w:bottom w:val="single" w:sz="8" w:color="D8D8D8"/>
            </w:tcBorders>
            <w:shd w:val="clear" w:color="auto" w:fill="D8D8D8"/>
          </w:tcPr>
          <w:p>
            <w:pPr>
              <w:jc w:val="right"/>
              <w:ind w:right="139"/>
              <w:spacing w:after="0"/>
              <w:rPr>
                <w:sz w:val="20"/>
                <w:szCs w:val="20"/>
                <w:color w:val="auto"/>
              </w:rPr>
            </w:pPr>
            <w:r>
              <w:rPr>
                <w:rFonts w:ascii="Arial" w:cs="Arial" w:eastAsia="Arial" w:hAnsi="Arial"/>
                <w:sz w:val="16"/>
                <w:szCs w:val="16"/>
                <w:color w:val="auto"/>
              </w:rPr>
              <w:t>28.71%</w:t>
            </w:r>
          </w:p>
        </w:tc>
      </w:tr>
      <w:tr>
        <w:trPr>
          <w:trHeight w:val="241"/>
        </w:trPr>
        <w:tc>
          <w:tcPr>
            <w:tcW w:w="8080" w:type="dxa"/>
            <w:vAlign w:val="bottom"/>
          </w:tcPr>
          <w:p>
            <w:pPr>
              <w:spacing w:after="0"/>
              <w:rPr>
                <w:sz w:val="20"/>
                <w:szCs w:val="20"/>
                <w:color w:val="auto"/>
              </w:rPr>
            </w:pPr>
            <w:r>
              <w:rPr>
                <w:rFonts w:ascii="Arial" w:cs="Arial" w:eastAsia="Arial" w:hAnsi="Arial"/>
                <w:sz w:val="16"/>
                <w:szCs w:val="16"/>
                <w:color w:val="auto"/>
              </w:rPr>
              <w:t>Vanguard Institutional Extended Market Index Trust</w:t>
            </w:r>
          </w:p>
        </w:tc>
        <w:tc>
          <w:tcPr>
            <w:tcW w:w="2940" w:type="dxa"/>
            <w:vAlign w:val="bottom"/>
          </w:tcPr>
          <w:p>
            <w:pPr>
              <w:jc w:val="right"/>
              <w:ind w:right="139"/>
              <w:spacing w:after="0"/>
              <w:rPr>
                <w:sz w:val="20"/>
                <w:szCs w:val="20"/>
                <w:color w:val="auto"/>
              </w:rPr>
            </w:pPr>
            <w:r>
              <w:rPr>
                <w:rFonts w:ascii="Arial" w:cs="Arial" w:eastAsia="Arial" w:hAnsi="Arial"/>
                <w:sz w:val="16"/>
                <w:szCs w:val="16"/>
                <w:color w:val="auto"/>
              </w:rPr>
              <w:t>12.49%</w:t>
            </w:r>
          </w:p>
        </w:tc>
      </w:tr>
      <w:tr>
        <w:trPr>
          <w:trHeight w:val="29"/>
        </w:trPr>
        <w:tc>
          <w:tcPr>
            <w:tcW w:w="808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08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6"/>
                <w:szCs w:val="16"/>
                <w:color w:val="auto"/>
              </w:rPr>
              <w:t>Vanguard Institutional Total Bond Market Index Trust</w:t>
            </w:r>
          </w:p>
        </w:tc>
        <w:tc>
          <w:tcPr>
            <w:tcW w:w="2940" w:type="dxa"/>
            <w:vAlign w:val="bottom"/>
            <w:tcBorders>
              <w:bottom w:val="single" w:sz="8" w:color="D8D8D8"/>
            </w:tcBorders>
            <w:shd w:val="clear" w:color="auto" w:fill="D8D8D8"/>
          </w:tcPr>
          <w:p>
            <w:pPr>
              <w:jc w:val="right"/>
              <w:ind w:right="139"/>
              <w:spacing w:after="0"/>
              <w:rPr>
                <w:sz w:val="20"/>
                <w:szCs w:val="20"/>
                <w:color w:val="auto"/>
              </w:rPr>
            </w:pPr>
            <w:r>
              <w:rPr>
                <w:rFonts w:ascii="Arial" w:cs="Arial" w:eastAsia="Arial" w:hAnsi="Arial"/>
                <w:sz w:val="16"/>
                <w:szCs w:val="16"/>
                <w:color w:val="auto"/>
              </w:rPr>
              <w:t>-1.64%</w:t>
            </w:r>
          </w:p>
        </w:tc>
      </w:tr>
      <w:tr>
        <w:trPr>
          <w:trHeight w:val="241"/>
        </w:trPr>
        <w:tc>
          <w:tcPr>
            <w:tcW w:w="8080" w:type="dxa"/>
            <w:vAlign w:val="bottom"/>
          </w:tcPr>
          <w:p>
            <w:pPr>
              <w:spacing w:after="0"/>
              <w:rPr>
                <w:sz w:val="20"/>
                <w:szCs w:val="20"/>
                <w:color w:val="auto"/>
              </w:rPr>
            </w:pPr>
            <w:r>
              <w:rPr>
                <w:rFonts w:ascii="Arial" w:cs="Arial" w:eastAsia="Arial" w:hAnsi="Arial"/>
                <w:sz w:val="16"/>
                <w:szCs w:val="16"/>
                <w:color w:val="auto"/>
              </w:rPr>
              <w:t>Vanguard PRIMECAP Fund Admiral Shares</w:t>
            </w:r>
          </w:p>
        </w:tc>
        <w:tc>
          <w:tcPr>
            <w:tcW w:w="2940" w:type="dxa"/>
            <w:vAlign w:val="bottom"/>
          </w:tcPr>
          <w:p>
            <w:pPr>
              <w:jc w:val="right"/>
              <w:ind w:right="139"/>
              <w:spacing w:after="0"/>
              <w:rPr>
                <w:sz w:val="20"/>
                <w:szCs w:val="20"/>
                <w:color w:val="auto"/>
              </w:rPr>
            </w:pPr>
            <w:r>
              <w:rPr>
                <w:rFonts w:ascii="Arial" w:cs="Arial" w:eastAsia="Arial" w:hAnsi="Arial"/>
                <w:sz w:val="16"/>
                <w:szCs w:val="16"/>
                <w:color w:val="auto"/>
              </w:rPr>
              <w:t>21.90%</w:t>
            </w:r>
          </w:p>
        </w:tc>
      </w:tr>
      <w:tr>
        <w:trPr>
          <w:trHeight w:val="29"/>
        </w:trPr>
        <w:tc>
          <w:tcPr>
            <w:tcW w:w="808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08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6"/>
                <w:szCs w:val="16"/>
                <w:color w:val="auto"/>
              </w:rPr>
              <w:t>Vanguard Real Estate Index Fund Institutional Shares</w:t>
            </w:r>
          </w:p>
        </w:tc>
        <w:tc>
          <w:tcPr>
            <w:tcW w:w="2940" w:type="dxa"/>
            <w:vAlign w:val="bottom"/>
            <w:tcBorders>
              <w:bottom w:val="single" w:sz="8" w:color="D8D8D8"/>
            </w:tcBorders>
            <w:shd w:val="clear" w:color="auto" w:fill="D8D8D8"/>
          </w:tcPr>
          <w:p>
            <w:pPr>
              <w:jc w:val="right"/>
              <w:ind w:right="139"/>
              <w:spacing w:after="0"/>
              <w:rPr>
                <w:sz w:val="20"/>
                <w:szCs w:val="20"/>
                <w:color w:val="auto"/>
              </w:rPr>
            </w:pPr>
            <w:r>
              <w:rPr>
                <w:rFonts w:ascii="Arial" w:cs="Arial" w:eastAsia="Arial" w:hAnsi="Arial"/>
                <w:sz w:val="16"/>
                <w:szCs w:val="16"/>
                <w:color w:val="auto"/>
              </w:rPr>
              <w:t>40.41%</w:t>
            </w:r>
          </w:p>
        </w:tc>
      </w:tr>
      <w:tr>
        <w:trPr>
          <w:trHeight w:val="241"/>
        </w:trPr>
        <w:tc>
          <w:tcPr>
            <w:tcW w:w="8080" w:type="dxa"/>
            <w:vAlign w:val="bottom"/>
          </w:tcPr>
          <w:p>
            <w:pPr>
              <w:spacing w:after="0"/>
              <w:rPr>
                <w:sz w:val="20"/>
                <w:szCs w:val="20"/>
                <w:color w:val="auto"/>
              </w:rPr>
            </w:pPr>
            <w:r>
              <w:rPr>
                <w:rFonts w:ascii="Arial" w:cs="Arial" w:eastAsia="Arial" w:hAnsi="Arial"/>
                <w:sz w:val="16"/>
                <w:szCs w:val="16"/>
                <w:color w:val="auto"/>
              </w:rPr>
              <w:t>Vanguard Short-Term Bond Index Fund Institutional Plus Shares</w:t>
            </w:r>
          </w:p>
        </w:tc>
        <w:tc>
          <w:tcPr>
            <w:tcW w:w="2940" w:type="dxa"/>
            <w:vAlign w:val="bottom"/>
          </w:tcPr>
          <w:p>
            <w:pPr>
              <w:jc w:val="right"/>
              <w:ind w:right="139"/>
              <w:spacing w:after="0"/>
              <w:rPr>
                <w:sz w:val="20"/>
                <w:szCs w:val="20"/>
                <w:color w:val="auto"/>
              </w:rPr>
            </w:pPr>
            <w:r>
              <w:rPr>
                <w:rFonts w:ascii="Arial" w:cs="Arial" w:eastAsia="Arial" w:hAnsi="Arial"/>
                <w:sz w:val="16"/>
                <w:szCs w:val="16"/>
                <w:color w:val="auto"/>
              </w:rPr>
              <w:t>-1.05%</w:t>
            </w:r>
          </w:p>
        </w:tc>
      </w:tr>
      <w:tr>
        <w:trPr>
          <w:trHeight w:val="29"/>
        </w:trPr>
        <w:tc>
          <w:tcPr>
            <w:tcW w:w="808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08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6"/>
                <w:szCs w:val="16"/>
                <w:color w:val="auto"/>
              </w:rPr>
              <w:t>Vanguard Value Index Fund Institutional Shares</w:t>
            </w:r>
          </w:p>
        </w:tc>
        <w:tc>
          <w:tcPr>
            <w:tcW w:w="2940" w:type="dxa"/>
            <w:vAlign w:val="bottom"/>
            <w:tcBorders>
              <w:bottom w:val="single" w:sz="8" w:color="D8D8D8"/>
            </w:tcBorders>
            <w:shd w:val="clear" w:color="auto" w:fill="D8D8D8"/>
          </w:tcPr>
          <w:p>
            <w:pPr>
              <w:jc w:val="right"/>
              <w:ind w:right="139"/>
              <w:spacing w:after="0"/>
              <w:rPr>
                <w:sz w:val="20"/>
                <w:szCs w:val="20"/>
                <w:color w:val="auto"/>
              </w:rPr>
            </w:pPr>
            <w:r>
              <w:rPr>
                <w:rFonts w:ascii="Arial" w:cs="Arial" w:eastAsia="Arial" w:hAnsi="Arial"/>
                <w:sz w:val="16"/>
                <w:szCs w:val="16"/>
                <w:color w:val="auto"/>
              </w:rPr>
              <w:t>26.48%</w:t>
            </w:r>
          </w:p>
        </w:tc>
      </w:tr>
      <w:tr>
        <w:trPr>
          <w:trHeight w:val="20"/>
        </w:trPr>
        <w:tc>
          <w:tcPr>
            <w:tcW w:w="8080" w:type="dxa"/>
            <w:vAlign w:val="bottom"/>
            <w:shd w:val="clear" w:color="auto" w:fill="7F7F7F"/>
          </w:tcPr>
          <w:p>
            <w:pPr>
              <w:spacing w:after="0" w:line="20" w:lineRule="exact"/>
              <w:rPr>
                <w:sz w:val="1"/>
                <w:szCs w:val="1"/>
                <w:color w:val="auto"/>
              </w:rPr>
            </w:pPr>
          </w:p>
        </w:tc>
        <w:tc>
          <w:tcPr>
            <w:tcW w:w="2940" w:type="dxa"/>
            <w:vAlign w:val="bottom"/>
            <w:shd w:val="clear" w:color="auto" w:fill="7F7F7F"/>
          </w:tcPr>
          <w:p>
            <w:pPr>
              <w:spacing w:after="0" w:line="20" w:lineRule="exact"/>
              <w:rPr>
                <w:sz w:val="1"/>
                <w:szCs w:val="1"/>
                <w:color w:val="auto"/>
              </w:rPr>
            </w:pPr>
          </w:p>
        </w:tc>
      </w:tr>
    </w:tbl>
    <w:p>
      <w:pPr>
        <w:spacing w:after="0" w:line="94" w:lineRule="exact"/>
        <w:rPr>
          <w:sz w:val="20"/>
          <w:szCs w:val="20"/>
          <w:color w:val="auto"/>
        </w:rPr>
      </w:pPr>
    </w:p>
    <w:p>
      <w:pPr>
        <w:ind w:left="120" w:right="100"/>
        <w:spacing w:after="0" w:line="254" w:lineRule="auto"/>
        <w:rPr>
          <w:sz w:val="20"/>
          <w:szCs w:val="20"/>
          <w:color w:val="auto"/>
        </w:rPr>
      </w:pPr>
      <w:r>
        <w:rPr>
          <w:rFonts w:ascii="Arial" w:cs="Arial" w:eastAsia="Arial" w:hAnsi="Arial"/>
          <w:sz w:val="16"/>
          <w:szCs w:val="16"/>
          <w:color w:val="auto"/>
        </w:rPr>
        <w:t>NEOs may transfer into and out of funds daily. NEOs and other insiders may only transact in the Chevron Common Stock Fund during a 20 – business day period that begins on the first business day that is at least 24 hours after the public release of quarterly and annual earnings (an Insider Trading Window). Deferrals for NEOs and other insiders who elect their deferrals be tracked with reference to Chevron common stock are, upon deferral, tracked with reference to the Vanguard Treasury Money Market Fund. At the close of the Insider Trading Window, the balance of the Vanguard Treasury Money Market Fund is transferred to the Chevron Common Stock Fund. The 2021 annual rate of return for the Vanguard Treasury Money Market Fund was 0.01%.</w:t>
      </w:r>
    </w:p>
    <w:p>
      <w:pPr>
        <w:spacing w:after="0" w:line="74"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Payments of DCP deferrals are made after the end of employment in up to 10 annual installments. Amounts tracked in Chevron common stock are paid in common stock, and all other amounts are paid in cash. Participants may elect payment to commence as early as the first quarter that is at least 12 months following separation from service. The DCP was amended for post-2004 deferrals in accordance with Section 409A of the Code. As a result, NEOs may make different elections for pre-2005 and post-2004 deferrals. If a plan participant engages in misconduct (as defined in the DCP), DCP balances related to awards made under the LTIP or the CIP on or after June 29, 2005, may be forfeited.</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ESIP-RP</w:t>
      </w:r>
    </w:p>
    <w:p>
      <w:pPr>
        <w:spacing w:after="0" w:line="112"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color w:val="auto"/>
        </w:rPr>
        <w:t>The ESIP-RP is a nonqualified defined contribution restoration plan that provides for the Company contribution that would have been paid into the ESIP but for the fact that the NEO’s base salary exceeded the annual compensation limit under Code 401(a)(17) ($290,000 in 2021). A minimum 2% deferral of base pay over the tax code’s annual compensation limit is required in order to receive a Company contribution in the ESIP-RP. Contributions are tracked in phantom Chevron common stock units. Participants receive phantom dividends on these units, based on the dividend rate that is earned on Chevron common stock. Plan balances may be forfeited if a participant engages in misconduct (as defined in the ESIP-RP). Accounts are paid out in cash, commencing as early as the first quarter that is at least 12 months following separation from service, in up to 10 annual installments.</w:t>
      </w:r>
    </w:p>
    <w:p>
      <w:pPr>
        <w:spacing w:after="0" w:line="223" w:lineRule="exact"/>
        <w:rPr>
          <w:sz w:val="20"/>
          <w:szCs w:val="20"/>
          <w:color w:val="auto"/>
        </w:rPr>
      </w:pPr>
    </w:p>
    <w:tbl>
      <w:tblPr>
        <w:tblLayout w:type="fixed"/>
        <w:tblInd w:w="170" w:type="dxa"/>
        <w:tblCellMar>
          <w:top w:w="0" w:type="dxa"/>
          <w:left w:w="0" w:type="dxa"/>
          <w:bottom w:w="0" w:type="dxa"/>
          <w:right w:w="0" w:type="dxa"/>
        </w:tblCellMar>
      </w:tblPr>
      <w:tr>
        <w:trPr>
          <w:trHeight w:val="188"/>
        </w:trPr>
        <w:tc>
          <w:tcPr>
            <w:tcW w:w="2020" w:type="dxa"/>
            <w:vAlign w:val="bottom"/>
            <w:tcBorders>
              <w:left w:val="single" w:sz="8" w:color="7F7F7F"/>
            </w:tcBorders>
            <w:shd w:val="clear" w:color="auto" w:fill="0066B2"/>
          </w:tcPr>
          <w:p>
            <w:pPr>
              <w:spacing w:after="0"/>
              <w:rPr>
                <w:sz w:val="16"/>
                <w:szCs w:val="16"/>
                <w:color w:val="auto"/>
              </w:rPr>
            </w:pPr>
          </w:p>
        </w:tc>
        <w:tc>
          <w:tcPr>
            <w:tcW w:w="1020" w:type="dxa"/>
            <w:vAlign w:val="bottom"/>
            <w:shd w:val="clear" w:color="auto" w:fill="0066B2"/>
          </w:tcPr>
          <w:p>
            <w:pPr>
              <w:spacing w:after="0"/>
              <w:rPr>
                <w:sz w:val="16"/>
                <w:szCs w:val="16"/>
                <w:color w:val="auto"/>
              </w:rPr>
            </w:pPr>
          </w:p>
        </w:tc>
        <w:tc>
          <w:tcPr>
            <w:tcW w:w="1200" w:type="dxa"/>
            <w:vAlign w:val="bottom"/>
            <w:shd w:val="clear" w:color="auto" w:fill="0066B2"/>
          </w:tcPr>
          <w:p>
            <w:pPr>
              <w:jc w:val="right"/>
              <w:ind w:right="319"/>
              <w:spacing w:after="0"/>
              <w:rPr>
                <w:sz w:val="20"/>
                <w:szCs w:val="20"/>
                <w:color w:val="auto"/>
              </w:rPr>
            </w:pPr>
            <w:r>
              <w:rPr>
                <w:rFonts w:ascii="Arial" w:cs="Arial" w:eastAsia="Arial" w:hAnsi="Arial"/>
                <w:sz w:val="16"/>
                <w:szCs w:val="16"/>
                <w:b w:val="1"/>
                <w:bCs w:val="1"/>
                <w:color w:val="FFFFFF"/>
              </w:rPr>
              <w:t>Executive</w:t>
            </w:r>
          </w:p>
        </w:tc>
        <w:tc>
          <w:tcPr>
            <w:tcW w:w="1580" w:type="dxa"/>
            <w:vAlign w:val="bottom"/>
            <w:gridSpan w:val="2"/>
            <w:shd w:val="clear" w:color="auto" w:fill="0066B2"/>
          </w:tcPr>
          <w:p>
            <w:pPr>
              <w:ind w:left="420"/>
              <w:spacing w:after="0"/>
              <w:rPr>
                <w:sz w:val="20"/>
                <w:szCs w:val="20"/>
                <w:color w:val="auto"/>
              </w:rPr>
            </w:pPr>
            <w:r>
              <w:rPr>
                <w:rFonts w:ascii="Arial" w:cs="Arial" w:eastAsia="Arial" w:hAnsi="Arial"/>
                <w:sz w:val="16"/>
                <w:szCs w:val="16"/>
                <w:b w:val="1"/>
                <w:bCs w:val="1"/>
                <w:color w:val="FFFFFF"/>
              </w:rPr>
              <w:t>Company</w:t>
            </w:r>
          </w:p>
        </w:tc>
        <w:tc>
          <w:tcPr>
            <w:tcW w:w="740" w:type="dxa"/>
            <w:vAlign w:val="bottom"/>
            <w:shd w:val="clear" w:color="auto" w:fill="0066B2"/>
          </w:tcPr>
          <w:p>
            <w:pPr>
              <w:spacing w:after="0"/>
              <w:rPr>
                <w:sz w:val="16"/>
                <w:szCs w:val="16"/>
                <w:color w:val="auto"/>
              </w:rPr>
            </w:pPr>
          </w:p>
        </w:tc>
        <w:tc>
          <w:tcPr>
            <w:tcW w:w="1340" w:type="dxa"/>
            <w:vAlign w:val="bottom"/>
            <w:shd w:val="clear" w:color="auto" w:fill="0066B2"/>
          </w:tcPr>
          <w:p>
            <w:pPr>
              <w:spacing w:after="0"/>
              <w:rPr>
                <w:sz w:val="16"/>
                <w:szCs w:val="16"/>
                <w:color w:val="auto"/>
              </w:rPr>
            </w:pPr>
          </w:p>
        </w:tc>
        <w:tc>
          <w:tcPr>
            <w:tcW w:w="1560" w:type="dxa"/>
            <w:vAlign w:val="bottom"/>
            <w:shd w:val="clear" w:color="auto" w:fill="0066B2"/>
          </w:tcPr>
          <w:p>
            <w:pPr>
              <w:spacing w:after="0"/>
              <w:rPr>
                <w:sz w:val="16"/>
                <w:szCs w:val="16"/>
                <w:color w:val="auto"/>
              </w:rPr>
            </w:pPr>
          </w:p>
        </w:tc>
        <w:tc>
          <w:tcPr>
            <w:tcW w:w="440" w:type="dxa"/>
            <w:vAlign w:val="bottom"/>
            <w:shd w:val="clear" w:color="auto" w:fill="0066B2"/>
          </w:tcPr>
          <w:p>
            <w:pPr>
              <w:spacing w:after="0"/>
              <w:rPr>
                <w:sz w:val="16"/>
                <w:szCs w:val="16"/>
                <w:color w:val="auto"/>
              </w:rPr>
            </w:pPr>
          </w:p>
        </w:tc>
        <w:tc>
          <w:tcPr>
            <w:tcW w:w="1060" w:type="dxa"/>
            <w:vAlign w:val="bottom"/>
            <w:tcBorders>
              <w:right w:val="single" w:sz="8" w:color="7F7F7F"/>
            </w:tcBorders>
            <w:shd w:val="clear" w:color="auto" w:fill="0066B2"/>
          </w:tcPr>
          <w:p>
            <w:pPr>
              <w:spacing w:after="0"/>
              <w:rPr>
                <w:sz w:val="16"/>
                <w:szCs w:val="16"/>
                <w:color w:val="auto"/>
              </w:rPr>
            </w:pPr>
          </w:p>
        </w:tc>
      </w:tr>
      <w:tr>
        <w:trPr>
          <w:trHeight w:val="189"/>
        </w:trPr>
        <w:tc>
          <w:tcPr>
            <w:tcW w:w="2020" w:type="dxa"/>
            <w:vAlign w:val="bottom"/>
            <w:tcBorders>
              <w:left w:val="single" w:sz="8" w:color="7F7F7F"/>
            </w:tcBorders>
            <w:shd w:val="clear" w:color="auto" w:fill="0066B2"/>
          </w:tcPr>
          <w:p>
            <w:pPr>
              <w:spacing w:after="0"/>
              <w:rPr>
                <w:sz w:val="16"/>
                <w:szCs w:val="16"/>
                <w:color w:val="auto"/>
              </w:rPr>
            </w:pPr>
          </w:p>
        </w:tc>
        <w:tc>
          <w:tcPr>
            <w:tcW w:w="2220" w:type="dxa"/>
            <w:vAlign w:val="bottom"/>
            <w:gridSpan w:val="2"/>
            <w:shd w:val="clear" w:color="auto" w:fill="0066B2"/>
          </w:tcPr>
          <w:p>
            <w:pPr>
              <w:ind w:left="920"/>
              <w:spacing w:after="0"/>
              <w:rPr>
                <w:sz w:val="20"/>
                <w:szCs w:val="20"/>
                <w:color w:val="auto"/>
              </w:rPr>
            </w:pPr>
            <w:r>
              <w:rPr>
                <w:rFonts w:ascii="Arial" w:cs="Arial" w:eastAsia="Arial" w:hAnsi="Arial"/>
                <w:sz w:val="16"/>
                <w:szCs w:val="16"/>
                <w:b w:val="1"/>
                <w:bCs w:val="1"/>
                <w:color w:val="FFFFFF"/>
              </w:rPr>
              <w:t>contributions</w:t>
            </w:r>
          </w:p>
        </w:tc>
        <w:tc>
          <w:tcPr>
            <w:tcW w:w="1580" w:type="dxa"/>
            <w:vAlign w:val="bottom"/>
            <w:gridSpan w:val="2"/>
            <w:shd w:val="clear" w:color="auto" w:fill="0066B2"/>
          </w:tcPr>
          <w:p>
            <w:pPr>
              <w:jc w:val="center"/>
              <w:spacing w:after="0"/>
              <w:rPr>
                <w:sz w:val="20"/>
                <w:szCs w:val="20"/>
                <w:color w:val="auto"/>
              </w:rPr>
            </w:pPr>
            <w:r>
              <w:rPr>
                <w:rFonts w:ascii="Arial" w:cs="Arial" w:eastAsia="Arial" w:hAnsi="Arial"/>
                <w:sz w:val="16"/>
                <w:szCs w:val="16"/>
                <w:b w:val="1"/>
                <w:bCs w:val="1"/>
                <w:color w:val="FFFFFF"/>
                <w:w w:val="99"/>
              </w:rPr>
              <w:t>contributions</w:t>
            </w:r>
          </w:p>
        </w:tc>
        <w:tc>
          <w:tcPr>
            <w:tcW w:w="2080" w:type="dxa"/>
            <w:vAlign w:val="bottom"/>
            <w:gridSpan w:val="2"/>
            <w:shd w:val="clear" w:color="auto" w:fill="0066B2"/>
          </w:tcPr>
          <w:p>
            <w:pPr>
              <w:jc w:val="center"/>
              <w:spacing w:after="0"/>
              <w:rPr>
                <w:sz w:val="20"/>
                <w:szCs w:val="20"/>
                <w:color w:val="auto"/>
              </w:rPr>
            </w:pPr>
            <w:r>
              <w:rPr>
                <w:rFonts w:ascii="Arial" w:cs="Arial" w:eastAsia="Arial" w:hAnsi="Arial"/>
                <w:sz w:val="16"/>
                <w:szCs w:val="16"/>
                <w:b w:val="1"/>
                <w:bCs w:val="1"/>
                <w:color w:val="FFFFFF"/>
              </w:rPr>
              <w:t>Aggregate earnings</w:t>
            </w:r>
          </w:p>
        </w:tc>
        <w:tc>
          <w:tcPr>
            <w:tcW w:w="1560" w:type="dxa"/>
            <w:vAlign w:val="bottom"/>
            <w:shd w:val="clear" w:color="auto" w:fill="0066B2"/>
          </w:tcPr>
          <w:p>
            <w:pPr>
              <w:jc w:val="center"/>
              <w:ind w:left="80"/>
              <w:spacing w:after="0"/>
              <w:rPr>
                <w:sz w:val="20"/>
                <w:szCs w:val="20"/>
                <w:color w:val="auto"/>
              </w:rPr>
            </w:pPr>
            <w:r>
              <w:rPr>
                <w:rFonts w:ascii="Arial" w:cs="Arial" w:eastAsia="Arial" w:hAnsi="Arial"/>
                <w:sz w:val="16"/>
                <w:szCs w:val="16"/>
                <w:b w:val="1"/>
                <w:bCs w:val="1"/>
                <w:color w:val="FFFFFF"/>
              </w:rPr>
              <w:t>Aggregate</w:t>
            </w:r>
          </w:p>
        </w:tc>
        <w:tc>
          <w:tcPr>
            <w:tcW w:w="1500" w:type="dxa"/>
            <w:vAlign w:val="bottom"/>
            <w:tcBorders>
              <w:right w:val="single" w:sz="8" w:color="7F7F7F"/>
            </w:tcBorders>
            <w:gridSpan w:val="2"/>
            <w:shd w:val="clear" w:color="auto" w:fill="0066B2"/>
          </w:tcPr>
          <w:p>
            <w:pPr>
              <w:jc w:val="center"/>
              <w:spacing w:after="0"/>
              <w:rPr>
                <w:sz w:val="20"/>
                <w:szCs w:val="20"/>
                <w:color w:val="auto"/>
              </w:rPr>
            </w:pPr>
            <w:r>
              <w:rPr>
                <w:rFonts w:ascii="Arial" w:cs="Arial" w:eastAsia="Arial" w:hAnsi="Arial"/>
                <w:sz w:val="16"/>
                <w:szCs w:val="16"/>
                <w:b w:val="1"/>
                <w:bCs w:val="1"/>
                <w:color w:val="FFFFFF"/>
              </w:rPr>
              <w:t>Aggregate</w:t>
            </w:r>
          </w:p>
        </w:tc>
      </w:tr>
      <w:tr>
        <w:trPr>
          <w:trHeight w:val="186"/>
        </w:trPr>
        <w:tc>
          <w:tcPr>
            <w:tcW w:w="2020" w:type="dxa"/>
            <w:vAlign w:val="bottom"/>
            <w:tcBorders>
              <w:left w:val="single" w:sz="8" w:color="7F7F7F"/>
            </w:tcBorders>
            <w:shd w:val="clear" w:color="auto" w:fill="0066B2"/>
          </w:tcPr>
          <w:p>
            <w:pPr>
              <w:spacing w:after="0"/>
              <w:rPr>
                <w:sz w:val="16"/>
                <w:szCs w:val="16"/>
                <w:color w:val="auto"/>
              </w:rPr>
            </w:pPr>
          </w:p>
        </w:tc>
        <w:tc>
          <w:tcPr>
            <w:tcW w:w="1020" w:type="dxa"/>
            <w:vAlign w:val="bottom"/>
            <w:shd w:val="clear" w:color="auto" w:fill="0066B2"/>
          </w:tcPr>
          <w:p>
            <w:pPr>
              <w:spacing w:after="0"/>
              <w:rPr>
                <w:sz w:val="16"/>
                <w:szCs w:val="16"/>
                <w:color w:val="auto"/>
              </w:rPr>
            </w:pPr>
          </w:p>
        </w:tc>
        <w:tc>
          <w:tcPr>
            <w:tcW w:w="1200" w:type="dxa"/>
            <w:vAlign w:val="bottom"/>
            <w:shd w:val="clear" w:color="auto" w:fill="0066B2"/>
          </w:tcPr>
          <w:p>
            <w:pPr>
              <w:jc w:val="right"/>
              <w:ind w:right="319"/>
              <w:spacing w:after="0"/>
              <w:rPr>
                <w:sz w:val="20"/>
                <w:szCs w:val="20"/>
                <w:color w:val="auto"/>
              </w:rPr>
            </w:pPr>
            <w:r>
              <w:rPr>
                <w:rFonts w:ascii="Arial" w:cs="Arial" w:eastAsia="Arial" w:hAnsi="Arial"/>
                <w:sz w:val="16"/>
                <w:szCs w:val="16"/>
                <w:b w:val="1"/>
                <w:bCs w:val="1"/>
                <w:color w:val="FFFFFF"/>
              </w:rPr>
              <w:t>in the last</w:t>
            </w:r>
          </w:p>
        </w:tc>
        <w:tc>
          <w:tcPr>
            <w:tcW w:w="1580" w:type="dxa"/>
            <w:vAlign w:val="bottom"/>
            <w:gridSpan w:val="2"/>
            <w:shd w:val="clear" w:color="auto" w:fill="0066B2"/>
          </w:tcPr>
          <w:p>
            <w:pPr>
              <w:ind w:left="420"/>
              <w:spacing w:after="0"/>
              <w:rPr>
                <w:sz w:val="20"/>
                <w:szCs w:val="20"/>
                <w:color w:val="auto"/>
              </w:rPr>
            </w:pPr>
            <w:r>
              <w:rPr>
                <w:rFonts w:ascii="Arial" w:cs="Arial" w:eastAsia="Arial" w:hAnsi="Arial"/>
                <w:sz w:val="16"/>
                <w:szCs w:val="16"/>
                <w:b w:val="1"/>
                <w:bCs w:val="1"/>
                <w:color w:val="FFFFFF"/>
              </w:rPr>
              <w:t>in the last</w:t>
            </w:r>
          </w:p>
        </w:tc>
        <w:tc>
          <w:tcPr>
            <w:tcW w:w="2080" w:type="dxa"/>
            <w:vAlign w:val="bottom"/>
            <w:gridSpan w:val="2"/>
            <w:shd w:val="clear" w:color="auto" w:fill="0066B2"/>
          </w:tcPr>
          <w:p>
            <w:pPr>
              <w:jc w:val="center"/>
              <w:spacing w:after="0"/>
              <w:rPr>
                <w:sz w:val="20"/>
                <w:szCs w:val="20"/>
                <w:color w:val="auto"/>
              </w:rPr>
            </w:pPr>
            <w:r>
              <w:rPr>
                <w:rFonts w:ascii="Arial" w:cs="Arial" w:eastAsia="Arial" w:hAnsi="Arial"/>
                <w:sz w:val="16"/>
                <w:szCs w:val="16"/>
                <w:b w:val="1"/>
                <w:bCs w:val="1"/>
                <w:color w:val="FFFFFF"/>
                <w:w w:val="99"/>
              </w:rPr>
              <w:t>in the last</w:t>
            </w:r>
          </w:p>
        </w:tc>
        <w:tc>
          <w:tcPr>
            <w:tcW w:w="1560" w:type="dxa"/>
            <w:vAlign w:val="bottom"/>
            <w:shd w:val="clear" w:color="auto" w:fill="0066B2"/>
          </w:tcPr>
          <w:p>
            <w:pPr>
              <w:jc w:val="center"/>
              <w:ind w:left="100"/>
              <w:spacing w:after="0"/>
              <w:rPr>
                <w:sz w:val="20"/>
                <w:szCs w:val="20"/>
                <w:color w:val="auto"/>
              </w:rPr>
            </w:pPr>
            <w:r>
              <w:rPr>
                <w:rFonts w:ascii="Arial" w:cs="Arial" w:eastAsia="Arial" w:hAnsi="Arial"/>
                <w:sz w:val="16"/>
                <w:szCs w:val="16"/>
                <w:b w:val="1"/>
                <w:bCs w:val="1"/>
                <w:color w:val="FFFFFF"/>
              </w:rPr>
              <w:t>withdrawals/</w:t>
            </w:r>
          </w:p>
        </w:tc>
        <w:tc>
          <w:tcPr>
            <w:tcW w:w="1500" w:type="dxa"/>
            <w:vAlign w:val="bottom"/>
            <w:tcBorders>
              <w:right w:val="single" w:sz="8" w:color="7F7F7F"/>
            </w:tcBorders>
            <w:gridSpan w:val="2"/>
            <w:shd w:val="clear" w:color="auto" w:fill="0066B2"/>
          </w:tcPr>
          <w:p>
            <w:pPr>
              <w:jc w:val="center"/>
              <w:spacing w:after="0"/>
              <w:rPr>
                <w:sz w:val="20"/>
                <w:szCs w:val="20"/>
                <w:color w:val="auto"/>
              </w:rPr>
            </w:pPr>
            <w:r>
              <w:rPr>
                <w:rFonts w:ascii="Arial" w:cs="Arial" w:eastAsia="Arial" w:hAnsi="Arial"/>
                <w:sz w:val="16"/>
                <w:szCs w:val="16"/>
                <w:b w:val="1"/>
                <w:bCs w:val="1"/>
                <w:color w:val="FFFFFF"/>
              </w:rPr>
              <w:t>balance at last</w:t>
            </w:r>
          </w:p>
        </w:tc>
      </w:tr>
      <w:tr>
        <w:trPr>
          <w:trHeight w:val="220"/>
        </w:trPr>
        <w:tc>
          <w:tcPr>
            <w:tcW w:w="2020" w:type="dxa"/>
            <w:vAlign w:val="bottom"/>
            <w:tcBorders>
              <w:left w:val="single" w:sz="8" w:color="7F7F7F"/>
            </w:tcBorders>
            <w:shd w:val="clear" w:color="auto" w:fill="0066B2"/>
          </w:tcPr>
          <w:p>
            <w:pPr>
              <w:ind w:left="140"/>
              <w:spacing w:after="0" w:line="220" w:lineRule="exact"/>
              <w:rPr>
                <w:sz w:val="20"/>
                <w:szCs w:val="20"/>
                <w:color w:val="auto"/>
              </w:rPr>
            </w:pPr>
            <w:r>
              <w:rPr>
                <w:rFonts w:ascii="Arial" w:cs="Arial" w:eastAsia="Arial" w:hAnsi="Arial"/>
                <w:sz w:val="15"/>
                <w:szCs w:val="15"/>
                <w:b w:val="1"/>
                <w:bCs w:val="1"/>
                <w:color w:val="FFFFFF"/>
              </w:rPr>
              <w:t>Name</w:t>
            </w:r>
            <w:r>
              <w:rPr>
                <w:rFonts w:ascii="Arial" w:cs="Arial" w:eastAsia="Arial" w:hAnsi="Arial"/>
                <w:sz w:val="25"/>
                <w:szCs w:val="25"/>
                <w:b w:val="1"/>
                <w:bCs w:val="1"/>
                <w:color w:val="FFFFFF"/>
                <w:vertAlign w:val="superscript"/>
              </w:rPr>
              <w:t>(1)</w:t>
            </w:r>
          </w:p>
        </w:tc>
        <w:tc>
          <w:tcPr>
            <w:tcW w:w="2220" w:type="dxa"/>
            <w:vAlign w:val="bottom"/>
            <w:gridSpan w:val="2"/>
            <w:shd w:val="clear" w:color="auto" w:fill="0066B2"/>
          </w:tcPr>
          <w:p>
            <w:pPr>
              <w:jc w:val="right"/>
              <w:ind w:right="219"/>
              <w:spacing w:after="0" w:line="220" w:lineRule="exact"/>
              <w:rPr>
                <w:sz w:val="20"/>
                <w:szCs w:val="20"/>
                <w:color w:val="auto"/>
              </w:rPr>
            </w:pPr>
            <w:r>
              <w:rPr>
                <w:rFonts w:ascii="Arial" w:cs="Arial" w:eastAsia="Arial" w:hAnsi="Arial"/>
                <w:sz w:val="15"/>
                <w:szCs w:val="15"/>
                <w:b w:val="1"/>
                <w:bCs w:val="1"/>
                <w:color w:val="FFFFFF"/>
              </w:rPr>
              <w:t>fiscal year</w:t>
            </w:r>
            <w:r>
              <w:rPr>
                <w:rFonts w:ascii="Arial" w:cs="Arial" w:eastAsia="Arial" w:hAnsi="Arial"/>
                <w:sz w:val="25"/>
                <w:szCs w:val="25"/>
                <w:b w:val="1"/>
                <w:bCs w:val="1"/>
                <w:color w:val="FFFFFF"/>
                <w:vertAlign w:val="superscript"/>
              </w:rPr>
              <w:t>(2)</w:t>
            </w:r>
          </w:p>
        </w:tc>
        <w:tc>
          <w:tcPr>
            <w:tcW w:w="1580" w:type="dxa"/>
            <w:vAlign w:val="bottom"/>
            <w:gridSpan w:val="2"/>
            <w:shd w:val="clear" w:color="auto" w:fill="0066B2"/>
          </w:tcPr>
          <w:p>
            <w:pPr>
              <w:jc w:val="center"/>
              <w:spacing w:after="0" w:line="220" w:lineRule="exact"/>
              <w:rPr>
                <w:sz w:val="20"/>
                <w:szCs w:val="20"/>
                <w:color w:val="auto"/>
              </w:rPr>
            </w:pPr>
            <w:r>
              <w:rPr>
                <w:rFonts w:ascii="Arial" w:cs="Arial" w:eastAsia="Arial" w:hAnsi="Arial"/>
                <w:sz w:val="15"/>
                <w:szCs w:val="15"/>
                <w:b w:val="1"/>
                <w:bCs w:val="1"/>
                <w:color w:val="FFFFFF"/>
              </w:rPr>
              <w:t>fiscal year</w:t>
            </w:r>
            <w:r>
              <w:rPr>
                <w:rFonts w:ascii="Arial" w:cs="Arial" w:eastAsia="Arial" w:hAnsi="Arial"/>
                <w:sz w:val="25"/>
                <w:szCs w:val="25"/>
                <w:b w:val="1"/>
                <w:bCs w:val="1"/>
                <w:color w:val="FFFFFF"/>
                <w:vertAlign w:val="superscript"/>
              </w:rPr>
              <w:t>(3)</w:t>
            </w:r>
          </w:p>
        </w:tc>
        <w:tc>
          <w:tcPr>
            <w:tcW w:w="2080" w:type="dxa"/>
            <w:vAlign w:val="bottom"/>
            <w:gridSpan w:val="2"/>
            <w:shd w:val="clear" w:color="auto" w:fill="0066B2"/>
          </w:tcPr>
          <w:p>
            <w:pPr>
              <w:jc w:val="center"/>
              <w:spacing w:after="0" w:line="220" w:lineRule="exact"/>
              <w:rPr>
                <w:sz w:val="20"/>
                <w:szCs w:val="20"/>
                <w:color w:val="auto"/>
              </w:rPr>
            </w:pPr>
            <w:r>
              <w:rPr>
                <w:rFonts w:ascii="Arial" w:cs="Arial" w:eastAsia="Arial" w:hAnsi="Arial"/>
                <w:sz w:val="15"/>
                <w:szCs w:val="15"/>
                <w:b w:val="1"/>
                <w:bCs w:val="1"/>
                <w:color w:val="FFFFFF"/>
              </w:rPr>
              <w:t>fiscal year</w:t>
            </w:r>
            <w:r>
              <w:rPr>
                <w:rFonts w:ascii="Arial" w:cs="Arial" w:eastAsia="Arial" w:hAnsi="Arial"/>
                <w:sz w:val="25"/>
                <w:szCs w:val="25"/>
                <w:b w:val="1"/>
                <w:bCs w:val="1"/>
                <w:color w:val="FFFFFF"/>
                <w:vertAlign w:val="superscript"/>
              </w:rPr>
              <w:t>(4)</w:t>
            </w:r>
          </w:p>
        </w:tc>
        <w:tc>
          <w:tcPr>
            <w:tcW w:w="1560" w:type="dxa"/>
            <w:vAlign w:val="bottom"/>
            <w:shd w:val="clear" w:color="auto" w:fill="0066B2"/>
          </w:tcPr>
          <w:p>
            <w:pPr>
              <w:jc w:val="center"/>
              <w:ind w:left="100"/>
              <w:spacing w:after="0" w:line="220" w:lineRule="exact"/>
              <w:rPr>
                <w:sz w:val="20"/>
                <w:szCs w:val="20"/>
                <w:color w:val="auto"/>
              </w:rPr>
            </w:pPr>
            <w:r>
              <w:rPr>
                <w:rFonts w:ascii="Arial" w:cs="Arial" w:eastAsia="Arial" w:hAnsi="Arial"/>
                <w:sz w:val="15"/>
                <w:szCs w:val="15"/>
                <w:b w:val="1"/>
                <w:bCs w:val="1"/>
                <w:color w:val="FFFFFF"/>
              </w:rPr>
              <w:t>distributions</w:t>
            </w:r>
            <w:r>
              <w:rPr>
                <w:rFonts w:ascii="Arial" w:cs="Arial" w:eastAsia="Arial" w:hAnsi="Arial"/>
                <w:sz w:val="25"/>
                <w:szCs w:val="25"/>
                <w:b w:val="1"/>
                <w:bCs w:val="1"/>
                <w:color w:val="FFFFFF"/>
                <w:vertAlign w:val="superscript"/>
              </w:rPr>
              <w:t>(5)</w:t>
            </w:r>
          </w:p>
        </w:tc>
        <w:tc>
          <w:tcPr>
            <w:tcW w:w="1500" w:type="dxa"/>
            <w:vAlign w:val="bottom"/>
            <w:tcBorders>
              <w:right w:val="single" w:sz="8" w:color="7F7F7F"/>
            </w:tcBorders>
            <w:gridSpan w:val="2"/>
            <w:shd w:val="clear" w:color="auto" w:fill="0066B2"/>
          </w:tcPr>
          <w:p>
            <w:pPr>
              <w:jc w:val="center"/>
              <w:spacing w:after="0" w:line="220" w:lineRule="exact"/>
              <w:rPr>
                <w:sz w:val="20"/>
                <w:szCs w:val="20"/>
                <w:color w:val="auto"/>
              </w:rPr>
            </w:pPr>
            <w:r>
              <w:rPr>
                <w:rFonts w:ascii="Arial" w:cs="Arial" w:eastAsia="Arial" w:hAnsi="Arial"/>
                <w:sz w:val="15"/>
                <w:szCs w:val="15"/>
                <w:b w:val="1"/>
                <w:bCs w:val="1"/>
                <w:color w:val="FFFFFF"/>
              </w:rPr>
              <w:t>fiscal year-end</w:t>
            </w:r>
            <w:r>
              <w:rPr>
                <w:rFonts w:ascii="Arial" w:cs="Arial" w:eastAsia="Arial" w:hAnsi="Arial"/>
                <w:sz w:val="25"/>
                <w:szCs w:val="25"/>
                <w:b w:val="1"/>
                <w:bCs w:val="1"/>
                <w:color w:val="FFFFFF"/>
                <w:vertAlign w:val="superscript"/>
              </w:rPr>
              <w:t>(6)</w:t>
            </w:r>
          </w:p>
        </w:tc>
      </w:tr>
      <w:tr>
        <w:trPr>
          <w:trHeight w:val="243"/>
        </w:trPr>
        <w:tc>
          <w:tcPr>
            <w:tcW w:w="2020" w:type="dxa"/>
            <w:vAlign w:val="bottom"/>
            <w:tcBorders>
              <w:left w:val="single" w:sz="8" w:color="7F7F7F"/>
            </w:tcBorders>
            <w:shd w:val="clear" w:color="auto" w:fill="D8D8D8"/>
          </w:tcPr>
          <w:p>
            <w:pPr>
              <w:ind w:left="140"/>
              <w:spacing w:after="0"/>
              <w:rPr>
                <w:sz w:val="20"/>
                <w:szCs w:val="20"/>
                <w:color w:val="auto"/>
              </w:rPr>
            </w:pPr>
            <w:r>
              <w:rPr>
                <w:rFonts w:ascii="Arial" w:cs="Arial" w:eastAsia="Arial" w:hAnsi="Arial"/>
                <w:sz w:val="16"/>
                <w:szCs w:val="16"/>
                <w:color w:val="auto"/>
              </w:rPr>
              <w:t>M.K. Wirth</w:t>
            </w:r>
          </w:p>
        </w:tc>
        <w:tc>
          <w:tcPr>
            <w:tcW w:w="1020" w:type="dxa"/>
            <w:vAlign w:val="bottom"/>
            <w:shd w:val="clear" w:color="auto" w:fill="D8D8D8"/>
          </w:tcPr>
          <w:p>
            <w:pPr>
              <w:ind w:left="92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8D8D8"/>
          </w:tcPr>
          <w:p>
            <w:pPr>
              <w:jc w:val="right"/>
              <w:ind w:right="459"/>
              <w:spacing w:after="0"/>
              <w:rPr>
                <w:sz w:val="20"/>
                <w:szCs w:val="20"/>
                <w:color w:val="auto"/>
              </w:rPr>
            </w:pPr>
            <w:r>
              <w:rPr>
                <w:rFonts w:ascii="Arial" w:cs="Arial" w:eastAsia="Arial" w:hAnsi="Arial"/>
                <w:sz w:val="16"/>
                <w:szCs w:val="16"/>
                <w:color w:val="auto"/>
              </w:rPr>
              <w:t>27,200</w:t>
            </w:r>
          </w:p>
        </w:tc>
        <w:tc>
          <w:tcPr>
            <w:tcW w:w="540" w:type="dxa"/>
            <w:vAlign w:val="bottom"/>
            <w:shd w:val="clear" w:color="auto" w:fill="D8D8D8"/>
          </w:tcPr>
          <w:p>
            <w:pPr>
              <w:ind w:left="4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D8D8D8"/>
          </w:tcPr>
          <w:p>
            <w:pPr>
              <w:jc w:val="right"/>
              <w:ind w:right="319"/>
              <w:spacing w:after="0"/>
              <w:rPr>
                <w:sz w:val="20"/>
                <w:szCs w:val="20"/>
                <w:color w:val="auto"/>
              </w:rPr>
            </w:pPr>
            <w:r>
              <w:rPr>
                <w:rFonts w:ascii="Arial" w:cs="Arial" w:eastAsia="Arial" w:hAnsi="Arial"/>
                <w:sz w:val="16"/>
                <w:szCs w:val="16"/>
                <w:color w:val="auto"/>
              </w:rPr>
              <w:t>108,800</w:t>
            </w:r>
          </w:p>
        </w:tc>
        <w:tc>
          <w:tcPr>
            <w:tcW w:w="7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D8D8D8"/>
          </w:tcPr>
          <w:p>
            <w:pPr>
              <w:jc w:val="right"/>
              <w:ind w:right="499"/>
              <w:spacing w:after="0"/>
              <w:rPr>
                <w:sz w:val="20"/>
                <w:szCs w:val="20"/>
                <w:color w:val="auto"/>
              </w:rPr>
            </w:pPr>
            <w:r>
              <w:rPr>
                <w:rFonts w:ascii="Arial" w:cs="Arial" w:eastAsia="Arial" w:hAnsi="Arial"/>
                <w:sz w:val="16"/>
                <w:szCs w:val="16"/>
                <w:color w:val="auto"/>
              </w:rPr>
              <w:t>3,302,566</w:t>
            </w:r>
          </w:p>
        </w:tc>
        <w:tc>
          <w:tcPr>
            <w:tcW w:w="1560" w:type="dxa"/>
            <w:vAlign w:val="bottom"/>
            <w:shd w:val="clear" w:color="auto" w:fill="D8D8D8"/>
          </w:tcPr>
          <w:p>
            <w:pPr>
              <w:jc w:val="center"/>
              <w:ind w:left="80"/>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7F7F7F"/>
            </w:tcBorders>
            <w:shd w:val="clear" w:color="auto" w:fill="D8D8D8"/>
          </w:tcPr>
          <w:p>
            <w:pPr>
              <w:jc w:val="right"/>
              <w:ind w:right="119"/>
              <w:spacing w:after="0"/>
              <w:rPr>
                <w:sz w:val="20"/>
                <w:szCs w:val="20"/>
                <w:color w:val="auto"/>
              </w:rPr>
            </w:pPr>
            <w:r>
              <w:rPr>
                <w:rFonts w:ascii="Arial" w:cs="Arial" w:eastAsia="Arial" w:hAnsi="Arial"/>
                <w:sz w:val="16"/>
                <w:szCs w:val="16"/>
                <w:color w:val="auto"/>
              </w:rPr>
              <w:t>24,041,683</w:t>
            </w:r>
          </w:p>
        </w:tc>
      </w:tr>
      <w:tr>
        <w:trPr>
          <w:trHeight w:val="235"/>
        </w:trPr>
        <w:tc>
          <w:tcPr>
            <w:tcW w:w="2020" w:type="dxa"/>
            <w:vAlign w:val="bottom"/>
            <w:tcBorders>
              <w:left w:val="single" w:sz="8" w:color="7F7F7F"/>
            </w:tcBorders>
          </w:tcPr>
          <w:p>
            <w:pPr>
              <w:ind w:left="140"/>
              <w:spacing w:after="0"/>
              <w:rPr>
                <w:sz w:val="20"/>
                <w:szCs w:val="20"/>
                <w:color w:val="auto"/>
              </w:rPr>
            </w:pPr>
            <w:r>
              <w:rPr>
                <w:rFonts w:ascii="Arial" w:cs="Arial" w:eastAsia="Arial" w:hAnsi="Arial"/>
                <w:sz w:val="16"/>
                <w:szCs w:val="16"/>
                <w:color w:val="auto"/>
              </w:rPr>
              <w:t>P.R. Breber</w:t>
            </w:r>
          </w:p>
        </w:tc>
        <w:tc>
          <w:tcPr>
            <w:tcW w:w="1020" w:type="dxa"/>
            <w:vAlign w:val="bottom"/>
          </w:tcPr>
          <w:p>
            <w:pPr>
              <w:ind w:left="92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59"/>
              <w:spacing w:after="0"/>
              <w:rPr>
                <w:sz w:val="20"/>
                <w:szCs w:val="20"/>
                <w:color w:val="auto"/>
              </w:rPr>
            </w:pPr>
            <w:r>
              <w:rPr>
                <w:rFonts w:ascii="Arial" w:cs="Arial" w:eastAsia="Arial" w:hAnsi="Arial"/>
                <w:sz w:val="16"/>
                <w:szCs w:val="16"/>
                <w:color w:val="auto"/>
              </w:rPr>
              <w:t>14,600</w:t>
            </w:r>
          </w:p>
        </w:tc>
        <w:tc>
          <w:tcPr>
            <w:tcW w:w="540" w:type="dxa"/>
            <w:vAlign w:val="bottom"/>
          </w:tcPr>
          <w:p>
            <w:pPr>
              <w:ind w:left="4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19"/>
              <w:spacing w:after="0"/>
              <w:rPr>
                <w:sz w:val="20"/>
                <w:szCs w:val="20"/>
                <w:color w:val="auto"/>
              </w:rPr>
            </w:pPr>
            <w:r>
              <w:rPr>
                <w:rFonts w:ascii="Arial" w:cs="Arial" w:eastAsia="Arial" w:hAnsi="Arial"/>
                <w:sz w:val="16"/>
                <w:szCs w:val="16"/>
                <w:color w:val="auto"/>
              </w:rPr>
              <w:t>58,400</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99"/>
              <w:spacing w:after="0"/>
              <w:rPr>
                <w:sz w:val="20"/>
                <w:szCs w:val="20"/>
                <w:color w:val="auto"/>
              </w:rPr>
            </w:pPr>
            <w:r>
              <w:rPr>
                <w:rFonts w:ascii="Arial" w:cs="Arial" w:eastAsia="Arial" w:hAnsi="Arial"/>
                <w:sz w:val="16"/>
                <w:szCs w:val="16"/>
                <w:color w:val="auto"/>
              </w:rPr>
              <w:t>2,294,079</w:t>
            </w:r>
          </w:p>
        </w:tc>
        <w:tc>
          <w:tcPr>
            <w:tcW w:w="1560" w:type="dxa"/>
            <w:vAlign w:val="bottom"/>
          </w:tcPr>
          <w:p>
            <w:pPr>
              <w:jc w:val="center"/>
              <w:ind w:left="80"/>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7F7F7F"/>
            </w:tcBorders>
          </w:tcPr>
          <w:p>
            <w:pPr>
              <w:jc w:val="right"/>
              <w:ind w:right="119"/>
              <w:spacing w:after="0"/>
              <w:rPr>
                <w:sz w:val="20"/>
                <w:szCs w:val="20"/>
                <w:color w:val="auto"/>
              </w:rPr>
            </w:pPr>
            <w:r>
              <w:rPr>
                <w:rFonts w:ascii="Arial" w:cs="Arial" w:eastAsia="Arial" w:hAnsi="Arial"/>
                <w:sz w:val="16"/>
                <w:szCs w:val="16"/>
                <w:color w:val="auto"/>
              </w:rPr>
              <w:t>7,343,331</w:t>
            </w:r>
          </w:p>
        </w:tc>
      </w:tr>
      <w:tr>
        <w:trPr>
          <w:trHeight w:val="251"/>
        </w:trPr>
        <w:tc>
          <w:tcPr>
            <w:tcW w:w="2020" w:type="dxa"/>
            <w:vAlign w:val="bottom"/>
            <w:tcBorders>
              <w:left w:val="single" w:sz="8" w:color="7F7F7F"/>
            </w:tcBorders>
            <w:shd w:val="clear" w:color="auto" w:fill="D8D8D8"/>
          </w:tcPr>
          <w:p>
            <w:pPr>
              <w:ind w:left="140"/>
              <w:spacing w:after="0"/>
              <w:rPr>
                <w:sz w:val="20"/>
                <w:szCs w:val="20"/>
                <w:color w:val="auto"/>
              </w:rPr>
            </w:pPr>
            <w:r>
              <w:rPr>
                <w:rFonts w:ascii="Arial" w:cs="Arial" w:eastAsia="Arial" w:hAnsi="Arial"/>
                <w:sz w:val="16"/>
                <w:szCs w:val="16"/>
                <w:color w:val="auto"/>
              </w:rPr>
              <w:t>J.W. Johnson</w:t>
            </w:r>
          </w:p>
        </w:tc>
        <w:tc>
          <w:tcPr>
            <w:tcW w:w="1020" w:type="dxa"/>
            <w:vAlign w:val="bottom"/>
            <w:shd w:val="clear" w:color="auto" w:fill="D8D8D8"/>
          </w:tcPr>
          <w:p>
            <w:pPr>
              <w:ind w:left="92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8D8D8"/>
          </w:tcPr>
          <w:p>
            <w:pPr>
              <w:jc w:val="right"/>
              <w:ind w:right="459"/>
              <w:spacing w:after="0"/>
              <w:rPr>
                <w:sz w:val="20"/>
                <w:szCs w:val="20"/>
                <w:color w:val="auto"/>
              </w:rPr>
            </w:pPr>
            <w:r>
              <w:rPr>
                <w:rFonts w:ascii="Arial" w:cs="Arial" w:eastAsia="Arial" w:hAnsi="Arial"/>
                <w:sz w:val="16"/>
                <w:szCs w:val="16"/>
                <w:color w:val="auto"/>
              </w:rPr>
              <w:t>18,400</w:t>
            </w:r>
          </w:p>
        </w:tc>
        <w:tc>
          <w:tcPr>
            <w:tcW w:w="540" w:type="dxa"/>
            <w:vAlign w:val="bottom"/>
            <w:shd w:val="clear" w:color="auto" w:fill="D8D8D8"/>
          </w:tcPr>
          <w:p>
            <w:pPr>
              <w:ind w:left="4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D8D8D8"/>
          </w:tcPr>
          <w:p>
            <w:pPr>
              <w:jc w:val="right"/>
              <w:ind w:right="319"/>
              <w:spacing w:after="0"/>
              <w:rPr>
                <w:sz w:val="20"/>
                <w:szCs w:val="20"/>
                <w:color w:val="auto"/>
              </w:rPr>
            </w:pPr>
            <w:r>
              <w:rPr>
                <w:rFonts w:ascii="Arial" w:cs="Arial" w:eastAsia="Arial" w:hAnsi="Arial"/>
                <w:sz w:val="16"/>
                <w:szCs w:val="16"/>
                <w:color w:val="auto"/>
              </w:rPr>
              <w:t>73,600</w:t>
            </w:r>
          </w:p>
        </w:tc>
        <w:tc>
          <w:tcPr>
            <w:tcW w:w="7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D8D8D8"/>
          </w:tcPr>
          <w:p>
            <w:pPr>
              <w:jc w:val="right"/>
              <w:ind w:right="499"/>
              <w:spacing w:after="0"/>
              <w:rPr>
                <w:sz w:val="20"/>
                <w:szCs w:val="20"/>
                <w:color w:val="auto"/>
              </w:rPr>
            </w:pPr>
            <w:r>
              <w:rPr>
                <w:rFonts w:ascii="Arial" w:cs="Arial" w:eastAsia="Arial" w:hAnsi="Arial"/>
                <w:sz w:val="16"/>
                <w:szCs w:val="16"/>
                <w:color w:val="auto"/>
              </w:rPr>
              <w:t>825,677</w:t>
            </w:r>
          </w:p>
        </w:tc>
        <w:tc>
          <w:tcPr>
            <w:tcW w:w="1560" w:type="dxa"/>
            <w:vAlign w:val="bottom"/>
            <w:shd w:val="clear" w:color="auto" w:fill="D8D8D8"/>
          </w:tcPr>
          <w:p>
            <w:pPr>
              <w:jc w:val="center"/>
              <w:ind w:left="80"/>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7F7F7F"/>
            </w:tcBorders>
            <w:shd w:val="clear" w:color="auto" w:fill="D8D8D8"/>
          </w:tcPr>
          <w:p>
            <w:pPr>
              <w:jc w:val="right"/>
              <w:ind w:right="119"/>
              <w:spacing w:after="0"/>
              <w:rPr>
                <w:sz w:val="20"/>
                <w:szCs w:val="20"/>
                <w:color w:val="auto"/>
              </w:rPr>
            </w:pPr>
            <w:r>
              <w:rPr>
                <w:rFonts w:ascii="Arial" w:cs="Arial" w:eastAsia="Arial" w:hAnsi="Arial"/>
                <w:sz w:val="16"/>
                <w:szCs w:val="16"/>
                <w:color w:val="auto"/>
              </w:rPr>
              <w:t>4,033,810</w:t>
            </w:r>
          </w:p>
        </w:tc>
      </w:tr>
      <w:tr>
        <w:trPr>
          <w:trHeight w:val="235"/>
        </w:trPr>
        <w:tc>
          <w:tcPr>
            <w:tcW w:w="2020" w:type="dxa"/>
            <w:vAlign w:val="bottom"/>
            <w:tcBorders>
              <w:left w:val="single" w:sz="8" w:color="7F7F7F"/>
            </w:tcBorders>
          </w:tcPr>
          <w:p>
            <w:pPr>
              <w:ind w:left="140"/>
              <w:spacing w:after="0"/>
              <w:rPr>
                <w:sz w:val="20"/>
                <w:szCs w:val="20"/>
                <w:color w:val="auto"/>
              </w:rPr>
            </w:pPr>
            <w:r>
              <w:rPr>
                <w:rFonts w:ascii="Arial" w:cs="Arial" w:eastAsia="Arial" w:hAnsi="Arial"/>
                <w:sz w:val="16"/>
                <w:szCs w:val="16"/>
                <w:color w:val="auto"/>
              </w:rPr>
              <w:t>J.C. Geagea</w:t>
            </w:r>
          </w:p>
        </w:tc>
        <w:tc>
          <w:tcPr>
            <w:tcW w:w="1020" w:type="dxa"/>
            <w:vAlign w:val="bottom"/>
          </w:tcPr>
          <w:p>
            <w:pPr>
              <w:ind w:left="92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59"/>
              <w:spacing w:after="0"/>
              <w:rPr>
                <w:sz w:val="20"/>
                <w:szCs w:val="20"/>
                <w:color w:val="auto"/>
              </w:rPr>
            </w:pPr>
            <w:r>
              <w:rPr>
                <w:rFonts w:ascii="Arial" w:cs="Arial" w:eastAsia="Arial" w:hAnsi="Arial"/>
                <w:sz w:val="16"/>
                <w:szCs w:val="16"/>
                <w:color w:val="auto"/>
              </w:rPr>
              <w:t>14,600</w:t>
            </w:r>
          </w:p>
        </w:tc>
        <w:tc>
          <w:tcPr>
            <w:tcW w:w="540" w:type="dxa"/>
            <w:vAlign w:val="bottom"/>
          </w:tcPr>
          <w:p>
            <w:pPr>
              <w:ind w:left="4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19"/>
              <w:spacing w:after="0"/>
              <w:rPr>
                <w:sz w:val="20"/>
                <w:szCs w:val="20"/>
                <w:color w:val="auto"/>
              </w:rPr>
            </w:pPr>
            <w:r>
              <w:rPr>
                <w:rFonts w:ascii="Arial" w:cs="Arial" w:eastAsia="Arial" w:hAnsi="Arial"/>
                <w:sz w:val="16"/>
                <w:szCs w:val="16"/>
                <w:color w:val="auto"/>
              </w:rPr>
              <w:t>58,400</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99"/>
              <w:spacing w:after="0"/>
              <w:rPr>
                <w:sz w:val="20"/>
                <w:szCs w:val="20"/>
                <w:color w:val="auto"/>
              </w:rPr>
            </w:pPr>
            <w:r>
              <w:rPr>
                <w:rFonts w:ascii="Arial" w:cs="Arial" w:eastAsia="Arial" w:hAnsi="Arial"/>
                <w:sz w:val="16"/>
                <w:szCs w:val="16"/>
                <w:color w:val="auto"/>
              </w:rPr>
              <w:t>274,475</w:t>
            </w:r>
          </w:p>
        </w:tc>
        <w:tc>
          <w:tcPr>
            <w:tcW w:w="1560" w:type="dxa"/>
            <w:vAlign w:val="bottom"/>
          </w:tcPr>
          <w:p>
            <w:pPr>
              <w:jc w:val="center"/>
              <w:ind w:left="80"/>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7F7F7F"/>
            </w:tcBorders>
          </w:tcPr>
          <w:p>
            <w:pPr>
              <w:jc w:val="right"/>
              <w:ind w:right="119"/>
              <w:spacing w:after="0"/>
              <w:rPr>
                <w:sz w:val="20"/>
                <w:szCs w:val="20"/>
                <w:color w:val="auto"/>
              </w:rPr>
            </w:pPr>
            <w:r>
              <w:rPr>
                <w:rFonts w:ascii="Arial" w:cs="Arial" w:eastAsia="Arial" w:hAnsi="Arial"/>
                <w:sz w:val="16"/>
                <w:szCs w:val="16"/>
                <w:color w:val="auto"/>
              </w:rPr>
              <w:t>1,071,535</w:t>
            </w:r>
          </w:p>
        </w:tc>
      </w:tr>
      <w:tr>
        <w:trPr>
          <w:trHeight w:val="244"/>
        </w:trPr>
        <w:tc>
          <w:tcPr>
            <w:tcW w:w="2020" w:type="dxa"/>
            <w:vAlign w:val="bottom"/>
            <w:tcBorders>
              <w:left w:val="single" w:sz="8" w:color="7F7F7F"/>
              <w:bottom w:val="single" w:sz="8" w:color="7F7F7F"/>
            </w:tcBorders>
            <w:shd w:val="clear" w:color="auto" w:fill="D8D8D8"/>
          </w:tcPr>
          <w:p>
            <w:pPr>
              <w:ind w:left="140"/>
              <w:spacing w:after="0"/>
              <w:rPr>
                <w:sz w:val="20"/>
                <w:szCs w:val="20"/>
                <w:color w:val="auto"/>
              </w:rPr>
            </w:pPr>
            <w:r>
              <w:rPr>
                <w:rFonts w:ascii="Arial" w:cs="Arial" w:eastAsia="Arial" w:hAnsi="Arial"/>
                <w:sz w:val="16"/>
                <w:szCs w:val="16"/>
                <w:color w:val="auto"/>
              </w:rPr>
              <w:t>M.A. Nelson</w:t>
            </w:r>
          </w:p>
        </w:tc>
        <w:tc>
          <w:tcPr>
            <w:tcW w:w="1020" w:type="dxa"/>
            <w:vAlign w:val="bottom"/>
            <w:tcBorders>
              <w:bottom w:val="single" w:sz="8" w:color="7F7F7F"/>
            </w:tcBorders>
            <w:shd w:val="clear" w:color="auto" w:fill="D8D8D8"/>
          </w:tcPr>
          <w:p>
            <w:pPr>
              <w:ind w:left="92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7F7F7F"/>
            </w:tcBorders>
            <w:shd w:val="clear" w:color="auto" w:fill="D8D8D8"/>
          </w:tcPr>
          <w:p>
            <w:pPr>
              <w:jc w:val="right"/>
              <w:ind w:right="459"/>
              <w:spacing w:after="0"/>
              <w:rPr>
                <w:sz w:val="20"/>
                <w:szCs w:val="20"/>
                <w:color w:val="auto"/>
              </w:rPr>
            </w:pPr>
            <w:r>
              <w:rPr>
                <w:rFonts w:ascii="Arial" w:cs="Arial" w:eastAsia="Arial" w:hAnsi="Arial"/>
                <w:sz w:val="16"/>
                <w:szCs w:val="16"/>
                <w:color w:val="auto"/>
              </w:rPr>
              <w:t>257,193</w:t>
            </w:r>
          </w:p>
        </w:tc>
        <w:tc>
          <w:tcPr>
            <w:tcW w:w="540" w:type="dxa"/>
            <w:vAlign w:val="bottom"/>
            <w:tcBorders>
              <w:bottom w:val="single" w:sz="8" w:color="7F7F7F"/>
            </w:tcBorders>
            <w:shd w:val="clear" w:color="auto" w:fill="D8D8D8"/>
          </w:tcPr>
          <w:p>
            <w:pPr>
              <w:ind w:left="4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7F7F7F"/>
            </w:tcBorders>
            <w:shd w:val="clear" w:color="auto" w:fill="D8D8D8"/>
          </w:tcPr>
          <w:p>
            <w:pPr>
              <w:jc w:val="right"/>
              <w:ind w:right="319"/>
              <w:spacing w:after="0"/>
              <w:rPr>
                <w:sz w:val="20"/>
                <w:szCs w:val="20"/>
                <w:color w:val="auto"/>
              </w:rPr>
            </w:pPr>
            <w:r>
              <w:rPr>
                <w:rFonts w:ascii="Arial" w:cs="Arial" w:eastAsia="Arial" w:hAnsi="Arial"/>
                <w:sz w:val="16"/>
                <w:szCs w:val="16"/>
                <w:color w:val="auto"/>
              </w:rPr>
              <w:t>52,800</w:t>
            </w:r>
          </w:p>
        </w:tc>
        <w:tc>
          <w:tcPr>
            <w:tcW w:w="74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7F7F7F"/>
            </w:tcBorders>
            <w:shd w:val="clear" w:color="auto" w:fill="D8D8D8"/>
          </w:tcPr>
          <w:p>
            <w:pPr>
              <w:jc w:val="right"/>
              <w:ind w:right="499"/>
              <w:spacing w:after="0"/>
              <w:rPr>
                <w:sz w:val="20"/>
                <w:szCs w:val="20"/>
                <w:color w:val="auto"/>
              </w:rPr>
            </w:pPr>
            <w:r>
              <w:rPr>
                <w:rFonts w:ascii="Arial" w:cs="Arial" w:eastAsia="Arial" w:hAnsi="Arial"/>
                <w:sz w:val="16"/>
                <w:szCs w:val="16"/>
                <w:color w:val="auto"/>
              </w:rPr>
              <w:t>975,587</w:t>
            </w:r>
          </w:p>
        </w:tc>
        <w:tc>
          <w:tcPr>
            <w:tcW w:w="1560" w:type="dxa"/>
            <w:vAlign w:val="bottom"/>
            <w:tcBorders>
              <w:bottom w:val="single" w:sz="8" w:color="7F7F7F"/>
            </w:tcBorders>
            <w:shd w:val="clear" w:color="auto" w:fill="D8D8D8"/>
          </w:tcPr>
          <w:p>
            <w:pPr>
              <w:jc w:val="center"/>
              <w:ind w:left="80"/>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7F7F7F"/>
              <w:right w:val="single" w:sz="8" w:color="7F7F7F"/>
            </w:tcBorders>
            <w:shd w:val="clear" w:color="auto" w:fill="D8D8D8"/>
          </w:tcPr>
          <w:p>
            <w:pPr>
              <w:jc w:val="right"/>
              <w:ind w:right="119"/>
              <w:spacing w:after="0"/>
              <w:rPr>
                <w:sz w:val="20"/>
                <w:szCs w:val="20"/>
                <w:color w:val="auto"/>
              </w:rPr>
            </w:pPr>
            <w:r>
              <w:rPr>
                <w:rFonts w:ascii="Arial" w:cs="Arial" w:eastAsia="Arial" w:hAnsi="Arial"/>
                <w:sz w:val="16"/>
                <w:szCs w:val="16"/>
                <w:color w:val="auto"/>
              </w:rPr>
              <w:t>6,994,739</w:t>
            </w:r>
          </w:p>
        </w:tc>
      </w:tr>
    </w:tbl>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72</w:t>
      </w:r>
    </w:p>
    <w:p>
      <w:pPr>
        <w:sectPr>
          <w:pgSz w:w="11900" w:h="16838" w:orient="portrait"/>
          <w:cols w:equalWidth="0" w:num="1">
            <w:col w:w="11140"/>
          </w:cols>
          <w:pgMar w:left="320" w:top="455" w:right="4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208280</wp:posOffset>
            </wp:positionV>
            <wp:extent cx="1474470" cy="1454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474470" cy="145415"/>
                    </a:xfrm>
                    <a:prstGeom prst="rect">
                      <a:avLst/>
                    </a:prstGeom>
                    <a:noFill/>
                  </pic:spPr>
                </pic:pic>
              </a:graphicData>
            </a:graphic>
          </wp:anchor>
        </w:drawing>
      </w:r>
    </w:p>
    <w:p>
      <w:pPr>
        <w:spacing w:after="0" w:line="339"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FFFFFF"/>
        </w:rPr>
        <w:t>Executive compensation</w:t>
      </w:r>
    </w:p>
    <w:p>
      <w:pPr>
        <w:spacing w:after="0" w:line="177" w:lineRule="exact"/>
        <w:rPr>
          <w:sz w:val="20"/>
          <w:szCs w:val="20"/>
          <w:color w:val="auto"/>
        </w:rPr>
      </w:pPr>
    </w:p>
    <w:p>
      <w:pPr>
        <w:ind w:left="540" w:right="100" w:hanging="424"/>
        <w:spacing w:after="0" w:line="285" w:lineRule="auto"/>
        <w:tabs>
          <w:tab w:leader="none" w:pos="5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Below are the payment elections made by each of the NEOs with respect to their DCP and ESIP-RP plan balances. If deferral years are not noted, elections apply to post-2004 balances and, if applicable, pre-2005 balances.</w:t>
      </w:r>
    </w:p>
    <w:p>
      <w:pPr>
        <w:spacing w:after="0" w:line="194" w:lineRule="exact"/>
        <w:rPr>
          <w:sz w:val="20"/>
          <w:szCs w:val="20"/>
          <w:color w:val="auto"/>
        </w:rPr>
      </w:pPr>
    </w:p>
    <w:tbl>
      <w:tblPr>
        <w:tblLayout w:type="fixed"/>
        <w:tblInd w:w="350" w:type="dxa"/>
        <w:tblCellMar>
          <w:top w:w="0" w:type="dxa"/>
          <w:left w:w="0" w:type="dxa"/>
          <w:bottom w:w="0" w:type="dxa"/>
          <w:right w:w="0" w:type="dxa"/>
        </w:tblCellMar>
      </w:tblPr>
      <w:tr>
        <w:trPr>
          <w:trHeight w:val="188"/>
        </w:trPr>
        <w:tc>
          <w:tcPr>
            <w:tcW w:w="1160" w:type="dxa"/>
            <w:vAlign w:val="bottom"/>
            <w:tcBorders>
              <w:left w:val="single" w:sz="8" w:color="7F7F7F"/>
            </w:tcBorders>
            <w:shd w:val="clear" w:color="auto" w:fill="0066B2"/>
          </w:tcPr>
          <w:p>
            <w:pPr>
              <w:spacing w:after="0"/>
              <w:rPr>
                <w:sz w:val="16"/>
                <w:szCs w:val="16"/>
                <w:color w:val="auto"/>
              </w:rPr>
            </w:pPr>
          </w:p>
        </w:tc>
        <w:tc>
          <w:tcPr>
            <w:tcW w:w="1900" w:type="dxa"/>
            <w:vAlign w:val="bottom"/>
            <w:shd w:val="clear" w:color="auto" w:fill="0066B2"/>
          </w:tcPr>
          <w:p>
            <w:pPr>
              <w:spacing w:after="0"/>
              <w:rPr>
                <w:sz w:val="16"/>
                <w:szCs w:val="16"/>
                <w:color w:val="auto"/>
              </w:rPr>
            </w:pPr>
          </w:p>
        </w:tc>
        <w:tc>
          <w:tcPr>
            <w:tcW w:w="1280" w:type="dxa"/>
            <w:vAlign w:val="bottom"/>
            <w:shd w:val="clear" w:color="auto" w:fill="0066B2"/>
          </w:tcPr>
          <w:p>
            <w:pPr>
              <w:jc w:val="center"/>
              <w:spacing w:after="0"/>
              <w:rPr>
                <w:sz w:val="20"/>
                <w:szCs w:val="20"/>
                <w:color w:val="auto"/>
              </w:rPr>
            </w:pPr>
            <w:r>
              <w:rPr>
                <w:rFonts w:ascii="Arial" w:cs="Arial" w:eastAsia="Arial" w:hAnsi="Arial"/>
                <w:sz w:val="16"/>
                <w:szCs w:val="16"/>
                <w:b w:val="1"/>
                <w:bCs w:val="1"/>
                <w:color w:val="FFFFFF"/>
                <w:w w:val="99"/>
              </w:rPr>
              <w:t>Number of</w:t>
            </w:r>
          </w:p>
        </w:tc>
        <w:tc>
          <w:tcPr>
            <w:tcW w:w="6260" w:type="dxa"/>
            <w:vAlign w:val="bottom"/>
            <w:tcBorders>
              <w:right w:val="single" w:sz="8" w:color="7F7F7F"/>
            </w:tcBorders>
            <w:shd w:val="clear" w:color="auto" w:fill="0066B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tcBorders>
              <w:left w:val="single" w:sz="8" w:color="7F7F7F"/>
            </w:tcBorders>
            <w:shd w:val="clear" w:color="auto" w:fill="0066B2"/>
          </w:tcPr>
          <w:p>
            <w:pPr>
              <w:spacing w:after="0"/>
              <w:rPr>
                <w:sz w:val="16"/>
                <w:szCs w:val="16"/>
                <w:color w:val="auto"/>
              </w:rPr>
            </w:pPr>
          </w:p>
        </w:tc>
        <w:tc>
          <w:tcPr>
            <w:tcW w:w="1900" w:type="dxa"/>
            <w:vAlign w:val="bottom"/>
            <w:shd w:val="clear" w:color="auto" w:fill="0066B2"/>
          </w:tcPr>
          <w:p>
            <w:pPr>
              <w:spacing w:after="0"/>
              <w:rPr>
                <w:sz w:val="16"/>
                <w:szCs w:val="16"/>
                <w:color w:val="auto"/>
              </w:rPr>
            </w:pPr>
          </w:p>
        </w:tc>
        <w:tc>
          <w:tcPr>
            <w:tcW w:w="1280" w:type="dxa"/>
            <w:vAlign w:val="bottom"/>
            <w:shd w:val="clear" w:color="auto" w:fill="0066B2"/>
          </w:tcPr>
          <w:p>
            <w:pPr>
              <w:jc w:val="center"/>
              <w:spacing w:after="0"/>
              <w:rPr>
                <w:sz w:val="20"/>
                <w:szCs w:val="20"/>
                <w:color w:val="auto"/>
              </w:rPr>
            </w:pPr>
            <w:r>
              <w:rPr>
                <w:rFonts w:ascii="Arial" w:cs="Arial" w:eastAsia="Arial" w:hAnsi="Arial"/>
                <w:sz w:val="16"/>
                <w:szCs w:val="16"/>
                <w:b w:val="1"/>
                <w:bCs w:val="1"/>
                <w:color w:val="FFFFFF"/>
              </w:rPr>
              <w:t>annual</w:t>
            </w:r>
          </w:p>
        </w:tc>
        <w:tc>
          <w:tcPr>
            <w:tcW w:w="6260" w:type="dxa"/>
            <w:vAlign w:val="bottom"/>
            <w:tcBorders>
              <w:right w:val="single" w:sz="8" w:color="7F7F7F"/>
            </w:tcBorders>
            <w:shd w:val="clear" w:color="auto" w:fill="0066B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tcBorders>
              <w:left w:val="single" w:sz="8" w:color="7F7F7F"/>
            </w:tcBorders>
            <w:shd w:val="clear" w:color="auto" w:fill="0066B2"/>
          </w:tcPr>
          <w:p>
            <w:pPr>
              <w:spacing w:after="0"/>
              <w:rPr>
                <w:sz w:val="16"/>
                <w:szCs w:val="16"/>
                <w:color w:val="auto"/>
              </w:rPr>
            </w:pPr>
          </w:p>
        </w:tc>
        <w:tc>
          <w:tcPr>
            <w:tcW w:w="1900" w:type="dxa"/>
            <w:vAlign w:val="bottom"/>
            <w:shd w:val="clear" w:color="auto" w:fill="0066B2"/>
          </w:tcPr>
          <w:p>
            <w:pPr>
              <w:spacing w:after="0"/>
              <w:rPr>
                <w:sz w:val="16"/>
                <w:szCs w:val="16"/>
                <w:color w:val="auto"/>
              </w:rPr>
            </w:pPr>
          </w:p>
        </w:tc>
        <w:tc>
          <w:tcPr>
            <w:tcW w:w="1280" w:type="dxa"/>
            <w:vAlign w:val="bottom"/>
            <w:shd w:val="clear" w:color="auto" w:fill="0066B2"/>
          </w:tcPr>
          <w:p>
            <w:pPr>
              <w:jc w:val="center"/>
              <w:spacing w:after="0"/>
              <w:rPr>
                <w:sz w:val="20"/>
                <w:szCs w:val="20"/>
                <w:color w:val="auto"/>
              </w:rPr>
            </w:pPr>
            <w:r>
              <w:rPr>
                <w:rFonts w:ascii="Arial" w:cs="Arial" w:eastAsia="Arial" w:hAnsi="Arial"/>
                <w:sz w:val="16"/>
                <w:szCs w:val="16"/>
                <w:b w:val="1"/>
                <w:bCs w:val="1"/>
                <w:color w:val="FFFFFF"/>
              </w:rPr>
              <w:t>installments</w:t>
            </w:r>
          </w:p>
        </w:tc>
        <w:tc>
          <w:tcPr>
            <w:tcW w:w="6260" w:type="dxa"/>
            <w:vAlign w:val="bottom"/>
            <w:tcBorders>
              <w:right w:val="single" w:sz="8" w:color="7F7F7F"/>
            </w:tcBorders>
            <w:shd w:val="clear" w:color="auto" w:fill="0066B2"/>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160" w:type="dxa"/>
            <w:vAlign w:val="bottom"/>
            <w:tcBorders>
              <w:left w:val="single" w:sz="8" w:color="7F7F7F"/>
            </w:tcBorders>
            <w:shd w:val="clear" w:color="auto" w:fill="0066B2"/>
          </w:tcPr>
          <w:p>
            <w:pPr>
              <w:ind w:left="160"/>
              <w:spacing w:after="0"/>
              <w:rPr>
                <w:sz w:val="20"/>
                <w:szCs w:val="20"/>
                <w:color w:val="auto"/>
              </w:rPr>
            </w:pPr>
            <w:r>
              <w:rPr>
                <w:rFonts w:ascii="Arial" w:cs="Arial" w:eastAsia="Arial" w:hAnsi="Arial"/>
                <w:sz w:val="16"/>
                <w:szCs w:val="16"/>
                <w:b w:val="1"/>
                <w:bCs w:val="1"/>
                <w:color w:val="FFFFFF"/>
              </w:rPr>
              <w:t>Name</w:t>
            </w:r>
          </w:p>
        </w:tc>
        <w:tc>
          <w:tcPr>
            <w:tcW w:w="1900" w:type="dxa"/>
            <w:vAlign w:val="bottom"/>
            <w:shd w:val="clear" w:color="auto" w:fill="0066B2"/>
          </w:tcPr>
          <w:p>
            <w:pPr>
              <w:ind w:left="300"/>
              <w:spacing w:after="0"/>
              <w:rPr>
                <w:sz w:val="20"/>
                <w:szCs w:val="20"/>
                <w:color w:val="auto"/>
              </w:rPr>
            </w:pPr>
            <w:r>
              <w:rPr>
                <w:rFonts w:ascii="Arial" w:cs="Arial" w:eastAsia="Arial" w:hAnsi="Arial"/>
                <w:sz w:val="16"/>
                <w:szCs w:val="16"/>
                <w:b w:val="1"/>
                <w:bCs w:val="1"/>
                <w:color w:val="FFFFFF"/>
              </w:rPr>
              <w:t>Plan</w:t>
            </w:r>
          </w:p>
        </w:tc>
        <w:tc>
          <w:tcPr>
            <w:tcW w:w="1280" w:type="dxa"/>
            <w:vAlign w:val="bottom"/>
            <w:shd w:val="clear" w:color="auto" w:fill="0066B2"/>
          </w:tcPr>
          <w:p>
            <w:pPr>
              <w:jc w:val="center"/>
              <w:spacing w:after="0"/>
              <w:rPr>
                <w:sz w:val="20"/>
                <w:szCs w:val="20"/>
                <w:color w:val="auto"/>
              </w:rPr>
            </w:pPr>
            <w:r>
              <w:rPr>
                <w:rFonts w:ascii="Arial" w:cs="Arial" w:eastAsia="Arial" w:hAnsi="Arial"/>
                <w:sz w:val="16"/>
                <w:szCs w:val="16"/>
                <w:b w:val="1"/>
                <w:bCs w:val="1"/>
                <w:color w:val="FFFFFF"/>
              </w:rPr>
              <w:t>elected</w:t>
            </w:r>
          </w:p>
        </w:tc>
        <w:tc>
          <w:tcPr>
            <w:tcW w:w="6260" w:type="dxa"/>
            <w:vAlign w:val="bottom"/>
            <w:tcBorders>
              <w:right w:val="single" w:sz="8" w:color="7F7F7F"/>
            </w:tcBorders>
            <w:shd w:val="clear" w:color="auto" w:fill="0066B2"/>
          </w:tcPr>
          <w:p>
            <w:pPr>
              <w:ind w:left="160"/>
              <w:spacing w:after="0"/>
              <w:rPr>
                <w:sz w:val="20"/>
                <w:szCs w:val="20"/>
                <w:color w:val="auto"/>
              </w:rPr>
            </w:pPr>
            <w:r>
              <w:rPr>
                <w:rFonts w:ascii="Arial" w:cs="Arial" w:eastAsia="Arial" w:hAnsi="Arial"/>
                <w:sz w:val="16"/>
                <w:szCs w:val="16"/>
                <w:b w:val="1"/>
                <w:bCs w:val="1"/>
                <w:color w:val="FFFFFF"/>
              </w:rPr>
              <w:t>Time of first payment</w:t>
            </w:r>
          </w:p>
        </w:tc>
        <w:tc>
          <w:tcPr>
            <w:tcW w:w="0" w:type="dxa"/>
            <w:vAlign w:val="bottom"/>
          </w:tcPr>
          <w:p>
            <w:pPr>
              <w:spacing w:after="0"/>
              <w:rPr>
                <w:sz w:val="1"/>
                <w:szCs w:val="1"/>
                <w:color w:val="auto"/>
              </w:rPr>
            </w:pPr>
          </w:p>
        </w:tc>
      </w:tr>
      <w:tr>
        <w:trPr>
          <w:trHeight w:val="243"/>
        </w:trPr>
        <w:tc>
          <w:tcPr>
            <w:tcW w:w="1160" w:type="dxa"/>
            <w:vAlign w:val="bottom"/>
            <w:tcBorders>
              <w:left w:val="single" w:sz="8" w:color="7F7F7F"/>
            </w:tcBorders>
            <w:vMerge w:val="restart"/>
          </w:tcPr>
          <w:p>
            <w:pPr>
              <w:ind w:left="160"/>
              <w:spacing w:after="0"/>
              <w:rPr>
                <w:sz w:val="20"/>
                <w:szCs w:val="20"/>
                <w:color w:val="auto"/>
              </w:rPr>
            </w:pPr>
            <w:r>
              <w:rPr>
                <w:rFonts w:ascii="Arial" w:cs="Arial" w:eastAsia="Arial" w:hAnsi="Arial"/>
                <w:sz w:val="16"/>
                <w:szCs w:val="16"/>
                <w:color w:val="auto"/>
              </w:rPr>
              <w:t>M.K. Wirth</w:t>
            </w:r>
          </w:p>
        </w:tc>
        <w:tc>
          <w:tcPr>
            <w:tcW w:w="1900" w:type="dxa"/>
            <w:vAlign w:val="bottom"/>
            <w:shd w:val="clear" w:color="auto" w:fill="D8D8D8"/>
          </w:tcPr>
          <w:p>
            <w:pPr>
              <w:ind w:left="300"/>
              <w:spacing w:after="0"/>
              <w:rPr>
                <w:sz w:val="20"/>
                <w:szCs w:val="20"/>
                <w:color w:val="auto"/>
              </w:rPr>
            </w:pPr>
            <w:r>
              <w:rPr>
                <w:rFonts w:ascii="Arial" w:cs="Arial" w:eastAsia="Arial" w:hAnsi="Arial"/>
                <w:sz w:val="16"/>
                <w:szCs w:val="16"/>
                <w:color w:val="auto"/>
              </w:rPr>
              <w:t>DCP</w:t>
            </w:r>
          </w:p>
        </w:tc>
        <w:tc>
          <w:tcPr>
            <w:tcW w:w="128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89"/>
              </w:rPr>
              <w:t>1</w:t>
            </w:r>
          </w:p>
        </w:tc>
        <w:tc>
          <w:tcPr>
            <w:tcW w:w="6260" w:type="dxa"/>
            <w:vAlign w:val="bottom"/>
            <w:tcBorders>
              <w:righ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First quarter that is at least one year following separation from service</w:t>
            </w:r>
          </w:p>
        </w:tc>
        <w:tc>
          <w:tcPr>
            <w:tcW w:w="0" w:type="dxa"/>
            <w:vAlign w:val="bottom"/>
          </w:tcPr>
          <w:p>
            <w:pPr>
              <w:spacing w:after="0"/>
              <w:rPr>
                <w:sz w:val="1"/>
                <w:szCs w:val="1"/>
                <w:color w:val="auto"/>
              </w:rPr>
            </w:pPr>
          </w:p>
        </w:tc>
      </w:tr>
      <w:tr>
        <w:trPr>
          <w:trHeight w:val="106"/>
        </w:trPr>
        <w:tc>
          <w:tcPr>
            <w:tcW w:w="1160" w:type="dxa"/>
            <w:vAlign w:val="bottom"/>
            <w:tcBorders>
              <w:left w:val="single" w:sz="8" w:color="7F7F7F"/>
            </w:tcBorders>
            <w:vMerge w:val="continue"/>
          </w:tcPr>
          <w:p>
            <w:pPr>
              <w:spacing w:after="0"/>
              <w:rPr>
                <w:sz w:val="9"/>
                <w:szCs w:val="9"/>
                <w:color w:val="auto"/>
              </w:rPr>
            </w:pPr>
          </w:p>
        </w:tc>
        <w:tc>
          <w:tcPr>
            <w:tcW w:w="1900" w:type="dxa"/>
            <w:vAlign w:val="bottom"/>
            <w:vMerge w:val="restart"/>
          </w:tcPr>
          <w:p>
            <w:pPr>
              <w:ind w:left="300"/>
              <w:spacing w:after="0"/>
              <w:rPr>
                <w:sz w:val="20"/>
                <w:szCs w:val="20"/>
                <w:color w:val="auto"/>
              </w:rPr>
            </w:pPr>
            <w:r>
              <w:rPr>
                <w:rFonts w:ascii="Arial" w:cs="Arial" w:eastAsia="Arial" w:hAnsi="Arial"/>
                <w:sz w:val="16"/>
                <w:szCs w:val="16"/>
                <w:color w:val="auto"/>
              </w:rPr>
              <w:t>ESIP-RP</w:t>
            </w: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w w:val="89"/>
              </w:rPr>
              <w:t>1</w:t>
            </w:r>
          </w:p>
        </w:tc>
        <w:tc>
          <w:tcPr>
            <w:tcW w:w="6260" w:type="dxa"/>
            <w:vAlign w:val="bottom"/>
            <w:tcBorders>
              <w:right w:val="single" w:sz="8" w:color="7F7F7F"/>
            </w:tcBorders>
            <w:vMerge w:val="restart"/>
          </w:tcPr>
          <w:p>
            <w:pPr>
              <w:ind w:left="160"/>
              <w:spacing w:after="0"/>
              <w:rPr>
                <w:sz w:val="20"/>
                <w:szCs w:val="20"/>
                <w:color w:val="auto"/>
              </w:rPr>
            </w:pPr>
            <w:r>
              <w:rPr>
                <w:rFonts w:ascii="Arial" w:cs="Arial" w:eastAsia="Arial" w:hAnsi="Arial"/>
                <w:sz w:val="16"/>
                <w:szCs w:val="16"/>
                <w:color w:val="auto"/>
              </w:rPr>
              <w:t>First quarter that is at least one year following separation from service</w:t>
            </w:r>
          </w:p>
        </w:tc>
        <w:tc>
          <w:tcPr>
            <w:tcW w:w="0" w:type="dxa"/>
            <w:vAlign w:val="bottom"/>
          </w:tcPr>
          <w:p>
            <w:pPr>
              <w:spacing w:after="0"/>
              <w:rPr>
                <w:sz w:val="1"/>
                <w:szCs w:val="1"/>
                <w:color w:val="auto"/>
              </w:rPr>
            </w:pPr>
          </w:p>
        </w:tc>
      </w:tr>
      <w:tr>
        <w:trPr>
          <w:trHeight w:val="131"/>
        </w:trPr>
        <w:tc>
          <w:tcPr>
            <w:tcW w:w="1160" w:type="dxa"/>
            <w:vAlign w:val="bottom"/>
            <w:tcBorders>
              <w:left w:val="single" w:sz="8" w:color="7F7F7F"/>
              <w:bottom w:val="single" w:sz="8" w:color="7F7F7F"/>
            </w:tcBorders>
          </w:tcPr>
          <w:p>
            <w:pPr>
              <w:spacing w:after="0"/>
              <w:rPr>
                <w:sz w:val="11"/>
                <w:szCs w:val="11"/>
                <w:color w:val="auto"/>
              </w:rPr>
            </w:pPr>
          </w:p>
        </w:tc>
        <w:tc>
          <w:tcPr>
            <w:tcW w:w="1900" w:type="dxa"/>
            <w:vAlign w:val="bottom"/>
            <w:tcBorders>
              <w:bottom w:val="single" w:sz="8" w:color="7F7F7F"/>
            </w:tcBorders>
            <w:vMerge w:val="continue"/>
          </w:tcPr>
          <w:p>
            <w:pPr>
              <w:spacing w:after="0"/>
              <w:rPr>
                <w:sz w:val="11"/>
                <w:szCs w:val="11"/>
                <w:color w:val="auto"/>
              </w:rPr>
            </w:pPr>
          </w:p>
        </w:tc>
        <w:tc>
          <w:tcPr>
            <w:tcW w:w="1280" w:type="dxa"/>
            <w:vAlign w:val="bottom"/>
            <w:tcBorders>
              <w:bottom w:val="single" w:sz="8" w:color="7F7F7F"/>
            </w:tcBorders>
            <w:vMerge w:val="continue"/>
          </w:tcPr>
          <w:p>
            <w:pPr>
              <w:spacing w:after="0"/>
              <w:rPr>
                <w:sz w:val="11"/>
                <w:szCs w:val="11"/>
                <w:color w:val="auto"/>
              </w:rPr>
            </w:pPr>
          </w:p>
        </w:tc>
        <w:tc>
          <w:tcPr>
            <w:tcW w:w="6260" w:type="dxa"/>
            <w:vAlign w:val="bottom"/>
            <w:tcBorders>
              <w:bottom w:val="single" w:sz="8" w:color="7F7F7F"/>
              <w:right w:val="single" w:sz="8" w:color="7F7F7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160" w:type="dxa"/>
            <w:vAlign w:val="bottom"/>
            <w:tcBorders>
              <w:left w:val="single" w:sz="8" w:color="7F7F7F"/>
            </w:tcBorders>
            <w:vMerge w:val="restart"/>
          </w:tcPr>
          <w:p>
            <w:pPr>
              <w:ind w:left="160"/>
              <w:spacing w:after="0"/>
              <w:rPr>
                <w:sz w:val="20"/>
                <w:szCs w:val="20"/>
                <w:color w:val="auto"/>
              </w:rPr>
            </w:pPr>
            <w:r>
              <w:rPr>
                <w:rFonts w:ascii="Arial" w:cs="Arial" w:eastAsia="Arial" w:hAnsi="Arial"/>
                <w:sz w:val="16"/>
                <w:szCs w:val="16"/>
                <w:color w:val="auto"/>
              </w:rPr>
              <w:t>P.R. Breber</w:t>
            </w:r>
          </w:p>
        </w:tc>
        <w:tc>
          <w:tcPr>
            <w:tcW w:w="1900" w:type="dxa"/>
            <w:vAlign w:val="bottom"/>
            <w:shd w:val="clear" w:color="auto" w:fill="D8D8D8"/>
          </w:tcPr>
          <w:p>
            <w:pPr>
              <w:ind w:left="300"/>
              <w:spacing w:after="0"/>
              <w:rPr>
                <w:sz w:val="20"/>
                <w:szCs w:val="20"/>
                <w:color w:val="auto"/>
              </w:rPr>
            </w:pPr>
            <w:r>
              <w:rPr>
                <w:rFonts w:ascii="Arial" w:cs="Arial" w:eastAsia="Arial" w:hAnsi="Arial"/>
                <w:sz w:val="16"/>
                <w:szCs w:val="16"/>
                <w:color w:val="auto"/>
              </w:rPr>
              <w:t>DCP</w:t>
            </w:r>
          </w:p>
        </w:tc>
        <w:tc>
          <w:tcPr>
            <w:tcW w:w="128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89"/>
              </w:rPr>
              <w:t>5</w:t>
            </w:r>
          </w:p>
        </w:tc>
        <w:tc>
          <w:tcPr>
            <w:tcW w:w="6260" w:type="dxa"/>
            <w:vAlign w:val="bottom"/>
            <w:tcBorders>
              <w:righ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First January that is at least one year following separation from service</w:t>
            </w:r>
          </w:p>
        </w:tc>
        <w:tc>
          <w:tcPr>
            <w:tcW w:w="0" w:type="dxa"/>
            <w:vAlign w:val="bottom"/>
          </w:tcPr>
          <w:p>
            <w:pPr>
              <w:spacing w:after="0"/>
              <w:rPr>
                <w:sz w:val="1"/>
                <w:szCs w:val="1"/>
                <w:color w:val="auto"/>
              </w:rPr>
            </w:pPr>
          </w:p>
        </w:tc>
      </w:tr>
      <w:tr>
        <w:trPr>
          <w:trHeight w:val="106"/>
        </w:trPr>
        <w:tc>
          <w:tcPr>
            <w:tcW w:w="1160" w:type="dxa"/>
            <w:vAlign w:val="bottom"/>
            <w:tcBorders>
              <w:left w:val="single" w:sz="8" w:color="7F7F7F"/>
            </w:tcBorders>
            <w:vMerge w:val="continue"/>
          </w:tcPr>
          <w:p>
            <w:pPr>
              <w:spacing w:after="0"/>
              <w:rPr>
                <w:sz w:val="9"/>
                <w:szCs w:val="9"/>
                <w:color w:val="auto"/>
              </w:rPr>
            </w:pPr>
          </w:p>
        </w:tc>
        <w:tc>
          <w:tcPr>
            <w:tcW w:w="1900" w:type="dxa"/>
            <w:vAlign w:val="bottom"/>
            <w:vMerge w:val="restart"/>
          </w:tcPr>
          <w:p>
            <w:pPr>
              <w:ind w:left="300"/>
              <w:spacing w:after="0"/>
              <w:rPr>
                <w:sz w:val="20"/>
                <w:szCs w:val="20"/>
                <w:color w:val="auto"/>
              </w:rPr>
            </w:pPr>
            <w:r>
              <w:rPr>
                <w:rFonts w:ascii="Arial" w:cs="Arial" w:eastAsia="Arial" w:hAnsi="Arial"/>
                <w:sz w:val="16"/>
                <w:szCs w:val="16"/>
                <w:color w:val="auto"/>
              </w:rPr>
              <w:t>ESIP-RP</w:t>
            </w: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w w:val="89"/>
              </w:rPr>
              <w:t>5</w:t>
            </w:r>
          </w:p>
        </w:tc>
        <w:tc>
          <w:tcPr>
            <w:tcW w:w="6260" w:type="dxa"/>
            <w:vAlign w:val="bottom"/>
            <w:tcBorders>
              <w:right w:val="single" w:sz="8" w:color="7F7F7F"/>
            </w:tcBorders>
            <w:vMerge w:val="restart"/>
          </w:tcPr>
          <w:p>
            <w:pPr>
              <w:ind w:left="160"/>
              <w:spacing w:after="0"/>
              <w:rPr>
                <w:sz w:val="20"/>
                <w:szCs w:val="20"/>
                <w:color w:val="auto"/>
              </w:rPr>
            </w:pPr>
            <w:r>
              <w:rPr>
                <w:rFonts w:ascii="Arial" w:cs="Arial" w:eastAsia="Arial" w:hAnsi="Arial"/>
                <w:sz w:val="16"/>
                <w:szCs w:val="16"/>
                <w:color w:val="auto"/>
              </w:rPr>
              <w:t>First January that is at least one year following separation from service</w:t>
            </w:r>
          </w:p>
        </w:tc>
        <w:tc>
          <w:tcPr>
            <w:tcW w:w="0" w:type="dxa"/>
            <w:vAlign w:val="bottom"/>
          </w:tcPr>
          <w:p>
            <w:pPr>
              <w:spacing w:after="0"/>
              <w:rPr>
                <w:sz w:val="1"/>
                <w:szCs w:val="1"/>
                <w:color w:val="auto"/>
              </w:rPr>
            </w:pPr>
          </w:p>
        </w:tc>
      </w:tr>
      <w:tr>
        <w:trPr>
          <w:trHeight w:val="131"/>
        </w:trPr>
        <w:tc>
          <w:tcPr>
            <w:tcW w:w="1160" w:type="dxa"/>
            <w:vAlign w:val="bottom"/>
            <w:tcBorders>
              <w:left w:val="single" w:sz="8" w:color="7F7F7F"/>
              <w:bottom w:val="single" w:sz="8" w:color="7F7F7F"/>
            </w:tcBorders>
          </w:tcPr>
          <w:p>
            <w:pPr>
              <w:spacing w:after="0"/>
              <w:rPr>
                <w:sz w:val="11"/>
                <w:szCs w:val="11"/>
                <w:color w:val="auto"/>
              </w:rPr>
            </w:pPr>
          </w:p>
        </w:tc>
        <w:tc>
          <w:tcPr>
            <w:tcW w:w="1900" w:type="dxa"/>
            <w:vAlign w:val="bottom"/>
            <w:tcBorders>
              <w:bottom w:val="single" w:sz="8" w:color="7F7F7F"/>
            </w:tcBorders>
            <w:vMerge w:val="continue"/>
          </w:tcPr>
          <w:p>
            <w:pPr>
              <w:spacing w:after="0"/>
              <w:rPr>
                <w:sz w:val="11"/>
                <w:szCs w:val="11"/>
                <w:color w:val="auto"/>
              </w:rPr>
            </w:pPr>
          </w:p>
        </w:tc>
        <w:tc>
          <w:tcPr>
            <w:tcW w:w="1280" w:type="dxa"/>
            <w:vAlign w:val="bottom"/>
            <w:tcBorders>
              <w:bottom w:val="single" w:sz="8" w:color="7F7F7F"/>
            </w:tcBorders>
            <w:vMerge w:val="continue"/>
          </w:tcPr>
          <w:p>
            <w:pPr>
              <w:spacing w:after="0"/>
              <w:rPr>
                <w:sz w:val="11"/>
                <w:szCs w:val="11"/>
                <w:color w:val="auto"/>
              </w:rPr>
            </w:pPr>
          </w:p>
        </w:tc>
        <w:tc>
          <w:tcPr>
            <w:tcW w:w="6260" w:type="dxa"/>
            <w:vAlign w:val="bottom"/>
            <w:tcBorders>
              <w:bottom w:val="single" w:sz="8" w:color="7F7F7F"/>
              <w:right w:val="single" w:sz="8" w:color="7F7F7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160" w:type="dxa"/>
            <w:vAlign w:val="bottom"/>
            <w:tcBorders>
              <w:left w:val="single" w:sz="8" w:color="7F7F7F"/>
            </w:tcBorders>
            <w:vMerge w:val="restart"/>
          </w:tcPr>
          <w:p>
            <w:pPr>
              <w:ind w:left="160"/>
              <w:spacing w:after="0"/>
              <w:rPr>
                <w:sz w:val="20"/>
                <w:szCs w:val="20"/>
                <w:color w:val="auto"/>
              </w:rPr>
            </w:pPr>
            <w:r>
              <w:rPr>
                <w:rFonts w:ascii="Arial" w:cs="Arial" w:eastAsia="Arial" w:hAnsi="Arial"/>
                <w:sz w:val="16"/>
                <w:szCs w:val="16"/>
                <w:color w:val="auto"/>
              </w:rPr>
              <w:t>J.W. Johnson</w:t>
            </w:r>
          </w:p>
        </w:tc>
        <w:tc>
          <w:tcPr>
            <w:tcW w:w="1900" w:type="dxa"/>
            <w:vAlign w:val="bottom"/>
            <w:shd w:val="clear" w:color="auto" w:fill="D8D8D8"/>
          </w:tcPr>
          <w:p>
            <w:pPr>
              <w:ind w:left="300"/>
              <w:spacing w:after="0"/>
              <w:rPr>
                <w:sz w:val="20"/>
                <w:szCs w:val="20"/>
                <w:color w:val="auto"/>
              </w:rPr>
            </w:pPr>
            <w:r>
              <w:rPr>
                <w:rFonts w:ascii="Arial" w:cs="Arial" w:eastAsia="Arial" w:hAnsi="Arial"/>
                <w:sz w:val="16"/>
                <w:szCs w:val="16"/>
                <w:color w:val="auto"/>
              </w:rPr>
              <w:t>DCP</w:t>
            </w:r>
          </w:p>
        </w:tc>
        <w:tc>
          <w:tcPr>
            <w:tcW w:w="128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89"/>
              </w:rPr>
              <w:t>1</w:t>
            </w:r>
          </w:p>
        </w:tc>
        <w:tc>
          <w:tcPr>
            <w:tcW w:w="6260" w:type="dxa"/>
            <w:vAlign w:val="bottom"/>
            <w:tcBorders>
              <w:righ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First quarter that is at least one year following separation from service</w:t>
            </w:r>
          </w:p>
        </w:tc>
        <w:tc>
          <w:tcPr>
            <w:tcW w:w="0" w:type="dxa"/>
            <w:vAlign w:val="bottom"/>
          </w:tcPr>
          <w:p>
            <w:pPr>
              <w:spacing w:after="0"/>
              <w:rPr>
                <w:sz w:val="1"/>
                <w:szCs w:val="1"/>
                <w:color w:val="auto"/>
              </w:rPr>
            </w:pPr>
          </w:p>
        </w:tc>
      </w:tr>
      <w:tr>
        <w:trPr>
          <w:trHeight w:val="106"/>
        </w:trPr>
        <w:tc>
          <w:tcPr>
            <w:tcW w:w="1160" w:type="dxa"/>
            <w:vAlign w:val="bottom"/>
            <w:tcBorders>
              <w:left w:val="single" w:sz="8" w:color="7F7F7F"/>
            </w:tcBorders>
            <w:vMerge w:val="continue"/>
          </w:tcPr>
          <w:p>
            <w:pPr>
              <w:spacing w:after="0"/>
              <w:rPr>
                <w:sz w:val="9"/>
                <w:szCs w:val="9"/>
                <w:color w:val="auto"/>
              </w:rPr>
            </w:pPr>
          </w:p>
        </w:tc>
        <w:tc>
          <w:tcPr>
            <w:tcW w:w="1900" w:type="dxa"/>
            <w:vAlign w:val="bottom"/>
            <w:vMerge w:val="restart"/>
          </w:tcPr>
          <w:p>
            <w:pPr>
              <w:ind w:left="300"/>
              <w:spacing w:after="0"/>
              <w:rPr>
                <w:sz w:val="20"/>
                <w:szCs w:val="20"/>
                <w:color w:val="auto"/>
              </w:rPr>
            </w:pPr>
            <w:r>
              <w:rPr>
                <w:rFonts w:ascii="Arial" w:cs="Arial" w:eastAsia="Arial" w:hAnsi="Arial"/>
                <w:sz w:val="16"/>
                <w:szCs w:val="16"/>
                <w:color w:val="auto"/>
              </w:rPr>
              <w:t>ESIP-RP</w:t>
            </w: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w w:val="89"/>
              </w:rPr>
              <w:t>1</w:t>
            </w:r>
          </w:p>
        </w:tc>
        <w:tc>
          <w:tcPr>
            <w:tcW w:w="6260" w:type="dxa"/>
            <w:vAlign w:val="bottom"/>
            <w:tcBorders>
              <w:right w:val="single" w:sz="8" w:color="7F7F7F"/>
            </w:tcBorders>
            <w:vMerge w:val="restart"/>
          </w:tcPr>
          <w:p>
            <w:pPr>
              <w:ind w:left="160"/>
              <w:spacing w:after="0"/>
              <w:rPr>
                <w:sz w:val="20"/>
                <w:szCs w:val="20"/>
                <w:color w:val="auto"/>
              </w:rPr>
            </w:pPr>
            <w:r>
              <w:rPr>
                <w:rFonts w:ascii="Arial" w:cs="Arial" w:eastAsia="Arial" w:hAnsi="Arial"/>
                <w:sz w:val="16"/>
                <w:szCs w:val="16"/>
                <w:color w:val="auto"/>
              </w:rPr>
              <w:t>First quarter that is at least one year following separation from service</w:t>
            </w:r>
          </w:p>
        </w:tc>
        <w:tc>
          <w:tcPr>
            <w:tcW w:w="0" w:type="dxa"/>
            <w:vAlign w:val="bottom"/>
          </w:tcPr>
          <w:p>
            <w:pPr>
              <w:spacing w:after="0"/>
              <w:rPr>
                <w:sz w:val="1"/>
                <w:szCs w:val="1"/>
                <w:color w:val="auto"/>
              </w:rPr>
            </w:pPr>
          </w:p>
        </w:tc>
      </w:tr>
      <w:tr>
        <w:trPr>
          <w:trHeight w:val="131"/>
        </w:trPr>
        <w:tc>
          <w:tcPr>
            <w:tcW w:w="1160" w:type="dxa"/>
            <w:vAlign w:val="bottom"/>
            <w:tcBorders>
              <w:left w:val="single" w:sz="8" w:color="7F7F7F"/>
              <w:bottom w:val="single" w:sz="8" w:color="7F7F7F"/>
            </w:tcBorders>
          </w:tcPr>
          <w:p>
            <w:pPr>
              <w:spacing w:after="0"/>
              <w:rPr>
                <w:sz w:val="11"/>
                <w:szCs w:val="11"/>
                <w:color w:val="auto"/>
              </w:rPr>
            </w:pPr>
          </w:p>
        </w:tc>
        <w:tc>
          <w:tcPr>
            <w:tcW w:w="1900" w:type="dxa"/>
            <w:vAlign w:val="bottom"/>
            <w:tcBorders>
              <w:bottom w:val="single" w:sz="8" w:color="7F7F7F"/>
            </w:tcBorders>
            <w:vMerge w:val="continue"/>
          </w:tcPr>
          <w:p>
            <w:pPr>
              <w:spacing w:after="0"/>
              <w:rPr>
                <w:sz w:val="11"/>
                <w:szCs w:val="11"/>
                <w:color w:val="auto"/>
              </w:rPr>
            </w:pPr>
          </w:p>
        </w:tc>
        <w:tc>
          <w:tcPr>
            <w:tcW w:w="1280" w:type="dxa"/>
            <w:vAlign w:val="bottom"/>
            <w:tcBorders>
              <w:bottom w:val="single" w:sz="8" w:color="7F7F7F"/>
            </w:tcBorders>
            <w:vMerge w:val="continue"/>
          </w:tcPr>
          <w:p>
            <w:pPr>
              <w:spacing w:after="0"/>
              <w:rPr>
                <w:sz w:val="11"/>
                <w:szCs w:val="11"/>
                <w:color w:val="auto"/>
              </w:rPr>
            </w:pPr>
          </w:p>
        </w:tc>
        <w:tc>
          <w:tcPr>
            <w:tcW w:w="6260" w:type="dxa"/>
            <w:vAlign w:val="bottom"/>
            <w:tcBorders>
              <w:bottom w:val="single" w:sz="8" w:color="7F7F7F"/>
              <w:right w:val="single" w:sz="8" w:color="7F7F7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160" w:type="dxa"/>
            <w:vAlign w:val="bottom"/>
            <w:tcBorders>
              <w:left w:val="single" w:sz="8" w:color="7F7F7F"/>
            </w:tcBorders>
            <w:vMerge w:val="restart"/>
          </w:tcPr>
          <w:p>
            <w:pPr>
              <w:ind w:left="160"/>
              <w:spacing w:after="0"/>
              <w:rPr>
                <w:sz w:val="20"/>
                <w:szCs w:val="20"/>
                <w:color w:val="auto"/>
              </w:rPr>
            </w:pPr>
            <w:r>
              <w:rPr>
                <w:rFonts w:ascii="Arial" w:cs="Arial" w:eastAsia="Arial" w:hAnsi="Arial"/>
                <w:sz w:val="16"/>
                <w:szCs w:val="16"/>
                <w:color w:val="auto"/>
              </w:rPr>
              <w:t>J.C. Geagea</w:t>
            </w:r>
          </w:p>
        </w:tc>
        <w:tc>
          <w:tcPr>
            <w:tcW w:w="1900" w:type="dxa"/>
            <w:vAlign w:val="bottom"/>
            <w:shd w:val="clear" w:color="auto" w:fill="D8D8D8"/>
          </w:tcPr>
          <w:p>
            <w:pPr>
              <w:ind w:left="300"/>
              <w:spacing w:after="0"/>
              <w:rPr>
                <w:sz w:val="20"/>
                <w:szCs w:val="20"/>
                <w:color w:val="auto"/>
              </w:rPr>
            </w:pPr>
            <w:r>
              <w:rPr>
                <w:rFonts w:ascii="Arial" w:cs="Arial" w:eastAsia="Arial" w:hAnsi="Arial"/>
                <w:sz w:val="16"/>
                <w:szCs w:val="16"/>
                <w:color w:val="auto"/>
              </w:rPr>
              <w:t>DCP</w:t>
            </w:r>
          </w:p>
        </w:tc>
        <w:tc>
          <w:tcPr>
            <w:tcW w:w="128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89"/>
              </w:rPr>
              <w:t>1</w:t>
            </w:r>
          </w:p>
        </w:tc>
        <w:tc>
          <w:tcPr>
            <w:tcW w:w="6260" w:type="dxa"/>
            <w:vAlign w:val="bottom"/>
            <w:tcBorders>
              <w:righ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First quarter that is at least one year following separation from service</w:t>
            </w:r>
          </w:p>
        </w:tc>
        <w:tc>
          <w:tcPr>
            <w:tcW w:w="0" w:type="dxa"/>
            <w:vAlign w:val="bottom"/>
          </w:tcPr>
          <w:p>
            <w:pPr>
              <w:spacing w:after="0"/>
              <w:rPr>
                <w:sz w:val="1"/>
                <w:szCs w:val="1"/>
                <w:color w:val="auto"/>
              </w:rPr>
            </w:pPr>
          </w:p>
        </w:tc>
      </w:tr>
      <w:tr>
        <w:trPr>
          <w:trHeight w:val="106"/>
        </w:trPr>
        <w:tc>
          <w:tcPr>
            <w:tcW w:w="1160" w:type="dxa"/>
            <w:vAlign w:val="bottom"/>
            <w:tcBorders>
              <w:left w:val="single" w:sz="8" w:color="7F7F7F"/>
            </w:tcBorders>
            <w:vMerge w:val="continue"/>
          </w:tcPr>
          <w:p>
            <w:pPr>
              <w:spacing w:after="0"/>
              <w:rPr>
                <w:sz w:val="9"/>
                <w:szCs w:val="9"/>
                <w:color w:val="auto"/>
              </w:rPr>
            </w:pPr>
          </w:p>
        </w:tc>
        <w:tc>
          <w:tcPr>
            <w:tcW w:w="1900" w:type="dxa"/>
            <w:vAlign w:val="bottom"/>
            <w:vMerge w:val="restart"/>
          </w:tcPr>
          <w:p>
            <w:pPr>
              <w:ind w:left="300"/>
              <w:spacing w:after="0"/>
              <w:rPr>
                <w:sz w:val="20"/>
                <w:szCs w:val="20"/>
                <w:color w:val="auto"/>
              </w:rPr>
            </w:pPr>
            <w:r>
              <w:rPr>
                <w:rFonts w:ascii="Arial" w:cs="Arial" w:eastAsia="Arial" w:hAnsi="Arial"/>
                <w:sz w:val="16"/>
                <w:szCs w:val="16"/>
                <w:color w:val="auto"/>
              </w:rPr>
              <w:t>ESIP-RP</w:t>
            </w: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w w:val="89"/>
              </w:rPr>
              <w:t>1</w:t>
            </w:r>
          </w:p>
        </w:tc>
        <w:tc>
          <w:tcPr>
            <w:tcW w:w="6260" w:type="dxa"/>
            <w:vAlign w:val="bottom"/>
            <w:tcBorders>
              <w:right w:val="single" w:sz="8" w:color="7F7F7F"/>
            </w:tcBorders>
            <w:vMerge w:val="restart"/>
          </w:tcPr>
          <w:p>
            <w:pPr>
              <w:ind w:left="160"/>
              <w:spacing w:after="0"/>
              <w:rPr>
                <w:sz w:val="20"/>
                <w:szCs w:val="20"/>
                <w:color w:val="auto"/>
              </w:rPr>
            </w:pPr>
            <w:r>
              <w:rPr>
                <w:rFonts w:ascii="Arial" w:cs="Arial" w:eastAsia="Arial" w:hAnsi="Arial"/>
                <w:sz w:val="16"/>
                <w:szCs w:val="16"/>
                <w:color w:val="auto"/>
              </w:rPr>
              <w:t>First quarter that is at least one year following separation from service</w:t>
            </w:r>
          </w:p>
        </w:tc>
        <w:tc>
          <w:tcPr>
            <w:tcW w:w="0" w:type="dxa"/>
            <w:vAlign w:val="bottom"/>
          </w:tcPr>
          <w:p>
            <w:pPr>
              <w:spacing w:after="0"/>
              <w:rPr>
                <w:sz w:val="1"/>
                <w:szCs w:val="1"/>
                <w:color w:val="auto"/>
              </w:rPr>
            </w:pPr>
          </w:p>
        </w:tc>
      </w:tr>
      <w:tr>
        <w:trPr>
          <w:trHeight w:val="131"/>
        </w:trPr>
        <w:tc>
          <w:tcPr>
            <w:tcW w:w="1160" w:type="dxa"/>
            <w:vAlign w:val="bottom"/>
            <w:tcBorders>
              <w:left w:val="single" w:sz="8" w:color="7F7F7F"/>
              <w:bottom w:val="single" w:sz="8" w:color="7F7F7F"/>
            </w:tcBorders>
          </w:tcPr>
          <w:p>
            <w:pPr>
              <w:spacing w:after="0"/>
              <w:rPr>
                <w:sz w:val="11"/>
                <w:szCs w:val="11"/>
                <w:color w:val="auto"/>
              </w:rPr>
            </w:pPr>
          </w:p>
        </w:tc>
        <w:tc>
          <w:tcPr>
            <w:tcW w:w="1900" w:type="dxa"/>
            <w:vAlign w:val="bottom"/>
            <w:tcBorders>
              <w:bottom w:val="single" w:sz="8" w:color="7F7F7F"/>
            </w:tcBorders>
            <w:vMerge w:val="continue"/>
          </w:tcPr>
          <w:p>
            <w:pPr>
              <w:spacing w:after="0"/>
              <w:rPr>
                <w:sz w:val="11"/>
                <w:szCs w:val="11"/>
                <w:color w:val="auto"/>
              </w:rPr>
            </w:pPr>
          </w:p>
        </w:tc>
        <w:tc>
          <w:tcPr>
            <w:tcW w:w="1280" w:type="dxa"/>
            <w:vAlign w:val="bottom"/>
            <w:tcBorders>
              <w:bottom w:val="single" w:sz="8" w:color="7F7F7F"/>
            </w:tcBorders>
            <w:vMerge w:val="continue"/>
          </w:tcPr>
          <w:p>
            <w:pPr>
              <w:spacing w:after="0"/>
              <w:rPr>
                <w:sz w:val="11"/>
                <w:szCs w:val="11"/>
                <w:color w:val="auto"/>
              </w:rPr>
            </w:pPr>
          </w:p>
        </w:tc>
        <w:tc>
          <w:tcPr>
            <w:tcW w:w="6260" w:type="dxa"/>
            <w:vAlign w:val="bottom"/>
            <w:tcBorders>
              <w:bottom w:val="single" w:sz="8" w:color="7F7F7F"/>
              <w:right w:val="single" w:sz="8" w:color="7F7F7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160" w:type="dxa"/>
            <w:vAlign w:val="bottom"/>
            <w:tcBorders>
              <w:left w:val="single" w:sz="8" w:color="7F7F7F"/>
            </w:tcBorders>
          </w:tcPr>
          <w:p>
            <w:pPr>
              <w:spacing w:after="0"/>
              <w:rPr>
                <w:sz w:val="21"/>
                <w:szCs w:val="21"/>
                <w:color w:val="auto"/>
              </w:rPr>
            </w:pPr>
          </w:p>
        </w:tc>
        <w:tc>
          <w:tcPr>
            <w:tcW w:w="1900" w:type="dxa"/>
            <w:vAlign w:val="bottom"/>
            <w:shd w:val="clear" w:color="auto" w:fill="D8D8D8"/>
          </w:tcPr>
          <w:p>
            <w:pPr>
              <w:ind w:left="300"/>
              <w:spacing w:after="0"/>
              <w:rPr>
                <w:sz w:val="20"/>
                <w:szCs w:val="20"/>
                <w:color w:val="auto"/>
              </w:rPr>
            </w:pPr>
            <w:r>
              <w:rPr>
                <w:rFonts w:ascii="Arial" w:cs="Arial" w:eastAsia="Arial" w:hAnsi="Arial"/>
                <w:sz w:val="16"/>
                <w:szCs w:val="16"/>
                <w:color w:val="auto"/>
              </w:rPr>
              <w:t>DCP</w:t>
            </w:r>
          </w:p>
        </w:tc>
        <w:tc>
          <w:tcPr>
            <w:tcW w:w="128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10</w:t>
            </w:r>
          </w:p>
        </w:tc>
        <w:tc>
          <w:tcPr>
            <w:tcW w:w="6260" w:type="dxa"/>
            <w:vAlign w:val="bottom"/>
            <w:tcBorders>
              <w:righ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First quarter that is at least one year following separation from service</w:t>
            </w:r>
          </w:p>
        </w:tc>
        <w:tc>
          <w:tcPr>
            <w:tcW w:w="0" w:type="dxa"/>
            <w:vAlign w:val="bottom"/>
          </w:tcPr>
          <w:p>
            <w:pPr>
              <w:spacing w:after="0"/>
              <w:rPr>
                <w:sz w:val="1"/>
                <w:szCs w:val="1"/>
                <w:color w:val="auto"/>
              </w:rPr>
            </w:pPr>
          </w:p>
        </w:tc>
      </w:tr>
      <w:tr>
        <w:trPr>
          <w:trHeight w:val="235"/>
        </w:trPr>
        <w:tc>
          <w:tcPr>
            <w:tcW w:w="116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M.A. Nelson</w:t>
            </w:r>
          </w:p>
        </w:tc>
        <w:tc>
          <w:tcPr>
            <w:tcW w:w="1900" w:type="dxa"/>
            <w:vAlign w:val="bottom"/>
          </w:tcPr>
          <w:p>
            <w:pPr>
              <w:ind w:left="300"/>
              <w:spacing w:after="0"/>
              <w:rPr>
                <w:sz w:val="20"/>
                <w:szCs w:val="20"/>
                <w:color w:val="auto"/>
              </w:rPr>
            </w:pPr>
            <w:r>
              <w:rPr>
                <w:rFonts w:ascii="Arial" w:cs="Arial" w:eastAsia="Arial" w:hAnsi="Arial"/>
                <w:sz w:val="16"/>
                <w:szCs w:val="16"/>
                <w:color w:val="auto"/>
              </w:rPr>
              <w:t>ESIP-RP post-2004</w:t>
            </w:r>
          </w:p>
        </w:tc>
        <w:tc>
          <w:tcPr>
            <w:tcW w:w="1280" w:type="dxa"/>
            <w:vAlign w:val="bottom"/>
          </w:tcPr>
          <w:p>
            <w:pPr>
              <w:jc w:val="center"/>
              <w:spacing w:after="0"/>
              <w:rPr>
                <w:sz w:val="20"/>
                <w:szCs w:val="20"/>
                <w:color w:val="auto"/>
              </w:rPr>
            </w:pPr>
            <w:r>
              <w:rPr>
                <w:rFonts w:ascii="Arial" w:cs="Arial" w:eastAsia="Arial" w:hAnsi="Arial"/>
                <w:sz w:val="16"/>
                <w:szCs w:val="16"/>
                <w:color w:val="auto"/>
              </w:rPr>
              <w:t>10</w:t>
            </w:r>
          </w:p>
        </w:tc>
        <w:tc>
          <w:tcPr>
            <w:tcW w:w="6260" w:type="dxa"/>
            <w:vAlign w:val="bottom"/>
            <w:tcBorders>
              <w:right w:val="single" w:sz="8" w:color="7F7F7F"/>
            </w:tcBorders>
          </w:tcPr>
          <w:p>
            <w:pPr>
              <w:ind w:left="160"/>
              <w:spacing w:after="0"/>
              <w:rPr>
                <w:sz w:val="20"/>
                <w:szCs w:val="20"/>
                <w:color w:val="auto"/>
              </w:rPr>
            </w:pPr>
            <w:r>
              <w:rPr>
                <w:rFonts w:ascii="Arial" w:cs="Arial" w:eastAsia="Arial" w:hAnsi="Arial"/>
                <w:sz w:val="16"/>
                <w:szCs w:val="16"/>
                <w:color w:val="auto"/>
              </w:rPr>
              <w:t>First quarter that is at least one year following separation from service</w:t>
            </w:r>
          </w:p>
        </w:tc>
        <w:tc>
          <w:tcPr>
            <w:tcW w:w="0" w:type="dxa"/>
            <w:vAlign w:val="bottom"/>
          </w:tcPr>
          <w:p>
            <w:pPr>
              <w:spacing w:after="0"/>
              <w:rPr>
                <w:sz w:val="1"/>
                <w:szCs w:val="1"/>
                <w:color w:val="auto"/>
              </w:rPr>
            </w:pPr>
          </w:p>
        </w:tc>
      </w:tr>
      <w:tr>
        <w:trPr>
          <w:trHeight w:val="244"/>
        </w:trPr>
        <w:tc>
          <w:tcPr>
            <w:tcW w:w="1160" w:type="dxa"/>
            <w:vAlign w:val="bottom"/>
            <w:tcBorders>
              <w:left w:val="single" w:sz="8" w:color="7F7F7F"/>
              <w:bottom w:val="single" w:sz="8" w:color="7F7F7F"/>
            </w:tcBorders>
          </w:tcPr>
          <w:p>
            <w:pPr>
              <w:spacing w:after="0"/>
              <w:rPr>
                <w:sz w:val="21"/>
                <w:szCs w:val="21"/>
                <w:color w:val="auto"/>
              </w:rPr>
            </w:pPr>
          </w:p>
        </w:tc>
        <w:tc>
          <w:tcPr>
            <w:tcW w:w="1900" w:type="dxa"/>
            <w:vAlign w:val="bottom"/>
            <w:tcBorders>
              <w:bottom w:val="single" w:sz="8" w:color="7F7F7F"/>
            </w:tcBorders>
            <w:shd w:val="clear" w:color="auto" w:fill="D8D8D8"/>
          </w:tcPr>
          <w:p>
            <w:pPr>
              <w:ind w:left="300"/>
              <w:spacing w:after="0"/>
              <w:rPr>
                <w:sz w:val="20"/>
                <w:szCs w:val="20"/>
                <w:color w:val="auto"/>
              </w:rPr>
            </w:pPr>
            <w:r>
              <w:rPr>
                <w:rFonts w:ascii="Arial" w:cs="Arial" w:eastAsia="Arial" w:hAnsi="Arial"/>
                <w:sz w:val="16"/>
                <w:szCs w:val="16"/>
                <w:color w:val="auto"/>
              </w:rPr>
              <w:t>ESIP-RP pre-2005</w:t>
            </w:r>
          </w:p>
        </w:tc>
        <w:tc>
          <w:tcPr>
            <w:tcW w:w="1280" w:type="dxa"/>
            <w:vAlign w:val="bottom"/>
            <w:tcBorders>
              <w:bottom w:val="single" w:sz="8" w:color="7F7F7F"/>
            </w:tcBorders>
            <w:shd w:val="clear" w:color="auto" w:fill="D8D8D8"/>
          </w:tcPr>
          <w:p>
            <w:pPr>
              <w:jc w:val="center"/>
              <w:spacing w:after="0"/>
              <w:rPr>
                <w:sz w:val="20"/>
                <w:szCs w:val="20"/>
                <w:color w:val="auto"/>
              </w:rPr>
            </w:pPr>
            <w:r>
              <w:rPr>
                <w:rFonts w:ascii="Arial" w:cs="Arial" w:eastAsia="Arial" w:hAnsi="Arial"/>
                <w:sz w:val="16"/>
                <w:szCs w:val="16"/>
                <w:color w:val="auto"/>
                <w:w w:val="89"/>
              </w:rPr>
              <w:t>1</w:t>
            </w:r>
          </w:p>
        </w:tc>
        <w:tc>
          <w:tcPr>
            <w:tcW w:w="6260" w:type="dxa"/>
            <w:vAlign w:val="bottom"/>
            <w:tcBorders>
              <w:bottom w:val="single" w:sz="8" w:color="7F7F7F"/>
              <w:righ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First quarter that is at least one year following separation from service</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540" w:hanging="424"/>
        <w:spacing w:after="0" w:line="256" w:lineRule="auto"/>
        <w:tabs>
          <w:tab w:leader="none" w:pos="5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Reflects 2021 DCP deferrals of salary, any 2020 performance-year CIP, and LTIP performance shares for the 2018–2020 performance period. Salary deferrals are also included in the “Salary” column that is reported in the “Summary Compensation Table” in this Proxy Statement and are quantified as “Total Salary Deferred Under the DCP” in footnote 1 to that table. For Mr. Nelson, the value of the deferred LTIP performance shares was reported in footnote 2 of the “Option Exercise and Stock Vested in Fiscal Year 2020” table in our 2021 Proxy Statement.</w:t>
      </w:r>
    </w:p>
    <w:p>
      <w:pPr>
        <w:spacing w:after="0" w:line="213" w:lineRule="exact"/>
        <w:rPr>
          <w:sz w:val="20"/>
          <w:szCs w:val="20"/>
          <w:color w:val="auto"/>
        </w:rPr>
      </w:pPr>
    </w:p>
    <w:tbl>
      <w:tblPr>
        <w:tblLayout w:type="fixed"/>
        <w:tblInd w:w="350" w:type="dxa"/>
        <w:tblCellMar>
          <w:top w:w="0" w:type="dxa"/>
          <w:left w:w="0" w:type="dxa"/>
          <w:bottom w:w="0" w:type="dxa"/>
          <w:right w:w="0" w:type="dxa"/>
        </w:tblCellMar>
      </w:tblPr>
      <w:tr>
        <w:trPr>
          <w:trHeight w:val="188"/>
        </w:trPr>
        <w:tc>
          <w:tcPr>
            <w:tcW w:w="3200" w:type="dxa"/>
            <w:vAlign w:val="bottom"/>
            <w:tcBorders>
              <w:left w:val="single" w:sz="8" w:color="7F7F7F"/>
            </w:tcBorders>
            <w:shd w:val="clear" w:color="auto" w:fill="0066B2"/>
          </w:tcPr>
          <w:p>
            <w:pPr>
              <w:spacing w:after="0"/>
              <w:rPr>
                <w:sz w:val="16"/>
                <w:szCs w:val="16"/>
                <w:color w:val="auto"/>
              </w:rPr>
            </w:pPr>
          </w:p>
        </w:tc>
        <w:tc>
          <w:tcPr>
            <w:tcW w:w="3580" w:type="dxa"/>
            <w:vAlign w:val="bottom"/>
            <w:gridSpan w:val="2"/>
            <w:shd w:val="clear" w:color="auto" w:fill="0066B2"/>
          </w:tcPr>
          <w:p>
            <w:pPr>
              <w:jc w:val="right"/>
              <w:ind w:right="559"/>
              <w:spacing w:after="0"/>
              <w:rPr>
                <w:sz w:val="20"/>
                <w:szCs w:val="20"/>
                <w:color w:val="auto"/>
              </w:rPr>
            </w:pPr>
            <w:r>
              <w:rPr>
                <w:rFonts w:ascii="Arial" w:cs="Arial" w:eastAsia="Arial" w:hAnsi="Arial"/>
                <w:sz w:val="16"/>
                <w:szCs w:val="16"/>
                <w:b w:val="1"/>
                <w:bCs w:val="1"/>
                <w:color w:val="FFFFFF"/>
              </w:rPr>
              <w:t>2021 salary</w:t>
            </w:r>
          </w:p>
        </w:tc>
        <w:tc>
          <w:tcPr>
            <w:tcW w:w="1980" w:type="dxa"/>
            <w:vAlign w:val="bottom"/>
            <w:shd w:val="clear" w:color="auto" w:fill="0066B2"/>
          </w:tcPr>
          <w:p>
            <w:pPr>
              <w:jc w:val="center"/>
              <w:spacing w:after="0"/>
              <w:rPr>
                <w:sz w:val="20"/>
                <w:szCs w:val="20"/>
                <w:color w:val="auto"/>
              </w:rPr>
            </w:pPr>
            <w:r>
              <w:rPr>
                <w:rFonts w:ascii="Arial" w:cs="Arial" w:eastAsia="Arial" w:hAnsi="Arial"/>
                <w:sz w:val="16"/>
                <w:szCs w:val="16"/>
                <w:b w:val="1"/>
                <w:bCs w:val="1"/>
                <w:color w:val="FFFFFF"/>
                <w:w w:val="98"/>
              </w:rPr>
              <w:t>2021 CIP</w:t>
            </w:r>
          </w:p>
        </w:tc>
        <w:tc>
          <w:tcPr>
            <w:tcW w:w="1840" w:type="dxa"/>
            <w:vAlign w:val="bottom"/>
            <w:tcBorders>
              <w:right w:val="single" w:sz="8" w:color="7F7F7F"/>
            </w:tcBorders>
            <w:gridSpan w:val="2"/>
            <w:shd w:val="clear" w:color="auto" w:fill="0066B2"/>
          </w:tcPr>
          <w:p>
            <w:pPr>
              <w:jc w:val="center"/>
              <w:ind w:left="179"/>
              <w:spacing w:after="0"/>
              <w:rPr>
                <w:sz w:val="20"/>
                <w:szCs w:val="20"/>
                <w:color w:val="auto"/>
              </w:rPr>
            </w:pPr>
            <w:r>
              <w:rPr>
                <w:rFonts w:ascii="Arial" w:cs="Arial" w:eastAsia="Arial" w:hAnsi="Arial"/>
                <w:sz w:val="16"/>
                <w:szCs w:val="16"/>
                <w:b w:val="1"/>
                <w:bCs w:val="1"/>
                <w:color w:val="FFFFFF"/>
                <w:w w:val="98"/>
              </w:rPr>
              <w:t>2021 LTIP</w:t>
            </w:r>
          </w:p>
        </w:tc>
      </w:tr>
      <w:tr>
        <w:trPr>
          <w:trHeight w:val="217"/>
        </w:trPr>
        <w:tc>
          <w:tcPr>
            <w:tcW w:w="3200" w:type="dxa"/>
            <w:vAlign w:val="bottom"/>
            <w:tcBorders>
              <w:left w:val="single" w:sz="8" w:color="7F7F7F"/>
            </w:tcBorders>
            <w:shd w:val="clear" w:color="auto" w:fill="0066B2"/>
          </w:tcPr>
          <w:p>
            <w:pPr>
              <w:ind w:left="160"/>
              <w:spacing w:after="0"/>
              <w:rPr>
                <w:sz w:val="20"/>
                <w:szCs w:val="20"/>
                <w:color w:val="auto"/>
              </w:rPr>
            </w:pPr>
            <w:r>
              <w:rPr>
                <w:rFonts w:ascii="Arial" w:cs="Arial" w:eastAsia="Arial" w:hAnsi="Arial"/>
                <w:sz w:val="16"/>
                <w:szCs w:val="16"/>
                <w:b w:val="1"/>
                <w:bCs w:val="1"/>
                <w:color w:val="FFFFFF"/>
              </w:rPr>
              <w:t>Name</w:t>
            </w:r>
          </w:p>
        </w:tc>
        <w:tc>
          <w:tcPr>
            <w:tcW w:w="3580" w:type="dxa"/>
            <w:vAlign w:val="bottom"/>
            <w:gridSpan w:val="2"/>
            <w:shd w:val="clear" w:color="auto" w:fill="0066B2"/>
          </w:tcPr>
          <w:p>
            <w:pPr>
              <w:jc w:val="right"/>
              <w:ind w:right="659"/>
              <w:spacing w:after="0"/>
              <w:rPr>
                <w:sz w:val="20"/>
                <w:szCs w:val="20"/>
                <w:color w:val="auto"/>
              </w:rPr>
            </w:pPr>
            <w:r>
              <w:rPr>
                <w:rFonts w:ascii="Arial" w:cs="Arial" w:eastAsia="Arial" w:hAnsi="Arial"/>
                <w:sz w:val="16"/>
                <w:szCs w:val="16"/>
                <w:b w:val="1"/>
                <w:bCs w:val="1"/>
                <w:color w:val="FFFFFF"/>
              </w:rPr>
              <w:t>deferrals</w:t>
            </w:r>
          </w:p>
        </w:tc>
        <w:tc>
          <w:tcPr>
            <w:tcW w:w="1980" w:type="dxa"/>
            <w:vAlign w:val="bottom"/>
            <w:shd w:val="clear" w:color="auto" w:fill="0066B2"/>
          </w:tcPr>
          <w:p>
            <w:pPr>
              <w:jc w:val="center"/>
              <w:spacing w:after="0"/>
              <w:rPr>
                <w:sz w:val="20"/>
                <w:szCs w:val="20"/>
                <w:color w:val="auto"/>
              </w:rPr>
            </w:pPr>
            <w:r>
              <w:rPr>
                <w:rFonts w:ascii="Arial" w:cs="Arial" w:eastAsia="Arial" w:hAnsi="Arial"/>
                <w:sz w:val="16"/>
                <w:szCs w:val="16"/>
                <w:b w:val="1"/>
                <w:bCs w:val="1"/>
                <w:color w:val="FFFFFF"/>
              </w:rPr>
              <w:t>deferrals</w:t>
            </w:r>
          </w:p>
        </w:tc>
        <w:tc>
          <w:tcPr>
            <w:tcW w:w="1840" w:type="dxa"/>
            <w:vAlign w:val="bottom"/>
            <w:tcBorders>
              <w:right w:val="single" w:sz="8" w:color="7F7F7F"/>
            </w:tcBorders>
            <w:gridSpan w:val="2"/>
            <w:shd w:val="clear" w:color="auto" w:fill="0066B2"/>
          </w:tcPr>
          <w:p>
            <w:pPr>
              <w:jc w:val="center"/>
              <w:ind w:left="179"/>
              <w:spacing w:after="0"/>
              <w:rPr>
                <w:sz w:val="20"/>
                <w:szCs w:val="20"/>
                <w:color w:val="auto"/>
              </w:rPr>
            </w:pPr>
            <w:r>
              <w:rPr>
                <w:rFonts w:ascii="Arial" w:cs="Arial" w:eastAsia="Arial" w:hAnsi="Arial"/>
                <w:sz w:val="16"/>
                <w:szCs w:val="16"/>
                <w:b w:val="1"/>
                <w:bCs w:val="1"/>
                <w:color w:val="FFFFFF"/>
              </w:rPr>
              <w:t>deferrals</w:t>
            </w:r>
          </w:p>
        </w:tc>
      </w:tr>
      <w:tr>
        <w:trPr>
          <w:trHeight w:val="243"/>
        </w:trPr>
        <w:tc>
          <w:tcPr>
            <w:tcW w:w="320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M.K. Wirth</w:t>
            </w:r>
          </w:p>
        </w:tc>
        <w:tc>
          <w:tcPr>
            <w:tcW w:w="230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8D8D8"/>
          </w:tcPr>
          <w:p>
            <w:pPr>
              <w:jc w:val="right"/>
              <w:ind w:right="619"/>
              <w:spacing w:after="0"/>
              <w:rPr>
                <w:sz w:val="20"/>
                <w:szCs w:val="20"/>
                <w:color w:val="auto"/>
              </w:rPr>
            </w:pPr>
            <w:r>
              <w:rPr>
                <w:rFonts w:ascii="Arial" w:cs="Arial" w:eastAsia="Arial" w:hAnsi="Arial"/>
                <w:sz w:val="16"/>
                <w:szCs w:val="16"/>
                <w:color w:val="auto"/>
              </w:rPr>
              <w:t>27,200</w:t>
            </w:r>
          </w:p>
        </w:tc>
        <w:tc>
          <w:tcPr>
            <w:tcW w:w="198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w:t>
            </w:r>
          </w:p>
        </w:tc>
        <w:tc>
          <w:tcPr>
            <w:tcW w:w="820" w:type="dxa"/>
            <w:vAlign w:val="bottom"/>
            <w:shd w:val="clear" w:color="auto" w:fill="D8D8D8"/>
          </w:tcPr>
          <w:p>
            <w:pPr>
              <w:spacing w:after="0"/>
              <w:rPr>
                <w:sz w:val="21"/>
                <w:szCs w:val="21"/>
                <w:color w:val="auto"/>
              </w:rPr>
            </w:pPr>
          </w:p>
        </w:tc>
        <w:tc>
          <w:tcPr>
            <w:tcW w:w="1020" w:type="dxa"/>
            <w:vAlign w:val="bottom"/>
            <w:tcBorders>
              <w:right w:val="single" w:sz="8" w:color="7F7F7F"/>
            </w:tcBorders>
            <w:shd w:val="clear" w:color="auto" w:fill="D8D8D8"/>
          </w:tcPr>
          <w:p>
            <w:pPr>
              <w:jc w:val="center"/>
              <w:ind w:right="439"/>
              <w:spacing w:after="0"/>
              <w:rPr>
                <w:sz w:val="20"/>
                <w:szCs w:val="20"/>
                <w:color w:val="auto"/>
              </w:rPr>
            </w:pPr>
            <w:r>
              <w:rPr>
                <w:rFonts w:ascii="Arial" w:cs="Arial" w:eastAsia="Arial" w:hAnsi="Arial"/>
                <w:sz w:val="16"/>
                <w:szCs w:val="16"/>
                <w:color w:val="auto"/>
              </w:rPr>
              <w:t>–</w:t>
            </w:r>
          </w:p>
        </w:tc>
      </w:tr>
      <w:tr>
        <w:trPr>
          <w:trHeight w:val="235"/>
        </w:trPr>
        <w:tc>
          <w:tcPr>
            <w:tcW w:w="320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P.R. Breber</w:t>
            </w:r>
          </w:p>
        </w:tc>
        <w:tc>
          <w:tcPr>
            <w:tcW w:w="2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19"/>
              <w:spacing w:after="0"/>
              <w:rPr>
                <w:sz w:val="20"/>
                <w:szCs w:val="20"/>
                <w:color w:val="auto"/>
              </w:rPr>
            </w:pPr>
            <w:r>
              <w:rPr>
                <w:rFonts w:ascii="Arial" w:cs="Arial" w:eastAsia="Arial" w:hAnsi="Arial"/>
                <w:sz w:val="16"/>
                <w:szCs w:val="16"/>
                <w:color w:val="auto"/>
              </w:rPr>
              <w:t>14,600</w:t>
            </w:r>
          </w:p>
        </w:tc>
        <w:tc>
          <w:tcPr>
            <w:tcW w:w="1980" w:type="dxa"/>
            <w:vAlign w:val="bottom"/>
          </w:tcPr>
          <w:p>
            <w:pPr>
              <w:jc w:val="center"/>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0"/>
                <w:szCs w:val="20"/>
                <w:color w:val="auto"/>
              </w:rPr>
            </w:pPr>
          </w:p>
        </w:tc>
        <w:tc>
          <w:tcPr>
            <w:tcW w:w="1020" w:type="dxa"/>
            <w:vAlign w:val="bottom"/>
            <w:tcBorders>
              <w:right w:val="single" w:sz="8" w:color="7F7F7F"/>
            </w:tcBorders>
          </w:tcPr>
          <w:p>
            <w:pPr>
              <w:jc w:val="center"/>
              <w:ind w:right="439"/>
              <w:spacing w:after="0"/>
              <w:rPr>
                <w:sz w:val="20"/>
                <w:szCs w:val="20"/>
                <w:color w:val="auto"/>
              </w:rPr>
            </w:pPr>
            <w:r>
              <w:rPr>
                <w:rFonts w:ascii="Arial" w:cs="Arial" w:eastAsia="Arial" w:hAnsi="Arial"/>
                <w:sz w:val="16"/>
                <w:szCs w:val="16"/>
                <w:color w:val="auto"/>
              </w:rPr>
              <w:t>–</w:t>
            </w:r>
          </w:p>
        </w:tc>
      </w:tr>
      <w:tr>
        <w:trPr>
          <w:trHeight w:val="251"/>
        </w:trPr>
        <w:tc>
          <w:tcPr>
            <w:tcW w:w="320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J.W. Johnson</w:t>
            </w:r>
          </w:p>
        </w:tc>
        <w:tc>
          <w:tcPr>
            <w:tcW w:w="230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8D8D8"/>
          </w:tcPr>
          <w:p>
            <w:pPr>
              <w:jc w:val="right"/>
              <w:ind w:right="619"/>
              <w:spacing w:after="0"/>
              <w:rPr>
                <w:sz w:val="20"/>
                <w:szCs w:val="20"/>
                <w:color w:val="auto"/>
              </w:rPr>
            </w:pPr>
            <w:r>
              <w:rPr>
                <w:rFonts w:ascii="Arial" w:cs="Arial" w:eastAsia="Arial" w:hAnsi="Arial"/>
                <w:sz w:val="16"/>
                <w:szCs w:val="16"/>
                <w:color w:val="auto"/>
              </w:rPr>
              <w:t>18,400</w:t>
            </w:r>
          </w:p>
        </w:tc>
        <w:tc>
          <w:tcPr>
            <w:tcW w:w="198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w:t>
            </w:r>
          </w:p>
        </w:tc>
        <w:tc>
          <w:tcPr>
            <w:tcW w:w="820" w:type="dxa"/>
            <w:vAlign w:val="bottom"/>
            <w:shd w:val="clear" w:color="auto" w:fill="D8D8D8"/>
          </w:tcPr>
          <w:p>
            <w:pPr>
              <w:spacing w:after="0"/>
              <w:rPr>
                <w:sz w:val="21"/>
                <w:szCs w:val="21"/>
                <w:color w:val="auto"/>
              </w:rPr>
            </w:pPr>
          </w:p>
        </w:tc>
        <w:tc>
          <w:tcPr>
            <w:tcW w:w="1020" w:type="dxa"/>
            <w:vAlign w:val="bottom"/>
            <w:tcBorders>
              <w:right w:val="single" w:sz="8" w:color="7F7F7F"/>
            </w:tcBorders>
            <w:shd w:val="clear" w:color="auto" w:fill="D8D8D8"/>
          </w:tcPr>
          <w:p>
            <w:pPr>
              <w:jc w:val="center"/>
              <w:ind w:right="439"/>
              <w:spacing w:after="0"/>
              <w:rPr>
                <w:sz w:val="20"/>
                <w:szCs w:val="20"/>
                <w:color w:val="auto"/>
              </w:rPr>
            </w:pPr>
            <w:r>
              <w:rPr>
                <w:rFonts w:ascii="Arial" w:cs="Arial" w:eastAsia="Arial" w:hAnsi="Arial"/>
                <w:sz w:val="16"/>
                <w:szCs w:val="16"/>
                <w:color w:val="auto"/>
              </w:rPr>
              <w:t>–</w:t>
            </w:r>
          </w:p>
        </w:tc>
      </w:tr>
      <w:tr>
        <w:trPr>
          <w:trHeight w:val="235"/>
        </w:trPr>
        <w:tc>
          <w:tcPr>
            <w:tcW w:w="320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J.C. Geagea</w:t>
            </w:r>
          </w:p>
        </w:tc>
        <w:tc>
          <w:tcPr>
            <w:tcW w:w="2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19"/>
              <w:spacing w:after="0"/>
              <w:rPr>
                <w:sz w:val="20"/>
                <w:szCs w:val="20"/>
                <w:color w:val="auto"/>
              </w:rPr>
            </w:pPr>
            <w:r>
              <w:rPr>
                <w:rFonts w:ascii="Arial" w:cs="Arial" w:eastAsia="Arial" w:hAnsi="Arial"/>
                <w:sz w:val="16"/>
                <w:szCs w:val="16"/>
                <w:color w:val="auto"/>
              </w:rPr>
              <w:t>14,600</w:t>
            </w:r>
          </w:p>
        </w:tc>
        <w:tc>
          <w:tcPr>
            <w:tcW w:w="1980" w:type="dxa"/>
            <w:vAlign w:val="bottom"/>
          </w:tcPr>
          <w:p>
            <w:pPr>
              <w:jc w:val="center"/>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0"/>
                <w:szCs w:val="20"/>
                <w:color w:val="auto"/>
              </w:rPr>
            </w:pPr>
          </w:p>
        </w:tc>
        <w:tc>
          <w:tcPr>
            <w:tcW w:w="1020" w:type="dxa"/>
            <w:vAlign w:val="bottom"/>
            <w:tcBorders>
              <w:right w:val="single" w:sz="8" w:color="7F7F7F"/>
            </w:tcBorders>
          </w:tcPr>
          <w:p>
            <w:pPr>
              <w:jc w:val="center"/>
              <w:ind w:right="439"/>
              <w:spacing w:after="0"/>
              <w:rPr>
                <w:sz w:val="20"/>
                <w:szCs w:val="20"/>
                <w:color w:val="auto"/>
              </w:rPr>
            </w:pPr>
            <w:r>
              <w:rPr>
                <w:rFonts w:ascii="Arial" w:cs="Arial" w:eastAsia="Arial" w:hAnsi="Arial"/>
                <w:sz w:val="16"/>
                <w:szCs w:val="16"/>
                <w:color w:val="auto"/>
              </w:rPr>
              <w:t>–</w:t>
            </w:r>
          </w:p>
        </w:tc>
      </w:tr>
      <w:tr>
        <w:trPr>
          <w:trHeight w:val="244"/>
        </w:trPr>
        <w:tc>
          <w:tcPr>
            <w:tcW w:w="3200" w:type="dxa"/>
            <w:vAlign w:val="bottom"/>
            <w:tcBorders>
              <w:left w:val="single" w:sz="8" w:color="7F7F7F"/>
              <w:bottom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M.A. Nelson</w:t>
            </w:r>
          </w:p>
        </w:tc>
        <w:tc>
          <w:tcPr>
            <w:tcW w:w="2300" w:type="dxa"/>
            <w:vAlign w:val="bottom"/>
            <w:tcBorders>
              <w:bottom w:val="single" w:sz="8" w:color="7F7F7F"/>
            </w:tcBorders>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7F7F7F"/>
            </w:tcBorders>
            <w:shd w:val="clear" w:color="auto" w:fill="D8D8D8"/>
          </w:tcPr>
          <w:p>
            <w:pPr>
              <w:jc w:val="right"/>
              <w:ind w:right="619"/>
              <w:spacing w:after="0"/>
              <w:rPr>
                <w:sz w:val="20"/>
                <w:szCs w:val="20"/>
                <w:color w:val="auto"/>
              </w:rPr>
            </w:pPr>
            <w:r>
              <w:rPr>
                <w:rFonts w:ascii="Arial" w:cs="Arial" w:eastAsia="Arial" w:hAnsi="Arial"/>
                <w:sz w:val="16"/>
                <w:szCs w:val="16"/>
                <w:color w:val="auto"/>
              </w:rPr>
              <w:t>13,200</w:t>
            </w:r>
          </w:p>
        </w:tc>
        <w:tc>
          <w:tcPr>
            <w:tcW w:w="1980" w:type="dxa"/>
            <w:vAlign w:val="bottom"/>
            <w:tcBorders>
              <w:bottom w:val="single" w:sz="8" w:color="7F7F7F"/>
            </w:tcBorders>
            <w:shd w:val="clear" w:color="auto" w:fill="D8D8D8"/>
          </w:tcPr>
          <w:p>
            <w:pPr>
              <w:jc w:val="center"/>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7F7F7F"/>
            </w:tcBorders>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7F7F7F"/>
              <w:right w:val="single" w:sz="8" w:color="7F7F7F"/>
            </w:tcBorders>
            <w:shd w:val="clear" w:color="auto" w:fill="D8D8D8"/>
          </w:tcPr>
          <w:p>
            <w:pPr>
              <w:jc w:val="right"/>
              <w:ind w:right="259"/>
              <w:spacing w:after="0"/>
              <w:rPr>
                <w:sz w:val="20"/>
                <w:szCs w:val="20"/>
                <w:color w:val="auto"/>
              </w:rPr>
            </w:pPr>
            <w:r>
              <w:rPr>
                <w:rFonts w:ascii="Arial" w:cs="Arial" w:eastAsia="Arial" w:hAnsi="Arial"/>
                <w:sz w:val="16"/>
                <w:szCs w:val="16"/>
                <w:color w:val="auto"/>
              </w:rPr>
              <w:t>243,993</w:t>
            </w:r>
          </w:p>
        </w:tc>
      </w:tr>
    </w:tbl>
    <w:p>
      <w:pPr>
        <w:spacing w:after="0" w:line="72" w:lineRule="exact"/>
        <w:rPr>
          <w:sz w:val="20"/>
          <w:szCs w:val="20"/>
          <w:color w:val="auto"/>
        </w:rPr>
      </w:pPr>
    </w:p>
    <w:p>
      <w:pPr>
        <w:ind w:left="540" w:right="820" w:hanging="424"/>
        <w:spacing w:after="0" w:line="285" w:lineRule="auto"/>
        <w:tabs>
          <w:tab w:leader="none" w:pos="5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Represents ESIP-RP contributions by the Company for 2021. These amounts are also reflected in the “All Other Compensation” column in the “Summary Compensation Table” in this Proxy Statement.</w:t>
      </w:r>
    </w:p>
    <w:p>
      <w:pPr>
        <w:spacing w:after="0" w:line="22" w:lineRule="exact"/>
        <w:rPr>
          <w:rFonts w:ascii="Arial" w:cs="Arial" w:eastAsia="Arial" w:hAnsi="Arial"/>
          <w:sz w:val="14"/>
          <w:szCs w:val="14"/>
          <w:color w:val="auto"/>
        </w:rPr>
      </w:pPr>
    </w:p>
    <w:p>
      <w:pPr>
        <w:ind w:left="540" w:right="80" w:hanging="424"/>
        <w:spacing w:after="0" w:line="263" w:lineRule="auto"/>
        <w:tabs>
          <w:tab w:leader="none" w:pos="5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Represents the difference between DCP and ESIP-RP balances at December 31, 2021, and December 31, 2020, less CIP, LTIP, and salary deferrals in the DCP and Company contributions in the ESIP-RP. For this purpose, “earnings” includes dividend equivalents, common stock price appreciation (or depreciation), and other similar items. 2021 earnings in the DCP and ESIP-RP were as follows:</w:t>
      </w:r>
    </w:p>
    <w:p>
      <w:pPr>
        <w:spacing w:after="0" w:line="209" w:lineRule="exact"/>
        <w:rPr>
          <w:sz w:val="20"/>
          <w:szCs w:val="20"/>
          <w:color w:val="auto"/>
        </w:rPr>
      </w:pPr>
    </w:p>
    <w:tbl>
      <w:tblPr>
        <w:tblLayout w:type="fixed"/>
        <w:tblInd w:w="350" w:type="dxa"/>
        <w:tblCellMar>
          <w:top w:w="0" w:type="dxa"/>
          <w:left w:w="0" w:type="dxa"/>
          <w:bottom w:w="0" w:type="dxa"/>
          <w:right w:w="0" w:type="dxa"/>
        </w:tblCellMar>
      </w:tblPr>
      <w:tr>
        <w:trPr>
          <w:trHeight w:val="68"/>
        </w:trPr>
        <w:tc>
          <w:tcPr>
            <w:tcW w:w="6040" w:type="dxa"/>
            <w:vAlign w:val="bottom"/>
            <w:tcBorders>
              <w:left w:val="single" w:sz="8" w:color="7F7F7F"/>
            </w:tcBorders>
            <w:shd w:val="clear" w:color="auto" w:fill="0066B2"/>
          </w:tcPr>
          <w:p>
            <w:pPr>
              <w:spacing w:after="0"/>
              <w:rPr>
                <w:sz w:val="5"/>
                <w:szCs w:val="5"/>
                <w:color w:val="auto"/>
              </w:rPr>
            </w:pPr>
          </w:p>
        </w:tc>
        <w:tc>
          <w:tcPr>
            <w:tcW w:w="740" w:type="dxa"/>
            <w:vAlign w:val="bottom"/>
            <w:shd w:val="clear" w:color="auto" w:fill="0B2D71"/>
          </w:tcPr>
          <w:p>
            <w:pPr>
              <w:spacing w:after="0"/>
              <w:rPr>
                <w:sz w:val="5"/>
                <w:szCs w:val="5"/>
                <w:color w:val="auto"/>
              </w:rPr>
            </w:pPr>
          </w:p>
        </w:tc>
        <w:tc>
          <w:tcPr>
            <w:tcW w:w="1380" w:type="dxa"/>
            <w:vAlign w:val="bottom"/>
            <w:shd w:val="clear" w:color="auto" w:fill="0B2D71"/>
          </w:tcPr>
          <w:p>
            <w:pPr>
              <w:spacing w:after="0"/>
              <w:rPr>
                <w:sz w:val="5"/>
                <w:szCs w:val="5"/>
                <w:color w:val="auto"/>
              </w:rPr>
            </w:pPr>
          </w:p>
        </w:tc>
        <w:tc>
          <w:tcPr>
            <w:tcW w:w="1040" w:type="dxa"/>
            <w:vAlign w:val="bottom"/>
            <w:shd w:val="clear" w:color="auto" w:fill="0B2D71"/>
          </w:tcPr>
          <w:p>
            <w:pPr>
              <w:spacing w:after="0"/>
              <w:rPr>
                <w:sz w:val="5"/>
                <w:szCs w:val="5"/>
                <w:color w:val="auto"/>
              </w:rPr>
            </w:pPr>
          </w:p>
        </w:tc>
        <w:tc>
          <w:tcPr>
            <w:tcW w:w="1400" w:type="dxa"/>
            <w:vAlign w:val="bottom"/>
            <w:tcBorders>
              <w:right w:val="single" w:sz="8" w:color="7F7F7F"/>
            </w:tcBorders>
            <w:shd w:val="clear" w:color="auto" w:fill="0B2D71"/>
          </w:tcPr>
          <w:p>
            <w:pPr>
              <w:spacing w:after="0"/>
              <w:rPr>
                <w:sz w:val="5"/>
                <w:szCs w:val="5"/>
                <w:color w:val="auto"/>
              </w:rPr>
            </w:pPr>
          </w:p>
        </w:tc>
      </w:tr>
      <w:tr>
        <w:trPr>
          <w:trHeight w:val="250"/>
        </w:trPr>
        <w:tc>
          <w:tcPr>
            <w:tcW w:w="6040" w:type="dxa"/>
            <w:vAlign w:val="bottom"/>
            <w:tcBorders>
              <w:left w:val="single" w:sz="8" w:color="7F7F7F"/>
              <w:bottom w:val="single" w:sz="8" w:color="0066B2"/>
            </w:tcBorders>
            <w:shd w:val="clear" w:color="auto" w:fill="0066B2"/>
          </w:tcPr>
          <w:p>
            <w:pPr>
              <w:ind w:left="160"/>
              <w:spacing w:after="0"/>
              <w:rPr>
                <w:sz w:val="20"/>
                <w:szCs w:val="20"/>
                <w:color w:val="auto"/>
              </w:rPr>
            </w:pPr>
            <w:r>
              <w:rPr>
                <w:rFonts w:ascii="Arial" w:cs="Arial" w:eastAsia="Arial" w:hAnsi="Arial"/>
                <w:sz w:val="16"/>
                <w:szCs w:val="16"/>
                <w:b w:val="1"/>
                <w:bCs w:val="1"/>
                <w:color w:val="FFFFFF"/>
              </w:rPr>
              <w:t>Name</w:t>
            </w:r>
          </w:p>
        </w:tc>
        <w:tc>
          <w:tcPr>
            <w:tcW w:w="2120" w:type="dxa"/>
            <w:vAlign w:val="bottom"/>
            <w:tcBorders>
              <w:bottom w:val="single" w:sz="8" w:color="0066B2"/>
            </w:tcBorders>
            <w:gridSpan w:val="2"/>
            <w:shd w:val="clear" w:color="auto" w:fill="0066B2"/>
          </w:tcPr>
          <w:p>
            <w:pPr>
              <w:jc w:val="right"/>
              <w:ind w:right="459"/>
              <w:spacing w:after="0"/>
              <w:rPr>
                <w:sz w:val="20"/>
                <w:szCs w:val="20"/>
                <w:color w:val="auto"/>
              </w:rPr>
            </w:pPr>
            <w:r>
              <w:rPr>
                <w:rFonts w:ascii="Arial" w:cs="Arial" w:eastAsia="Arial" w:hAnsi="Arial"/>
                <w:sz w:val="16"/>
                <w:szCs w:val="16"/>
                <w:b w:val="1"/>
                <w:bCs w:val="1"/>
                <w:color w:val="FFFFFF"/>
              </w:rPr>
              <w:t>DCP earnings</w:t>
            </w:r>
          </w:p>
        </w:tc>
        <w:tc>
          <w:tcPr>
            <w:tcW w:w="2440" w:type="dxa"/>
            <w:vAlign w:val="bottom"/>
            <w:tcBorders>
              <w:bottom w:val="single" w:sz="8" w:color="0066B2"/>
              <w:right w:val="single" w:sz="8" w:color="7F7F7F"/>
            </w:tcBorders>
            <w:gridSpan w:val="2"/>
            <w:shd w:val="clear" w:color="auto" w:fill="0066B2"/>
          </w:tcPr>
          <w:p>
            <w:pPr>
              <w:jc w:val="right"/>
              <w:ind w:right="479"/>
              <w:spacing w:after="0"/>
              <w:rPr>
                <w:sz w:val="20"/>
                <w:szCs w:val="20"/>
                <w:color w:val="auto"/>
              </w:rPr>
            </w:pPr>
            <w:r>
              <w:rPr>
                <w:rFonts w:ascii="Arial" w:cs="Arial" w:eastAsia="Arial" w:hAnsi="Arial"/>
                <w:sz w:val="16"/>
                <w:szCs w:val="16"/>
                <w:b w:val="1"/>
                <w:bCs w:val="1"/>
                <w:color w:val="FFFFFF"/>
              </w:rPr>
              <w:t>ESIP-RP earnings</w:t>
            </w:r>
          </w:p>
        </w:tc>
      </w:tr>
      <w:tr>
        <w:trPr>
          <w:trHeight w:val="243"/>
        </w:trPr>
        <w:tc>
          <w:tcPr>
            <w:tcW w:w="604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M.K. Wirth</w:t>
            </w:r>
          </w:p>
        </w:tc>
        <w:tc>
          <w:tcPr>
            <w:tcW w:w="7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D8D8D8"/>
          </w:tcPr>
          <w:p>
            <w:pPr>
              <w:jc w:val="right"/>
              <w:ind w:right="479"/>
              <w:spacing w:after="0"/>
              <w:rPr>
                <w:sz w:val="20"/>
                <w:szCs w:val="20"/>
                <w:color w:val="auto"/>
              </w:rPr>
            </w:pPr>
            <w:r>
              <w:rPr>
                <w:rFonts w:ascii="Arial" w:cs="Arial" w:eastAsia="Arial" w:hAnsi="Arial"/>
                <w:sz w:val="16"/>
                <w:szCs w:val="16"/>
                <w:color w:val="auto"/>
              </w:rPr>
              <w:t>2,766,038</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right w:val="single" w:sz="8" w:color="7F7F7F"/>
            </w:tcBorders>
            <w:shd w:val="clear" w:color="auto" w:fill="D8D8D8"/>
          </w:tcPr>
          <w:p>
            <w:pPr>
              <w:jc w:val="right"/>
              <w:ind w:right="659"/>
              <w:spacing w:after="0"/>
              <w:rPr>
                <w:sz w:val="20"/>
                <w:szCs w:val="20"/>
                <w:color w:val="auto"/>
              </w:rPr>
            </w:pPr>
            <w:r>
              <w:rPr>
                <w:rFonts w:ascii="Arial" w:cs="Arial" w:eastAsia="Arial" w:hAnsi="Arial"/>
                <w:sz w:val="16"/>
                <w:szCs w:val="16"/>
                <w:color w:val="auto"/>
              </w:rPr>
              <w:t>536,527</w:t>
            </w:r>
          </w:p>
        </w:tc>
      </w:tr>
      <w:tr>
        <w:trPr>
          <w:trHeight w:val="235"/>
        </w:trPr>
        <w:tc>
          <w:tcPr>
            <w:tcW w:w="604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P.R. Breber</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79"/>
              <w:spacing w:after="0"/>
              <w:rPr>
                <w:sz w:val="20"/>
                <w:szCs w:val="20"/>
                <w:color w:val="auto"/>
              </w:rPr>
            </w:pPr>
            <w:r>
              <w:rPr>
                <w:rFonts w:ascii="Arial" w:cs="Arial" w:eastAsia="Arial" w:hAnsi="Arial"/>
                <w:sz w:val="16"/>
                <w:szCs w:val="16"/>
                <w:color w:val="auto"/>
              </w:rPr>
              <w:t>2,084,529</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right w:val="single" w:sz="8" w:color="7F7F7F"/>
            </w:tcBorders>
          </w:tcPr>
          <w:p>
            <w:pPr>
              <w:jc w:val="right"/>
              <w:ind w:right="659"/>
              <w:spacing w:after="0"/>
              <w:rPr>
                <w:sz w:val="20"/>
                <w:szCs w:val="20"/>
                <w:color w:val="auto"/>
              </w:rPr>
            </w:pPr>
            <w:r>
              <w:rPr>
                <w:rFonts w:ascii="Arial" w:cs="Arial" w:eastAsia="Arial" w:hAnsi="Arial"/>
                <w:sz w:val="16"/>
                <w:szCs w:val="16"/>
                <w:color w:val="auto"/>
              </w:rPr>
              <w:t>209,550</w:t>
            </w:r>
          </w:p>
        </w:tc>
      </w:tr>
      <w:tr>
        <w:trPr>
          <w:trHeight w:val="251"/>
        </w:trPr>
        <w:tc>
          <w:tcPr>
            <w:tcW w:w="604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J.W. Johnson</w:t>
            </w:r>
          </w:p>
        </w:tc>
        <w:tc>
          <w:tcPr>
            <w:tcW w:w="7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D8D8D8"/>
          </w:tcPr>
          <w:p>
            <w:pPr>
              <w:jc w:val="right"/>
              <w:ind w:right="479"/>
              <w:spacing w:after="0"/>
              <w:rPr>
                <w:sz w:val="20"/>
                <w:szCs w:val="20"/>
                <w:color w:val="auto"/>
              </w:rPr>
            </w:pPr>
            <w:r>
              <w:rPr>
                <w:rFonts w:ascii="Arial" w:cs="Arial" w:eastAsia="Arial" w:hAnsi="Arial"/>
                <w:sz w:val="16"/>
                <w:szCs w:val="16"/>
                <w:color w:val="auto"/>
              </w:rPr>
              <w:t>524,429</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right w:val="single" w:sz="8" w:color="7F7F7F"/>
            </w:tcBorders>
            <w:shd w:val="clear" w:color="auto" w:fill="D8D8D8"/>
          </w:tcPr>
          <w:p>
            <w:pPr>
              <w:jc w:val="right"/>
              <w:ind w:right="659"/>
              <w:spacing w:after="0"/>
              <w:rPr>
                <w:sz w:val="20"/>
                <w:szCs w:val="20"/>
                <w:color w:val="auto"/>
              </w:rPr>
            </w:pPr>
            <w:r>
              <w:rPr>
                <w:rFonts w:ascii="Arial" w:cs="Arial" w:eastAsia="Arial" w:hAnsi="Arial"/>
                <w:sz w:val="16"/>
                <w:szCs w:val="16"/>
                <w:color w:val="auto"/>
              </w:rPr>
              <w:t>301,248</w:t>
            </w:r>
          </w:p>
        </w:tc>
      </w:tr>
      <w:tr>
        <w:trPr>
          <w:trHeight w:val="235"/>
        </w:trPr>
        <w:tc>
          <w:tcPr>
            <w:tcW w:w="604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J.C. Geagea</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79"/>
              <w:spacing w:after="0"/>
              <w:rPr>
                <w:sz w:val="20"/>
                <w:szCs w:val="20"/>
                <w:color w:val="auto"/>
              </w:rPr>
            </w:pPr>
            <w:r>
              <w:rPr>
                <w:rFonts w:ascii="Arial" w:cs="Arial" w:eastAsia="Arial" w:hAnsi="Arial"/>
                <w:sz w:val="16"/>
                <w:szCs w:val="16"/>
                <w:color w:val="auto"/>
              </w:rPr>
              <w:t>30,277</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right w:val="single" w:sz="8" w:color="7F7F7F"/>
            </w:tcBorders>
          </w:tcPr>
          <w:p>
            <w:pPr>
              <w:jc w:val="right"/>
              <w:ind w:right="659"/>
              <w:spacing w:after="0"/>
              <w:rPr>
                <w:sz w:val="20"/>
                <w:szCs w:val="20"/>
                <w:color w:val="auto"/>
              </w:rPr>
            </w:pPr>
            <w:r>
              <w:rPr>
                <w:rFonts w:ascii="Arial" w:cs="Arial" w:eastAsia="Arial" w:hAnsi="Arial"/>
                <w:sz w:val="16"/>
                <w:szCs w:val="16"/>
                <w:color w:val="auto"/>
              </w:rPr>
              <w:t>244,198</w:t>
            </w:r>
          </w:p>
        </w:tc>
      </w:tr>
      <w:tr>
        <w:trPr>
          <w:trHeight w:val="244"/>
        </w:trPr>
        <w:tc>
          <w:tcPr>
            <w:tcW w:w="6040" w:type="dxa"/>
            <w:vAlign w:val="bottom"/>
            <w:tcBorders>
              <w:left w:val="single" w:sz="8" w:color="7F7F7F"/>
              <w:bottom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M.A. Nelson</w:t>
            </w:r>
          </w:p>
        </w:tc>
        <w:tc>
          <w:tcPr>
            <w:tcW w:w="74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7F7F7F"/>
            </w:tcBorders>
            <w:shd w:val="clear" w:color="auto" w:fill="D8D8D8"/>
          </w:tcPr>
          <w:p>
            <w:pPr>
              <w:jc w:val="right"/>
              <w:ind w:right="479"/>
              <w:spacing w:after="0"/>
              <w:rPr>
                <w:sz w:val="20"/>
                <w:szCs w:val="20"/>
                <w:color w:val="auto"/>
              </w:rPr>
            </w:pPr>
            <w:r>
              <w:rPr>
                <w:rFonts w:ascii="Arial" w:cs="Arial" w:eastAsia="Arial" w:hAnsi="Arial"/>
                <w:sz w:val="16"/>
                <w:szCs w:val="16"/>
                <w:color w:val="auto"/>
              </w:rPr>
              <w:t>783,094</w:t>
            </w:r>
          </w:p>
        </w:tc>
        <w:tc>
          <w:tcPr>
            <w:tcW w:w="1040" w:type="dxa"/>
            <w:vAlign w:val="bottom"/>
            <w:tcBorders>
              <w:bottom w:val="single" w:sz="8" w:color="7F7F7F"/>
            </w:tcBorders>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7F7F7F"/>
              <w:right w:val="single" w:sz="8" w:color="7F7F7F"/>
            </w:tcBorders>
            <w:shd w:val="clear" w:color="auto" w:fill="D8D8D8"/>
          </w:tcPr>
          <w:p>
            <w:pPr>
              <w:jc w:val="right"/>
              <w:ind w:right="659"/>
              <w:spacing w:after="0"/>
              <w:rPr>
                <w:sz w:val="20"/>
                <w:szCs w:val="20"/>
                <w:color w:val="auto"/>
              </w:rPr>
            </w:pPr>
            <w:r>
              <w:rPr>
                <w:rFonts w:ascii="Arial" w:cs="Arial" w:eastAsia="Arial" w:hAnsi="Arial"/>
                <w:sz w:val="16"/>
                <w:szCs w:val="16"/>
                <w:color w:val="auto"/>
              </w:rPr>
              <w:t>192,494</w:t>
            </w:r>
          </w:p>
        </w:tc>
      </w:tr>
    </w:tbl>
    <w:p>
      <w:pPr>
        <w:spacing w:after="0" w:line="72" w:lineRule="exact"/>
        <w:rPr>
          <w:sz w:val="20"/>
          <w:szCs w:val="20"/>
          <w:color w:val="auto"/>
        </w:rPr>
      </w:pPr>
    </w:p>
    <w:p>
      <w:pPr>
        <w:ind w:left="540" w:hanging="424"/>
        <w:spacing w:after="0"/>
        <w:tabs>
          <w:tab w:leader="none" w:pos="5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In-service withdrawals are not permitted from the DCP or the ESIP-RP.</w:t>
      </w:r>
    </w:p>
    <w:p>
      <w:pPr>
        <w:spacing w:after="0" w:line="82" w:lineRule="exact"/>
        <w:rPr>
          <w:rFonts w:ascii="Arial" w:cs="Arial" w:eastAsia="Arial" w:hAnsi="Arial"/>
          <w:sz w:val="14"/>
          <w:szCs w:val="14"/>
          <w:color w:val="auto"/>
        </w:rPr>
      </w:pPr>
    </w:p>
    <w:p>
      <w:pPr>
        <w:ind w:left="540" w:hanging="424"/>
        <w:spacing w:after="0"/>
        <w:tabs>
          <w:tab w:leader="none" w:pos="5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Represents DCP and ESIP-RP balances as of December 31, 2021, as follows:</w:t>
      </w:r>
    </w:p>
    <w:p>
      <w:pPr>
        <w:spacing w:after="0" w:line="253" w:lineRule="exact"/>
        <w:rPr>
          <w:sz w:val="20"/>
          <w:szCs w:val="20"/>
          <w:color w:val="auto"/>
        </w:rPr>
      </w:pPr>
    </w:p>
    <w:tbl>
      <w:tblPr>
        <w:tblLayout w:type="fixed"/>
        <w:tblInd w:w="350" w:type="dxa"/>
        <w:tblCellMar>
          <w:top w:w="0" w:type="dxa"/>
          <w:left w:w="0" w:type="dxa"/>
          <w:bottom w:w="0" w:type="dxa"/>
          <w:right w:w="0" w:type="dxa"/>
        </w:tblCellMar>
      </w:tblPr>
      <w:tr>
        <w:trPr>
          <w:trHeight w:val="68"/>
        </w:trPr>
        <w:tc>
          <w:tcPr>
            <w:tcW w:w="6340" w:type="dxa"/>
            <w:vAlign w:val="bottom"/>
            <w:tcBorders>
              <w:left w:val="single" w:sz="8" w:color="7F7F7F"/>
            </w:tcBorders>
            <w:shd w:val="clear" w:color="auto" w:fill="0066B2"/>
          </w:tcPr>
          <w:p>
            <w:pPr>
              <w:spacing w:after="0"/>
              <w:rPr>
                <w:sz w:val="5"/>
                <w:szCs w:val="5"/>
                <w:color w:val="auto"/>
              </w:rPr>
            </w:pPr>
          </w:p>
        </w:tc>
        <w:tc>
          <w:tcPr>
            <w:tcW w:w="540" w:type="dxa"/>
            <w:vAlign w:val="bottom"/>
            <w:shd w:val="clear" w:color="auto" w:fill="0B2D71"/>
          </w:tcPr>
          <w:p>
            <w:pPr>
              <w:spacing w:after="0"/>
              <w:rPr>
                <w:sz w:val="5"/>
                <w:szCs w:val="5"/>
                <w:color w:val="auto"/>
              </w:rPr>
            </w:pPr>
          </w:p>
        </w:tc>
        <w:tc>
          <w:tcPr>
            <w:tcW w:w="1360" w:type="dxa"/>
            <w:vAlign w:val="bottom"/>
            <w:shd w:val="clear" w:color="auto" w:fill="0B2D71"/>
          </w:tcPr>
          <w:p>
            <w:pPr>
              <w:spacing w:after="0"/>
              <w:rPr>
                <w:sz w:val="5"/>
                <w:szCs w:val="5"/>
                <w:color w:val="auto"/>
              </w:rPr>
            </w:pPr>
          </w:p>
        </w:tc>
        <w:tc>
          <w:tcPr>
            <w:tcW w:w="860" w:type="dxa"/>
            <w:vAlign w:val="bottom"/>
            <w:shd w:val="clear" w:color="auto" w:fill="0B2D71"/>
          </w:tcPr>
          <w:p>
            <w:pPr>
              <w:spacing w:after="0"/>
              <w:rPr>
                <w:sz w:val="5"/>
                <w:szCs w:val="5"/>
                <w:color w:val="auto"/>
              </w:rPr>
            </w:pPr>
          </w:p>
        </w:tc>
        <w:tc>
          <w:tcPr>
            <w:tcW w:w="1500" w:type="dxa"/>
            <w:vAlign w:val="bottom"/>
            <w:tcBorders>
              <w:right w:val="single" w:sz="8" w:color="7F7F7F"/>
            </w:tcBorders>
            <w:shd w:val="clear" w:color="auto" w:fill="0B2D71"/>
          </w:tcPr>
          <w:p>
            <w:pPr>
              <w:spacing w:after="0"/>
              <w:rPr>
                <w:sz w:val="5"/>
                <w:szCs w:val="5"/>
                <w:color w:val="auto"/>
              </w:rPr>
            </w:pPr>
          </w:p>
        </w:tc>
      </w:tr>
      <w:tr>
        <w:trPr>
          <w:trHeight w:val="250"/>
        </w:trPr>
        <w:tc>
          <w:tcPr>
            <w:tcW w:w="6340" w:type="dxa"/>
            <w:vAlign w:val="bottom"/>
            <w:tcBorders>
              <w:left w:val="single" w:sz="8" w:color="7F7F7F"/>
              <w:bottom w:val="single" w:sz="8" w:color="0066B2"/>
            </w:tcBorders>
            <w:shd w:val="clear" w:color="auto" w:fill="0066B2"/>
          </w:tcPr>
          <w:p>
            <w:pPr>
              <w:ind w:left="160"/>
              <w:spacing w:after="0"/>
              <w:rPr>
                <w:sz w:val="20"/>
                <w:szCs w:val="20"/>
                <w:color w:val="auto"/>
              </w:rPr>
            </w:pPr>
            <w:r>
              <w:rPr>
                <w:rFonts w:ascii="Arial" w:cs="Arial" w:eastAsia="Arial" w:hAnsi="Arial"/>
                <w:sz w:val="16"/>
                <w:szCs w:val="16"/>
                <w:b w:val="1"/>
                <w:bCs w:val="1"/>
                <w:color w:val="FFFFFF"/>
              </w:rPr>
              <w:t>Name</w:t>
            </w:r>
          </w:p>
        </w:tc>
        <w:tc>
          <w:tcPr>
            <w:tcW w:w="1900" w:type="dxa"/>
            <w:vAlign w:val="bottom"/>
            <w:tcBorders>
              <w:bottom w:val="single" w:sz="8" w:color="0066B2"/>
            </w:tcBorders>
            <w:gridSpan w:val="2"/>
            <w:shd w:val="clear" w:color="auto" w:fill="0066B2"/>
          </w:tcPr>
          <w:p>
            <w:pPr>
              <w:jc w:val="right"/>
              <w:ind w:right="459"/>
              <w:spacing w:after="0"/>
              <w:rPr>
                <w:sz w:val="20"/>
                <w:szCs w:val="20"/>
                <w:color w:val="auto"/>
              </w:rPr>
            </w:pPr>
            <w:r>
              <w:rPr>
                <w:rFonts w:ascii="Arial" w:cs="Arial" w:eastAsia="Arial" w:hAnsi="Arial"/>
                <w:sz w:val="16"/>
                <w:szCs w:val="16"/>
                <w:b w:val="1"/>
                <w:bCs w:val="1"/>
                <w:color w:val="FFFFFF"/>
              </w:rPr>
              <w:t>DCP balance</w:t>
            </w:r>
          </w:p>
        </w:tc>
        <w:tc>
          <w:tcPr>
            <w:tcW w:w="2360" w:type="dxa"/>
            <w:vAlign w:val="bottom"/>
            <w:tcBorders>
              <w:bottom w:val="single" w:sz="8" w:color="0066B2"/>
              <w:right w:val="single" w:sz="8" w:color="7F7F7F"/>
            </w:tcBorders>
            <w:gridSpan w:val="2"/>
            <w:shd w:val="clear" w:color="auto" w:fill="0066B2"/>
          </w:tcPr>
          <w:p>
            <w:pPr>
              <w:jc w:val="right"/>
              <w:ind w:right="539"/>
              <w:spacing w:after="0"/>
              <w:rPr>
                <w:sz w:val="20"/>
                <w:szCs w:val="20"/>
                <w:color w:val="auto"/>
              </w:rPr>
            </w:pPr>
            <w:r>
              <w:rPr>
                <w:rFonts w:ascii="Arial" w:cs="Arial" w:eastAsia="Arial" w:hAnsi="Arial"/>
                <w:sz w:val="16"/>
                <w:szCs w:val="16"/>
                <w:b w:val="1"/>
                <w:bCs w:val="1"/>
                <w:color w:val="FFFFFF"/>
              </w:rPr>
              <w:t>ESIP-RP balance</w:t>
            </w:r>
          </w:p>
        </w:tc>
      </w:tr>
      <w:tr>
        <w:trPr>
          <w:trHeight w:val="243"/>
        </w:trPr>
        <w:tc>
          <w:tcPr>
            <w:tcW w:w="634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M.K. Wirth</w:t>
            </w:r>
          </w:p>
        </w:tc>
        <w:tc>
          <w:tcPr>
            <w:tcW w:w="54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D8D8D8"/>
          </w:tcPr>
          <w:p>
            <w:pPr>
              <w:jc w:val="right"/>
              <w:ind w:right="379"/>
              <w:spacing w:after="0"/>
              <w:rPr>
                <w:sz w:val="20"/>
                <w:szCs w:val="20"/>
                <w:color w:val="auto"/>
              </w:rPr>
            </w:pPr>
            <w:r>
              <w:rPr>
                <w:rFonts w:ascii="Arial" w:cs="Arial" w:eastAsia="Arial" w:hAnsi="Arial"/>
                <w:sz w:val="16"/>
                <w:szCs w:val="16"/>
                <w:color w:val="auto"/>
              </w:rPr>
              <w:t>22,260,102</w:t>
            </w:r>
          </w:p>
        </w:tc>
        <w:tc>
          <w:tcPr>
            <w:tcW w:w="86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7F7F7F"/>
            </w:tcBorders>
            <w:shd w:val="clear" w:color="auto" w:fill="D8D8D8"/>
          </w:tcPr>
          <w:p>
            <w:pPr>
              <w:jc w:val="right"/>
              <w:ind w:right="619"/>
              <w:spacing w:after="0"/>
              <w:rPr>
                <w:sz w:val="20"/>
                <w:szCs w:val="20"/>
                <w:color w:val="auto"/>
              </w:rPr>
            </w:pPr>
            <w:r>
              <w:rPr>
                <w:rFonts w:ascii="Arial" w:cs="Arial" w:eastAsia="Arial" w:hAnsi="Arial"/>
                <w:sz w:val="16"/>
                <w:szCs w:val="16"/>
                <w:color w:val="auto"/>
              </w:rPr>
              <w:t>1,781,581</w:t>
            </w:r>
          </w:p>
        </w:tc>
      </w:tr>
      <w:tr>
        <w:trPr>
          <w:trHeight w:val="235"/>
        </w:trPr>
        <w:tc>
          <w:tcPr>
            <w:tcW w:w="634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P.R. Breber</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79"/>
              <w:spacing w:after="0"/>
              <w:rPr>
                <w:sz w:val="20"/>
                <w:szCs w:val="20"/>
                <w:color w:val="auto"/>
              </w:rPr>
            </w:pPr>
            <w:r>
              <w:rPr>
                <w:rFonts w:ascii="Arial" w:cs="Arial" w:eastAsia="Arial" w:hAnsi="Arial"/>
                <w:sz w:val="16"/>
                <w:szCs w:val="16"/>
                <w:color w:val="auto"/>
              </w:rPr>
              <w:t>6,635,787</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7F7F7F"/>
            </w:tcBorders>
          </w:tcPr>
          <w:p>
            <w:pPr>
              <w:jc w:val="right"/>
              <w:ind w:right="619"/>
              <w:spacing w:after="0"/>
              <w:rPr>
                <w:sz w:val="20"/>
                <w:szCs w:val="20"/>
                <w:color w:val="auto"/>
              </w:rPr>
            </w:pPr>
            <w:r>
              <w:rPr>
                <w:rFonts w:ascii="Arial" w:cs="Arial" w:eastAsia="Arial" w:hAnsi="Arial"/>
                <w:sz w:val="16"/>
                <w:szCs w:val="16"/>
                <w:color w:val="auto"/>
              </w:rPr>
              <w:t>707,544</w:t>
            </w:r>
          </w:p>
        </w:tc>
      </w:tr>
      <w:tr>
        <w:trPr>
          <w:trHeight w:val="251"/>
        </w:trPr>
        <w:tc>
          <w:tcPr>
            <w:tcW w:w="634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J.W. Johnson</w:t>
            </w:r>
          </w:p>
        </w:tc>
        <w:tc>
          <w:tcPr>
            <w:tcW w:w="54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D8D8D8"/>
          </w:tcPr>
          <w:p>
            <w:pPr>
              <w:jc w:val="right"/>
              <w:ind w:right="379"/>
              <w:spacing w:after="0"/>
              <w:rPr>
                <w:sz w:val="20"/>
                <w:szCs w:val="20"/>
                <w:color w:val="auto"/>
              </w:rPr>
            </w:pPr>
            <w:r>
              <w:rPr>
                <w:rFonts w:ascii="Arial" w:cs="Arial" w:eastAsia="Arial" w:hAnsi="Arial"/>
                <w:sz w:val="16"/>
                <w:szCs w:val="16"/>
                <w:color w:val="auto"/>
              </w:rPr>
              <w:t>3,024,438</w:t>
            </w:r>
          </w:p>
        </w:tc>
        <w:tc>
          <w:tcPr>
            <w:tcW w:w="86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7F7F7F"/>
            </w:tcBorders>
            <w:shd w:val="clear" w:color="auto" w:fill="D8D8D8"/>
          </w:tcPr>
          <w:p>
            <w:pPr>
              <w:jc w:val="right"/>
              <w:ind w:right="619"/>
              <w:spacing w:after="0"/>
              <w:rPr>
                <w:sz w:val="20"/>
                <w:szCs w:val="20"/>
                <w:color w:val="auto"/>
              </w:rPr>
            </w:pPr>
            <w:r>
              <w:rPr>
                <w:rFonts w:ascii="Arial" w:cs="Arial" w:eastAsia="Arial" w:hAnsi="Arial"/>
                <w:sz w:val="16"/>
                <w:szCs w:val="16"/>
                <w:color w:val="auto"/>
              </w:rPr>
              <w:t>1,009,372</w:t>
            </w:r>
          </w:p>
        </w:tc>
      </w:tr>
      <w:tr>
        <w:trPr>
          <w:trHeight w:val="235"/>
        </w:trPr>
        <w:tc>
          <w:tcPr>
            <w:tcW w:w="634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J.C. Geagea</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79"/>
              <w:spacing w:after="0"/>
              <w:rPr>
                <w:sz w:val="20"/>
                <w:szCs w:val="20"/>
                <w:color w:val="auto"/>
              </w:rPr>
            </w:pPr>
            <w:r>
              <w:rPr>
                <w:rFonts w:ascii="Arial" w:cs="Arial" w:eastAsia="Arial" w:hAnsi="Arial"/>
                <w:sz w:val="16"/>
                <w:szCs w:val="16"/>
                <w:color w:val="auto"/>
              </w:rPr>
              <w:t>253,897</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7F7F7F"/>
            </w:tcBorders>
          </w:tcPr>
          <w:p>
            <w:pPr>
              <w:jc w:val="right"/>
              <w:ind w:right="619"/>
              <w:spacing w:after="0"/>
              <w:rPr>
                <w:sz w:val="20"/>
                <w:szCs w:val="20"/>
                <w:color w:val="auto"/>
              </w:rPr>
            </w:pPr>
            <w:r>
              <w:rPr>
                <w:rFonts w:ascii="Arial" w:cs="Arial" w:eastAsia="Arial" w:hAnsi="Arial"/>
                <w:sz w:val="16"/>
                <w:szCs w:val="16"/>
                <w:color w:val="auto"/>
              </w:rPr>
              <w:t>817,638</w:t>
            </w:r>
          </w:p>
        </w:tc>
      </w:tr>
      <w:tr>
        <w:trPr>
          <w:trHeight w:val="244"/>
        </w:trPr>
        <w:tc>
          <w:tcPr>
            <w:tcW w:w="6340" w:type="dxa"/>
            <w:vAlign w:val="bottom"/>
            <w:tcBorders>
              <w:left w:val="single" w:sz="8" w:color="7F7F7F"/>
              <w:bottom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M.A. Nelson</w:t>
            </w:r>
          </w:p>
        </w:tc>
        <w:tc>
          <w:tcPr>
            <w:tcW w:w="540" w:type="dxa"/>
            <w:vAlign w:val="bottom"/>
            <w:tcBorders>
              <w:bottom w:val="single" w:sz="8" w:color="7F7F7F"/>
            </w:tcBorders>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7F7F7F"/>
            </w:tcBorders>
            <w:shd w:val="clear" w:color="auto" w:fill="D8D8D8"/>
          </w:tcPr>
          <w:p>
            <w:pPr>
              <w:jc w:val="right"/>
              <w:ind w:right="379"/>
              <w:spacing w:after="0"/>
              <w:rPr>
                <w:sz w:val="20"/>
                <w:szCs w:val="20"/>
                <w:color w:val="auto"/>
              </w:rPr>
            </w:pPr>
            <w:r>
              <w:rPr>
                <w:rFonts w:ascii="Arial" w:cs="Arial" w:eastAsia="Arial" w:hAnsi="Arial"/>
                <w:sz w:val="16"/>
                <w:szCs w:val="16"/>
                <w:color w:val="auto"/>
              </w:rPr>
              <w:t>6,345,176</w:t>
            </w:r>
          </w:p>
        </w:tc>
        <w:tc>
          <w:tcPr>
            <w:tcW w:w="860" w:type="dxa"/>
            <w:vAlign w:val="bottom"/>
            <w:tcBorders>
              <w:bottom w:val="single" w:sz="8" w:color="7F7F7F"/>
            </w:tcBorders>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7F7F7F"/>
              <w:right w:val="single" w:sz="8" w:color="7F7F7F"/>
            </w:tcBorders>
            <w:shd w:val="clear" w:color="auto" w:fill="D8D8D8"/>
          </w:tcPr>
          <w:p>
            <w:pPr>
              <w:jc w:val="right"/>
              <w:ind w:right="619"/>
              <w:spacing w:after="0"/>
              <w:rPr>
                <w:sz w:val="20"/>
                <w:szCs w:val="20"/>
                <w:color w:val="auto"/>
              </w:rPr>
            </w:pPr>
            <w:r>
              <w:rPr>
                <w:rFonts w:ascii="Arial" w:cs="Arial" w:eastAsia="Arial" w:hAnsi="Arial"/>
                <w:sz w:val="16"/>
                <w:szCs w:val="16"/>
                <w:color w:val="auto"/>
              </w:rPr>
              <w:t>649,564</w:t>
            </w:r>
          </w:p>
        </w:tc>
      </w:tr>
    </w:tbl>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Chevron Corporation – 2022 Proxy Statement</w:t>
      </w:r>
    </w:p>
    <w:p>
      <w:pPr>
        <w:sectPr>
          <w:pgSz w:w="11900" w:h="16838" w:orient="portrait"/>
          <w:cols w:equalWidth="0" w:num="1">
            <w:col w:w="11100"/>
          </w:cols>
          <w:pgMar w:left="320" w:top="455" w:right="479" w:bottom="1440" w:gutter="0" w:footer="0" w:header="0"/>
        </w:sectPr>
      </w:pPr>
    </w:p>
    <w:p>
      <w:pPr>
        <w:spacing w:after="0" w:line="67"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1100"/>
          </w:cols>
          <w:pgMar w:left="320" w:top="455" w:right="479" w:bottom="1440" w:gutter="0" w:footer="0" w:header="0"/>
          <w:type w:val="continuous"/>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405890" cy="1454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405890" cy="145415"/>
                    </a:xfrm>
                    <a:prstGeom prst="rect">
                      <a:avLst/>
                    </a:prstGeom>
                    <a:noFill/>
                  </pic:spPr>
                </pic:pic>
              </a:graphicData>
            </a:graphic>
          </wp:anchor>
        </w:drawing>
      </w:r>
    </w:p>
    <w:p>
      <w:pPr>
        <w:spacing w:after="0" w:line="33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Executive compensation</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amounts reported in the aggregate balance at last fiscal year-end were reported as compensation to the NEOs in the “Summary Compensation Table” in prior</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Proxy Statements as follows:</w:t>
      </w:r>
    </w:p>
    <w:p>
      <w:pPr>
        <w:spacing w:after="0" w:line="239" w:lineRule="exact"/>
        <w:rPr>
          <w:sz w:val="20"/>
          <w:szCs w:val="20"/>
          <w:color w:val="auto"/>
        </w:rPr>
      </w:pPr>
    </w:p>
    <w:tbl>
      <w:tblPr>
        <w:tblLayout w:type="fixed"/>
        <w:tblInd w:w="350" w:type="dxa"/>
        <w:tblCellMar>
          <w:top w:w="0" w:type="dxa"/>
          <w:left w:w="0" w:type="dxa"/>
          <w:bottom w:w="0" w:type="dxa"/>
          <w:right w:w="0" w:type="dxa"/>
        </w:tblCellMar>
      </w:tblPr>
      <w:tr>
        <w:trPr>
          <w:trHeight w:val="188"/>
        </w:trPr>
        <w:tc>
          <w:tcPr>
            <w:tcW w:w="2320" w:type="dxa"/>
            <w:vAlign w:val="bottom"/>
            <w:tcBorders>
              <w:left w:val="single" w:sz="8" w:color="7F7F7F"/>
            </w:tcBorders>
            <w:shd w:val="clear" w:color="auto" w:fill="0066B2"/>
          </w:tcPr>
          <w:p>
            <w:pPr>
              <w:spacing w:after="0"/>
              <w:rPr>
                <w:sz w:val="16"/>
                <w:szCs w:val="16"/>
                <w:color w:val="auto"/>
              </w:rPr>
            </w:pPr>
          </w:p>
        </w:tc>
        <w:tc>
          <w:tcPr>
            <w:tcW w:w="3140" w:type="dxa"/>
            <w:vAlign w:val="bottom"/>
            <w:gridSpan w:val="2"/>
            <w:shd w:val="clear" w:color="auto" w:fill="0066B2"/>
          </w:tcPr>
          <w:p>
            <w:pPr>
              <w:jc w:val="right"/>
              <w:ind w:right="19"/>
              <w:spacing w:after="0"/>
              <w:rPr>
                <w:sz w:val="20"/>
                <w:szCs w:val="20"/>
                <w:color w:val="auto"/>
              </w:rPr>
            </w:pPr>
            <w:r>
              <w:rPr>
                <w:rFonts w:ascii="Arial" w:cs="Arial" w:eastAsia="Arial" w:hAnsi="Arial"/>
                <w:sz w:val="16"/>
                <w:szCs w:val="16"/>
                <w:b w:val="1"/>
                <w:bCs w:val="1"/>
                <w:color w:val="FFFFFF"/>
              </w:rPr>
              <w:t>Salary deferral amounts</w:t>
            </w:r>
          </w:p>
        </w:tc>
        <w:tc>
          <w:tcPr>
            <w:tcW w:w="1700" w:type="dxa"/>
            <w:vAlign w:val="bottom"/>
            <w:gridSpan w:val="2"/>
            <w:shd w:val="clear" w:color="auto" w:fill="0066B2"/>
          </w:tcPr>
          <w:p>
            <w:pPr>
              <w:ind w:left="180"/>
              <w:spacing w:after="0"/>
              <w:rPr>
                <w:sz w:val="20"/>
                <w:szCs w:val="20"/>
                <w:color w:val="auto"/>
              </w:rPr>
            </w:pPr>
            <w:r>
              <w:rPr>
                <w:rFonts w:ascii="Arial" w:cs="Arial" w:eastAsia="Arial" w:hAnsi="Arial"/>
                <w:sz w:val="16"/>
                <w:szCs w:val="16"/>
                <w:b w:val="1"/>
                <w:bCs w:val="1"/>
                <w:color w:val="FFFFFF"/>
              </w:rPr>
              <w:t>ESIP-RP amounts</w:t>
            </w:r>
          </w:p>
        </w:tc>
        <w:tc>
          <w:tcPr>
            <w:tcW w:w="320" w:type="dxa"/>
            <w:vAlign w:val="bottom"/>
            <w:shd w:val="clear" w:color="auto" w:fill="0066B2"/>
          </w:tcPr>
          <w:p>
            <w:pPr>
              <w:spacing w:after="0"/>
              <w:rPr>
                <w:sz w:val="16"/>
                <w:szCs w:val="16"/>
                <w:color w:val="auto"/>
              </w:rPr>
            </w:pPr>
          </w:p>
        </w:tc>
        <w:tc>
          <w:tcPr>
            <w:tcW w:w="1380" w:type="dxa"/>
            <w:vAlign w:val="bottom"/>
            <w:shd w:val="clear" w:color="auto" w:fill="0066B2"/>
          </w:tcPr>
          <w:p>
            <w:pPr>
              <w:jc w:val="right"/>
              <w:ind w:right="259"/>
              <w:spacing w:after="0"/>
              <w:rPr>
                <w:sz w:val="20"/>
                <w:szCs w:val="20"/>
                <w:color w:val="auto"/>
              </w:rPr>
            </w:pPr>
            <w:r>
              <w:rPr>
                <w:rFonts w:ascii="Arial" w:cs="Arial" w:eastAsia="Arial" w:hAnsi="Arial"/>
                <w:sz w:val="16"/>
                <w:szCs w:val="16"/>
                <w:b w:val="1"/>
                <w:bCs w:val="1"/>
                <w:color w:val="FFFFFF"/>
              </w:rPr>
              <w:t>CIP amounts</w:t>
            </w:r>
          </w:p>
        </w:tc>
        <w:tc>
          <w:tcPr>
            <w:tcW w:w="300" w:type="dxa"/>
            <w:vAlign w:val="bottom"/>
            <w:shd w:val="clear" w:color="auto" w:fill="0066B2"/>
          </w:tcPr>
          <w:p>
            <w:pPr>
              <w:spacing w:after="0"/>
              <w:rPr>
                <w:sz w:val="16"/>
                <w:szCs w:val="16"/>
                <w:color w:val="auto"/>
              </w:rPr>
            </w:pPr>
          </w:p>
        </w:tc>
        <w:tc>
          <w:tcPr>
            <w:tcW w:w="1440" w:type="dxa"/>
            <w:vAlign w:val="bottom"/>
            <w:tcBorders>
              <w:right w:val="single" w:sz="8" w:color="7F7F7F"/>
            </w:tcBorders>
            <w:shd w:val="clear" w:color="auto" w:fill="0066B2"/>
          </w:tcPr>
          <w:p>
            <w:pPr>
              <w:jc w:val="right"/>
              <w:ind w:right="279"/>
              <w:spacing w:after="0"/>
              <w:rPr>
                <w:sz w:val="20"/>
                <w:szCs w:val="20"/>
                <w:color w:val="auto"/>
              </w:rPr>
            </w:pPr>
            <w:r>
              <w:rPr>
                <w:rFonts w:ascii="Arial" w:cs="Arial" w:eastAsia="Arial" w:hAnsi="Arial"/>
                <w:sz w:val="16"/>
                <w:szCs w:val="16"/>
                <w:b w:val="1"/>
                <w:bCs w:val="1"/>
                <w:color w:val="FFFFFF"/>
              </w:rPr>
              <w:t>LTIP amounts</w:t>
            </w:r>
          </w:p>
        </w:tc>
      </w:tr>
      <w:tr>
        <w:trPr>
          <w:trHeight w:val="217"/>
        </w:trPr>
        <w:tc>
          <w:tcPr>
            <w:tcW w:w="2320" w:type="dxa"/>
            <w:vAlign w:val="bottom"/>
            <w:tcBorders>
              <w:left w:val="single" w:sz="8" w:color="7F7F7F"/>
            </w:tcBorders>
            <w:shd w:val="clear" w:color="auto" w:fill="0066B2"/>
          </w:tcPr>
          <w:p>
            <w:pPr>
              <w:ind w:left="160"/>
              <w:spacing w:after="0"/>
              <w:rPr>
                <w:sz w:val="20"/>
                <w:szCs w:val="20"/>
                <w:color w:val="auto"/>
              </w:rPr>
            </w:pPr>
            <w:r>
              <w:rPr>
                <w:rFonts w:ascii="Arial" w:cs="Arial" w:eastAsia="Arial" w:hAnsi="Arial"/>
                <w:sz w:val="16"/>
                <w:szCs w:val="16"/>
                <w:b w:val="1"/>
                <w:bCs w:val="1"/>
                <w:color w:val="FFFFFF"/>
              </w:rPr>
              <w:t>Name</w:t>
            </w:r>
          </w:p>
        </w:tc>
        <w:tc>
          <w:tcPr>
            <w:tcW w:w="3140" w:type="dxa"/>
            <w:vAlign w:val="bottom"/>
            <w:gridSpan w:val="2"/>
            <w:shd w:val="clear" w:color="auto" w:fill="0066B2"/>
          </w:tcPr>
          <w:p>
            <w:pPr>
              <w:jc w:val="right"/>
              <w:ind w:right="179"/>
              <w:spacing w:after="0"/>
              <w:rPr>
                <w:sz w:val="20"/>
                <w:szCs w:val="20"/>
                <w:color w:val="auto"/>
              </w:rPr>
            </w:pPr>
            <w:r>
              <w:rPr>
                <w:rFonts w:ascii="Arial" w:cs="Arial" w:eastAsia="Arial" w:hAnsi="Arial"/>
                <w:sz w:val="16"/>
                <w:szCs w:val="16"/>
                <w:b w:val="1"/>
                <w:bCs w:val="1"/>
                <w:color w:val="FFFFFF"/>
              </w:rPr>
              <w:t>previously reported</w:t>
            </w:r>
          </w:p>
        </w:tc>
        <w:tc>
          <w:tcPr>
            <w:tcW w:w="1700" w:type="dxa"/>
            <w:vAlign w:val="bottom"/>
            <w:gridSpan w:val="2"/>
            <w:shd w:val="clear" w:color="auto" w:fill="0066B2"/>
          </w:tcPr>
          <w:p>
            <w:pPr>
              <w:ind w:left="100"/>
              <w:spacing w:after="0"/>
              <w:rPr>
                <w:sz w:val="20"/>
                <w:szCs w:val="20"/>
                <w:color w:val="auto"/>
              </w:rPr>
            </w:pPr>
            <w:r>
              <w:rPr>
                <w:rFonts w:ascii="Arial" w:cs="Arial" w:eastAsia="Arial" w:hAnsi="Arial"/>
                <w:sz w:val="16"/>
                <w:szCs w:val="16"/>
                <w:b w:val="1"/>
                <w:bCs w:val="1"/>
                <w:color w:val="FFFFFF"/>
              </w:rPr>
              <w:t>previously reported</w:t>
            </w:r>
          </w:p>
        </w:tc>
        <w:tc>
          <w:tcPr>
            <w:tcW w:w="1700" w:type="dxa"/>
            <w:vAlign w:val="bottom"/>
            <w:gridSpan w:val="2"/>
            <w:shd w:val="clear" w:color="auto" w:fill="0066B2"/>
          </w:tcPr>
          <w:p>
            <w:pPr>
              <w:jc w:val="right"/>
              <w:spacing w:after="0"/>
              <w:rPr>
                <w:sz w:val="20"/>
                <w:szCs w:val="20"/>
                <w:color w:val="auto"/>
              </w:rPr>
            </w:pPr>
            <w:r>
              <w:rPr>
                <w:rFonts w:ascii="Arial" w:cs="Arial" w:eastAsia="Arial" w:hAnsi="Arial"/>
                <w:sz w:val="16"/>
                <w:szCs w:val="16"/>
                <w:b w:val="1"/>
                <w:bCs w:val="1"/>
                <w:color w:val="FFFFFF"/>
              </w:rPr>
              <w:t>previously reported</w:t>
            </w:r>
          </w:p>
        </w:tc>
        <w:tc>
          <w:tcPr>
            <w:tcW w:w="1740" w:type="dxa"/>
            <w:vAlign w:val="bottom"/>
            <w:tcBorders>
              <w:right w:val="single" w:sz="8" w:color="7F7F7F"/>
            </w:tcBorders>
            <w:gridSpan w:val="2"/>
            <w:shd w:val="clear" w:color="auto" w:fill="0066B2"/>
          </w:tcPr>
          <w:p>
            <w:pPr>
              <w:jc w:val="right"/>
              <w:ind w:right="39"/>
              <w:spacing w:after="0"/>
              <w:rPr>
                <w:sz w:val="20"/>
                <w:szCs w:val="20"/>
                <w:color w:val="auto"/>
              </w:rPr>
            </w:pPr>
            <w:r>
              <w:rPr>
                <w:rFonts w:ascii="Arial" w:cs="Arial" w:eastAsia="Arial" w:hAnsi="Arial"/>
                <w:sz w:val="16"/>
                <w:szCs w:val="16"/>
                <w:b w:val="1"/>
                <w:bCs w:val="1"/>
                <w:color w:val="FFFFFF"/>
              </w:rPr>
              <w:t>previously reported</w:t>
            </w:r>
          </w:p>
        </w:tc>
      </w:tr>
      <w:tr>
        <w:trPr>
          <w:trHeight w:val="243"/>
        </w:trPr>
        <w:tc>
          <w:tcPr>
            <w:tcW w:w="232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M.K. Wirth</w:t>
            </w:r>
          </w:p>
        </w:tc>
        <w:tc>
          <w:tcPr>
            <w:tcW w:w="1880" w:type="dxa"/>
            <w:vAlign w:val="bottom"/>
            <w:shd w:val="clear" w:color="auto" w:fill="D8D8D8"/>
          </w:tcPr>
          <w:p>
            <w:pPr>
              <w:jc w:val="right"/>
              <w:ind w:right="4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D8D8D8"/>
          </w:tcPr>
          <w:p>
            <w:pPr>
              <w:jc w:val="right"/>
              <w:ind w:right="79"/>
              <w:spacing w:after="0"/>
              <w:rPr>
                <w:sz w:val="20"/>
                <w:szCs w:val="20"/>
                <w:color w:val="auto"/>
              </w:rPr>
            </w:pPr>
            <w:r>
              <w:rPr>
                <w:rFonts w:ascii="Arial" w:cs="Arial" w:eastAsia="Arial" w:hAnsi="Arial"/>
                <w:sz w:val="16"/>
                <w:szCs w:val="16"/>
                <w:color w:val="auto"/>
              </w:rPr>
              <w:t>202,148</w:t>
            </w:r>
          </w:p>
        </w:tc>
        <w:tc>
          <w:tcPr>
            <w:tcW w:w="600" w:type="dxa"/>
            <w:vAlign w:val="bottom"/>
            <w:shd w:val="clear" w:color="auto" w:fill="D8D8D8"/>
          </w:tcPr>
          <w:p>
            <w:pPr>
              <w:ind w:lef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D8D8D8"/>
          </w:tcPr>
          <w:p>
            <w:pPr>
              <w:jc w:val="right"/>
              <w:ind w:right="79"/>
              <w:spacing w:after="0"/>
              <w:rPr>
                <w:sz w:val="20"/>
                <w:szCs w:val="20"/>
                <w:color w:val="auto"/>
              </w:rPr>
            </w:pPr>
            <w:r>
              <w:rPr>
                <w:rFonts w:ascii="Arial" w:cs="Arial" w:eastAsia="Arial" w:hAnsi="Arial"/>
                <w:sz w:val="16"/>
                <w:szCs w:val="16"/>
                <w:color w:val="auto"/>
              </w:rPr>
              <w:t>808,595</w:t>
            </w:r>
          </w:p>
        </w:tc>
        <w:tc>
          <w:tcPr>
            <w:tcW w:w="3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D8D8D8"/>
          </w:tcPr>
          <w:p>
            <w:pPr>
              <w:jc w:val="right"/>
              <w:ind w:right="79"/>
              <w:spacing w:after="0"/>
              <w:rPr>
                <w:sz w:val="20"/>
                <w:szCs w:val="20"/>
                <w:color w:val="auto"/>
              </w:rPr>
            </w:pPr>
            <w:r>
              <w:rPr>
                <w:rFonts w:ascii="Arial" w:cs="Arial" w:eastAsia="Arial" w:hAnsi="Arial"/>
                <w:sz w:val="16"/>
                <w:szCs w:val="16"/>
                <w:color w:val="auto"/>
              </w:rPr>
              <w:t>3,457,080</w:t>
            </w:r>
          </w:p>
        </w:tc>
        <w:tc>
          <w:tcPr>
            <w:tcW w:w="3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right w:val="single" w:sz="8" w:color="7F7F7F"/>
            </w:tcBorders>
            <w:shd w:val="clear" w:color="auto" w:fill="D8D8D8"/>
          </w:tcPr>
          <w:p>
            <w:pPr>
              <w:jc w:val="right"/>
              <w:ind w:right="119"/>
              <w:spacing w:after="0"/>
              <w:rPr>
                <w:sz w:val="20"/>
                <w:szCs w:val="20"/>
                <w:color w:val="auto"/>
              </w:rPr>
            </w:pPr>
            <w:r>
              <w:rPr>
                <w:rFonts w:ascii="Arial" w:cs="Arial" w:eastAsia="Arial" w:hAnsi="Arial"/>
                <w:sz w:val="16"/>
                <w:szCs w:val="16"/>
                <w:color w:val="auto"/>
              </w:rPr>
              <w:t>6,147,430</w:t>
            </w:r>
          </w:p>
        </w:tc>
      </w:tr>
      <w:tr>
        <w:trPr>
          <w:trHeight w:val="235"/>
        </w:trPr>
        <w:tc>
          <w:tcPr>
            <w:tcW w:w="232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P.R. Breber</w:t>
            </w:r>
          </w:p>
        </w:tc>
        <w:tc>
          <w:tcPr>
            <w:tcW w:w="18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42,239</w:t>
            </w:r>
          </w:p>
        </w:tc>
        <w:tc>
          <w:tcPr>
            <w:tcW w:w="600" w:type="dxa"/>
            <w:vAlign w:val="bottom"/>
          </w:tcPr>
          <w:p>
            <w:pPr>
              <w:ind w:lef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168,956</w:t>
            </w:r>
          </w:p>
        </w:tc>
        <w:tc>
          <w:tcPr>
            <w:tcW w:w="320" w:type="dxa"/>
            <w:vAlign w:val="bottom"/>
          </w:tcPr>
          <w:p>
            <w:pPr>
              <w:spacing w:after="0"/>
              <w:rPr>
                <w:sz w:val="20"/>
                <w:szCs w:val="20"/>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440" w:type="dxa"/>
            <w:vAlign w:val="bottom"/>
            <w:tcBorders>
              <w:right w:val="single" w:sz="8" w:color="7F7F7F"/>
            </w:tcBorders>
          </w:tcPr>
          <w:p>
            <w:pPr>
              <w:jc w:val="right"/>
              <w:ind w:right="579"/>
              <w:spacing w:after="0"/>
              <w:rPr>
                <w:sz w:val="20"/>
                <w:szCs w:val="20"/>
                <w:color w:val="auto"/>
              </w:rPr>
            </w:pPr>
            <w:r>
              <w:rPr>
                <w:rFonts w:ascii="Arial" w:cs="Arial" w:eastAsia="Arial" w:hAnsi="Arial"/>
                <w:sz w:val="16"/>
                <w:szCs w:val="16"/>
                <w:color w:val="auto"/>
              </w:rPr>
              <w:t>–</w:t>
            </w:r>
          </w:p>
        </w:tc>
      </w:tr>
      <w:tr>
        <w:trPr>
          <w:trHeight w:val="251"/>
        </w:trPr>
        <w:tc>
          <w:tcPr>
            <w:tcW w:w="232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J.W. Johnson</w:t>
            </w:r>
          </w:p>
        </w:tc>
        <w:tc>
          <w:tcPr>
            <w:tcW w:w="1880" w:type="dxa"/>
            <w:vAlign w:val="bottom"/>
            <w:shd w:val="clear" w:color="auto" w:fill="D8D8D8"/>
          </w:tcPr>
          <w:p>
            <w:pPr>
              <w:jc w:val="right"/>
              <w:ind w:right="4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D8D8D8"/>
          </w:tcPr>
          <w:p>
            <w:pPr>
              <w:jc w:val="right"/>
              <w:ind w:right="79"/>
              <w:spacing w:after="0"/>
              <w:rPr>
                <w:sz w:val="20"/>
                <w:szCs w:val="20"/>
                <w:color w:val="auto"/>
              </w:rPr>
            </w:pPr>
            <w:r>
              <w:rPr>
                <w:rFonts w:ascii="Arial" w:cs="Arial" w:eastAsia="Arial" w:hAnsi="Arial"/>
                <w:sz w:val="16"/>
                <w:szCs w:val="16"/>
                <w:color w:val="auto"/>
              </w:rPr>
              <w:t>97,875</w:t>
            </w:r>
          </w:p>
        </w:tc>
        <w:tc>
          <w:tcPr>
            <w:tcW w:w="600" w:type="dxa"/>
            <w:vAlign w:val="bottom"/>
            <w:shd w:val="clear" w:color="auto" w:fill="D8D8D8"/>
          </w:tcPr>
          <w:p>
            <w:pPr>
              <w:ind w:lef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D8D8D8"/>
          </w:tcPr>
          <w:p>
            <w:pPr>
              <w:jc w:val="right"/>
              <w:ind w:right="79"/>
              <w:spacing w:after="0"/>
              <w:rPr>
                <w:sz w:val="20"/>
                <w:szCs w:val="20"/>
                <w:color w:val="auto"/>
              </w:rPr>
            </w:pPr>
            <w:r>
              <w:rPr>
                <w:rFonts w:ascii="Arial" w:cs="Arial" w:eastAsia="Arial" w:hAnsi="Arial"/>
                <w:sz w:val="16"/>
                <w:szCs w:val="16"/>
                <w:color w:val="auto"/>
              </w:rPr>
              <w:t>391,500</w:t>
            </w:r>
          </w:p>
        </w:tc>
        <w:tc>
          <w:tcPr>
            <w:tcW w:w="320" w:type="dxa"/>
            <w:vAlign w:val="bottom"/>
            <w:shd w:val="clear" w:color="auto" w:fill="D8D8D8"/>
          </w:tcPr>
          <w:p>
            <w:pPr>
              <w:spacing w:after="0"/>
              <w:rPr>
                <w:sz w:val="21"/>
                <w:szCs w:val="21"/>
                <w:color w:val="auto"/>
              </w:rPr>
            </w:pPr>
          </w:p>
        </w:tc>
        <w:tc>
          <w:tcPr>
            <w:tcW w:w="1380" w:type="dxa"/>
            <w:vAlign w:val="bottom"/>
            <w:shd w:val="clear" w:color="auto" w:fill="D8D8D8"/>
          </w:tcPr>
          <w:p>
            <w:pPr>
              <w:jc w:val="right"/>
              <w:ind w:right="539"/>
              <w:spacing w:after="0"/>
              <w:rPr>
                <w:sz w:val="20"/>
                <w:szCs w:val="20"/>
                <w:color w:val="auto"/>
              </w:rPr>
            </w:pPr>
            <w:r>
              <w:rPr>
                <w:rFonts w:ascii="Arial" w:cs="Arial" w:eastAsia="Arial" w:hAnsi="Arial"/>
                <w:sz w:val="16"/>
                <w:szCs w:val="16"/>
                <w:color w:val="auto"/>
              </w:rPr>
              <w:t>–</w:t>
            </w:r>
          </w:p>
        </w:tc>
        <w:tc>
          <w:tcPr>
            <w:tcW w:w="300" w:type="dxa"/>
            <w:vAlign w:val="bottom"/>
            <w:shd w:val="clear" w:color="auto" w:fill="D8D8D8"/>
          </w:tcPr>
          <w:p>
            <w:pPr>
              <w:spacing w:after="0"/>
              <w:rPr>
                <w:sz w:val="21"/>
                <w:szCs w:val="21"/>
                <w:color w:val="auto"/>
              </w:rPr>
            </w:pPr>
          </w:p>
        </w:tc>
        <w:tc>
          <w:tcPr>
            <w:tcW w:w="1440" w:type="dxa"/>
            <w:vAlign w:val="bottom"/>
            <w:tcBorders>
              <w:right w:val="single" w:sz="8" w:color="7F7F7F"/>
            </w:tcBorders>
            <w:shd w:val="clear" w:color="auto" w:fill="D8D8D8"/>
          </w:tcPr>
          <w:p>
            <w:pPr>
              <w:jc w:val="right"/>
              <w:ind w:right="579"/>
              <w:spacing w:after="0"/>
              <w:rPr>
                <w:sz w:val="20"/>
                <w:szCs w:val="20"/>
                <w:color w:val="auto"/>
              </w:rPr>
            </w:pPr>
            <w:r>
              <w:rPr>
                <w:rFonts w:ascii="Arial" w:cs="Arial" w:eastAsia="Arial" w:hAnsi="Arial"/>
                <w:sz w:val="16"/>
                <w:szCs w:val="16"/>
                <w:color w:val="auto"/>
              </w:rPr>
              <w:t>–</w:t>
            </w:r>
          </w:p>
        </w:tc>
      </w:tr>
      <w:tr>
        <w:trPr>
          <w:trHeight w:val="235"/>
        </w:trPr>
        <w:tc>
          <w:tcPr>
            <w:tcW w:w="232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J.C. Geagea</w:t>
            </w:r>
          </w:p>
        </w:tc>
        <w:tc>
          <w:tcPr>
            <w:tcW w:w="18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69,544</w:t>
            </w:r>
          </w:p>
        </w:tc>
        <w:tc>
          <w:tcPr>
            <w:tcW w:w="600" w:type="dxa"/>
            <w:vAlign w:val="bottom"/>
          </w:tcPr>
          <w:p>
            <w:pPr>
              <w:ind w:lef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278,175</w:t>
            </w:r>
          </w:p>
        </w:tc>
        <w:tc>
          <w:tcPr>
            <w:tcW w:w="320" w:type="dxa"/>
            <w:vAlign w:val="bottom"/>
          </w:tcPr>
          <w:p>
            <w:pPr>
              <w:spacing w:after="0"/>
              <w:rPr>
                <w:sz w:val="20"/>
                <w:szCs w:val="20"/>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440" w:type="dxa"/>
            <w:vAlign w:val="bottom"/>
            <w:tcBorders>
              <w:right w:val="single" w:sz="8" w:color="7F7F7F"/>
            </w:tcBorders>
          </w:tcPr>
          <w:p>
            <w:pPr>
              <w:jc w:val="right"/>
              <w:ind w:right="579"/>
              <w:spacing w:after="0"/>
              <w:rPr>
                <w:sz w:val="20"/>
                <w:szCs w:val="20"/>
                <w:color w:val="auto"/>
              </w:rPr>
            </w:pPr>
            <w:r>
              <w:rPr>
                <w:rFonts w:ascii="Arial" w:cs="Arial" w:eastAsia="Arial" w:hAnsi="Arial"/>
                <w:sz w:val="16"/>
                <w:szCs w:val="16"/>
                <w:color w:val="auto"/>
              </w:rPr>
              <w:t>–</w:t>
            </w:r>
          </w:p>
        </w:tc>
      </w:tr>
      <w:tr>
        <w:trPr>
          <w:trHeight w:val="244"/>
        </w:trPr>
        <w:tc>
          <w:tcPr>
            <w:tcW w:w="2320" w:type="dxa"/>
            <w:vAlign w:val="bottom"/>
            <w:tcBorders>
              <w:left w:val="single" w:sz="8" w:color="7F7F7F"/>
              <w:bottom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M.A. Nelson</w:t>
            </w:r>
          </w:p>
        </w:tc>
        <w:tc>
          <w:tcPr>
            <w:tcW w:w="1880" w:type="dxa"/>
            <w:vAlign w:val="bottom"/>
            <w:tcBorders>
              <w:bottom w:val="single" w:sz="8" w:color="7F7F7F"/>
            </w:tcBorders>
            <w:shd w:val="clear" w:color="auto" w:fill="D8D8D8"/>
          </w:tcPr>
          <w:p>
            <w:pPr>
              <w:jc w:val="right"/>
              <w:ind w:right="4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7F7F7F"/>
            </w:tcBorders>
            <w:shd w:val="clear" w:color="auto" w:fill="D8D8D8"/>
          </w:tcPr>
          <w:p>
            <w:pPr>
              <w:jc w:val="right"/>
              <w:ind w:right="79"/>
              <w:spacing w:after="0"/>
              <w:rPr>
                <w:sz w:val="20"/>
                <w:szCs w:val="20"/>
                <w:color w:val="auto"/>
              </w:rPr>
            </w:pPr>
            <w:r>
              <w:rPr>
                <w:rFonts w:ascii="Arial" w:cs="Arial" w:eastAsia="Arial" w:hAnsi="Arial"/>
                <w:sz w:val="16"/>
                <w:szCs w:val="16"/>
                <w:color w:val="auto"/>
              </w:rPr>
              <w:t>24,354</w:t>
            </w:r>
          </w:p>
        </w:tc>
        <w:tc>
          <w:tcPr>
            <w:tcW w:w="600" w:type="dxa"/>
            <w:vAlign w:val="bottom"/>
            <w:tcBorders>
              <w:bottom w:val="single" w:sz="8" w:color="7F7F7F"/>
            </w:tcBorders>
            <w:shd w:val="clear" w:color="auto" w:fill="D8D8D8"/>
          </w:tcPr>
          <w:p>
            <w:pPr>
              <w:ind w:left="1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7F7F7F"/>
            </w:tcBorders>
            <w:shd w:val="clear" w:color="auto" w:fill="D8D8D8"/>
          </w:tcPr>
          <w:p>
            <w:pPr>
              <w:jc w:val="right"/>
              <w:ind w:right="79"/>
              <w:spacing w:after="0"/>
              <w:rPr>
                <w:sz w:val="20"/>
                <w:szCs w:val="20"/>
                <w:color w:val="auto"/>
              </w:rPr>
            </w:pPr>
            <w:r>
              <w:rPr>
                <w:rFonts w:ascii="Arial" w:cs="Arial" w:eastAsia="Arial" w:hAnsi="Arial"/>
                <w:sz w:val="16"/>
                <w:szCs w:val="16"/>
                <w:color w:val="auto"/>
              </w:rPr>
              <w:t>97,416</w:t>
            </w:r>
          </w:p>
        </w:tc>
        <w:tc>
          <w:tcPr>
            <w:tcW w:w="32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7F7F7F"/>
            </w:tcBorders>
            <w:shd w:val="clear" w:color="auto" w:fill="D8D8D8"/>
          </w:tcPr>
          <w:p>
            <w:pPr>
              <w:jc w:val="right"/>
              <w:ind w:right="79"/>
              <w:spacing w:after="0"/>
              <w:rPr>
                <w:sz w:val="20"/>
                <w:szCs w:val="20"/>
                <w:color w:val="auto"/>
              </w:rPr>
            </w:pPr>
            <w:r>
              <w:rPr>
                <w:rFonts w:ascii="Arial" w:cs="Arial" w:eastAsia="Arial" w:hAnsi="Arial"/>
                <w:sz w:val="16"/>
                <w:szCs w:val="16"/>
                <w:color w:val="auto"/>
              </w:rPr>
              <w:t>479,700</w:t>
            </w:r>
          </w:p>
        </w:tc>
        <w:tc>
          <w:tcPr>
            <w:tcW w:w="30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7F7F7F"/>
              <w:right w:val="single" w:sz="8" w:color="7F7F7F"/>
            </w:tcBorders>
            <w:shd w:val="clear" w:color="auto" w:fill="D8D8D8"/>
          </w:tcPr>
          <w:p>
            <w:pPr>
              <w:jc w:val="right"/>
              <w:ind w:right="119"/>
              <w:spacing w:after="0"/>
              <w:rPr>
                <w:sz w:val="20"/>
                <w:szCs w:val="20"/>
                <w:color w:val="auto"/>
              </w:rPr>
            </w:pPr>
            <w:r>
              <w:rPr>
                <w:rFonts w:ascii="Arial" w:cs="Arial" w:eastAsia="Arial" w:hAnsi="Arial"/>
                <w:sz w:val="16"/>
                <w:szCs w:val="16"/>
                <w:color w:val="auto"/>
              </w:rPr>
              <w:t>174,005</w:t>
            </w:r>
          </w:p>
        </w:tc>
      </w:tr>
    </w:tbl>
    <w:p>
      <w:pPr>
        <w:spacing w:after="0" w:line="99" w:lineRule="exact"/>
        <w:rPr>
          <w:sz w:val="20"/>
          <w:szCs w:val="20"/>
          <w:color w:val="auto"/>
        </w:rPr>
      </w:pPr>
    </w:p>
    <w:p>
      <w:pPr>
        <w:jc w:val="both"/>
        <w:ind w:left="560" w:right="280"/>
        <w:spacing w:after="0" w:line="263" w:lineRule="auto"/>
        <w:rPr>
          <w:sz w:val="20"/>
          <w:szCs w:val="20"/>
          <w:color w:val="auto"/>
        </w:rPr>
      </w:pPr>
      <w:r>
        <w:rPr>
          <w:rFonts w:ascii="Arial" w:cs="Arial" w:eastAsia="Arial" w:hAnsi="Arial"/>
          <w:sz w:val="14"/>
          <w:szCs w:val="14"/>
          <w:color w:val="auto"/>
        </w:rPr>
        <w:t>Deferrals of the 2021 CIP awards and the LTIP performance shares for the 2019-2021 performance period are not reflected in the DCP balance at December 31, 2021, as they were not deferred until the underlying awards were settled in 2022. They were reported in footnotes to the “Summary Compensation Table” and the “Option Exercises and Stock Vested in Fiscal Year 2021” table in this Proxy Statement, as follows:</w:t>
      </w:r>
    </w:p>
    <w:p>
      <w:pPr>
        <w:spacing w:after="0" w:line="209" w:lineRule="exact"/>
        <w:rPr>
          <w:sz w:val="20"/>
          <w:szCs w:val="20"/>
          <w:color w:val="auto"/>
        </w:rPr>
      </w:pPr>
    </w:p>
    <w:tbl>
      <w:tblPr>
        <w:tblLayout w:type="fixed"/>
        <w:tblInd w:w="350" w:type="dxa"/>
        <w:tblCellMar>
          <w:top w:w="0" w:type="dxa"/>
          <w:left w:w="0" w:type="dxa"/>
          <w:bottom w:w="0" w:type="dxa"/>
          <w:right w:w="0" w:type="dxa"/>
        </w:tblCellMar>
      </w:tblPr>
      <w:tr>
        <w:trPr>
          <w:trHeight w:val="188"/>
        </w:trPr>
        <w:tc>
          <w:tcPr>
            <w:tcW w:w="2720" w:type="dxa"/>
            <w:vAlign w:val="bottom"/>
            <w:tcBorders>
              <w:left w:val="single" w:sz="8" w:color="7F7F7F"/>
            </w:tcBorders>
            <w:shd w:val="clear" w:color="auto" w:fill="0066B2"/>
          </w:tcPr>
          <w:p>
            <w:pPr>
              <w:spacing w:after="0"/>
              <w:rPr>
                <w:sz w:val="16"/>
                <w:szCs w:val="16"/>
                <w:color w:val="auto"/>
              </w:rPr>
            </w:pPr>
          </w:p>
        </w:tc>
        <w:tc>
          <w:tcPr>
            <w:tcW w:w="4620" w:type="dxa"/>
            <w:vAlign w:val="bottom"/>
            <w:shd w:val="clear" w:color="auto" w:fill="0066B2"/>
          </w:tcPr>
          <w:p>
            <w:pPr>
              <w:jc w:val="center"/>
              <w:ind w:left="1379"/>
              <w:spacing w:after="0"/>
              <w:rPr>
                <w:sz w:val="20"/>
                <w:szCs w:val="20"/>
                <w:color w:val="auto"/>
              </w:rPr>
            </w:pPr>
            <w:r>
              <w:rPr>
                <w:rFonts w:ascii="Arial" w:cs="Arial" w:eastAsia="Arial" w:hAnsi="Arial"/>
                <w:sz w:val="16"/>
                <w:szCs w:val="16"/>
                <w:b w:val="1"/>
                <w:bCs w:val="1"/>
                <w:color w:val="FFFFFF"/>
              </w:rPr>
              <w:t>CIP amounts previously reported and</w:t>
            </w:r>
          </w:p>
        </w:tc>
        <w:tc>
          <w:tcPr>
            <w:tcW w:w="3260" w:type="dxa"/>
            <w:vAlign w:val="bottom"/>
            <w:tcBorders>
              <w:right w:val="single" w:sz="8" w:color="7F7F7F"/>
            </w:tcBorders>
            <w:shd w:val="clear" w:color="auto" w:fill="0066B2"/>
          </w:tcPr>
          <w:p>
            <w:pPr>
              <w:jc w:val="center"/>
              <w:spacing w:after="0"/>
              <w:rPr>
                <w:sz w:val="20"/>
                <w:szCs w:val="20"/>
                <w:color w:val="auto"/>
              </w:rPr>
            </w:pPr>
            <w:r>
              <w:rPr>
                <w:rFonts w:ascii="Arial" w:cs="Arial" w:eastAsia="Arial" w:hAnsi="Arial"/>
                <w:sz w:val="16"/>
                <w:szCs w:val="16"/>
                <w:b w:val="1"/>
                <w:bCs w:val="1"/>
                <w:color w:val="FFFFFF"/>
              </w:rPr>
              <w:t>LTIP amounts previously reported and</w:t>
            </w:r>
          </w:p>
        </w:tc>
      </w:tr>
      <w:tr>
        <w:trPr>
          <w:trHeight w:val="217"/>
        </w:trPr>
        <w:tc>
          <w:tcPr>
            <w:tcW w:w="2720" w:type="dxa"/>
            <w:vAlign w:val="bottom"/>
            <w:tcBorders>
              <w:left w:val="single" w:sz="8" w:color="7F7F7F"/>
            </w:tcBorders>
            <w:shd w:val="clear" w:color="auto" w:fill="0066B2"/>
          </w:tcPr>
          <w:p>
            <w:pPr>
              <w:ind w:left="160"/>
              <w:spacing w:after="0"/>
              <w:rPr>
                <w:sz w:val="20"/>
                <w:szCs w:val="20"/>
                <w:color w:val="auto"/>
              </w:rPr>
            </w:pPr>
            <w:r>
              <w:rPr>
                <w:rFonts w:ascii="Arial" w:cs="Arial" w:eastAsia="Arial" w:hAnsi="Arial"/>
                <w:sz w:val="16"/>
                <w:szCs w:val="16"/>
                <w:b w:val="1"/>
                <w:bCs w:val="1"/>
                <w:color w:val="FFFFFF"/>
              </w:rPr>
              <w:t>Name</w:t>
            </w:r>
          </w:p>
        </w:tc>
        <w:tc>
          <w:tcPr>
            <w:tcW w:w="4620" w:type="dxa"/>
            <w:vAlign w:val="bottom"/>
            <w:shd w:val="clear" w:color="auto" w:fill="0066B2"/>
          </w:tcPr>
          <w:p>
            <w:pPr>
              <w:jc w:val="center"/>
              <w:ind w:left="1399"/>
              <w:spacing w:after="0"/>
              <w:rPr>
                <w:sz w:val="20"/>
                <w:szCs w:val="20"/>
                <w:color w:val="auto"/>
              </w:rPr>
            </w:pPr>
            <w:r>
              <w:rPr>
                <w:rFonts w:ascii="Arial" w:cs="Arial" w:eastAsia="Arial" w:hAnsi="Arial"/>
                <w:sz w:val="16"/>
                <w:szCs w:val="16"/>
                <w:b w:val="1"/>
                <w:bCs w:val="1"/>
                <w:color w:val="FFFFFF"/>
              </w:rPr>
              <w:t>credited to the DCP in 2022</w:t>
            </w:r>
          </w:p>
        </w:tc>
        <w:tc>
          <w:tcPr>
            <w:tcW w:w="3260" w:type="dxa"/>
            <w:vAlign w:val="bottom"/>
            <w:tcBorders>
              <w:right w:val="single" w:sz="8" w:color="7F7F7F"/>
            </w:tcBorders>
            <w:shd w:val="clear" w:color="auto" w:fill="0066B2"/>
          </w:tcPr>
          <w:p>
            <w:pPr>
              <w:jc w:val="center"/>
              <w:spacing w:after="0"/>
              <w:rPr>
                <w:sz w:val="20"/>
                <w:szCs w:val="20"/>
                <w:color w:val="auto"/>
              </w:rPr>
            </w:pPr>
            <w:r>
              <w:rPr>
                <w:rFonts w:ascii="Arial" w:cs="Arial" w:eastAsia="Arial" w:hAnsi="Arial"/>
                <w:sz w:val="16"/>
                <w:szCs w:val="16"/>
                <w:b w:val="1"/>
                <w:bCs w:val="1"/>
                <w:color w:val="FFFFFF"/>
              </w:rPr>
              <w:t>credited to the DCP in 2022</w:t>
            </w:r>
          </w:p>
        </w:tc>
      </w:tr>
      <w:tr>
        <w:trPr>
          <w:trHeight w:val="243"/>
        </w:trPr>
        <w:tc>
          <w:tcPr>
            <w:tcW w:w="272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M.K. Wirth</w:t>
            </w:r>
          </w:p>
        </w:tc>
        <w:tc>
          <w:tcPr>
            <w:tcW w:w="4620" w:type="dxa"/>
            <w:vAlign w:val="bottom"/>
            <w:shd w:val="clear" w:color="auto" w:fill="D8D8D8"/>
          </w:tcPr>
          <w:p>
            <w:pPr>
              <w:jc w:val="center"/>
              <w:ind w:left="1379"/>
              <w:spacing w:after="0"/>
              <w:rPr>
                <w:sz w:val="20"/>
                <w:szCs w:val="20"/>
                <w:color w:val="auto"/>
              </w:rPr>
            </w:pPr>
            <w:r>
              <w:rPr>
                <w:rFonts w:ascii="Arial" w:cs="Arial" w:eastAsia="Arial" w:hAnsi="Arial"/>
                <w:sz w:val="16"/>
                <w:szCs w:val="16"/>
                <w:color w:val="auto"/>
                <w:w w:val="89"/>
              </w:rPr>
              <w:t>–</w:t>
            </w:r>
          </w:p>
        </w:tc>
        <w:tc>
          <w:tcPr>
            <w:tcW w:w="3260" w:type="dxa"/>
            <w:vAlign w:val="bottom"/>
            <w:tcBorders>
              <w:right w:val="single" w:sz="8" w:color="7F7F7F"/>
            </w:tcBorders>
            <w:shd w:val="clear" w:color="auto" w:fill="D8D8D8"/>
          </w:tcPr>
          <w:p>
            <w:pPr>
              <w:jc w:val="center"/>
              <w:ind w:left="39"/>
              <w:spacing w:after="0"/>
              <w:rPr>
                <w:sz w:val="20"/>
                <w:szCs w:val="20"/>
                <w:color w:val="auto"/>
              </w:rPr>
            </w:pPr>
            <w:r>
              <w:rPr>
                <w:rFonts w:ascii="Arial" w:cs="Arial" w:eastAsia="Arial" w:hAnsi="Arial"/>
                <w:sz w:val="16"/>
                <w:szCs w:val="16"/>
                <w:color w:val="auto"/>
              </w:rPr>
              <w:t>–</w:t>
            </w:r>
          </w:p>
        </w:tc>
      </w:tr>
      <w:tr>
        <w:trPr>
          <w:trHeight w:val="235"/>
        </w:trPr>
        <w:tc>
          <w:tcPr>
            <w:tcW w:w="272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P.R. Breber</w:t>
            </w:r>
          </w:p>
        </w:tc>
        <w:tc>
          <w:tcPr>
            <w:tcW w:w="4620" w:type="dxa"/>
            <w:vAlign w:val="bottom"/>
          </w:tcPr>
          <w:p>
            <w:pPr>
              <w:jc w:val="center"/>
              <w:ind w:left="1379"/>
              <w:spacing w:after="0"/>
              <w:rPr>
                <w:sz w:val="20"/>
                <w:szCs w:val="20"/>
                <w:color w:val="auto"/>
              </w:rPr>
            </w:pPr>
            <w:r>
              <w:rPr>
                <w:rFonts w:ascii="Arial" w:cs="Arial" w:eastAsia="Arial" w:hAnsi="Arial"/>
                <w:sz w:val="16"/>
                <w:szCs w:val="16"/>
                <w:color w:val="auto"/>
                <w:w w:val="89"/>
              </w:rPr>
              <w:t>–</w:t>
            </w:r>
          </w:p>
        </w:tc>
        <w:tc>
          <w:tcPr>
            <w:tcW w:w="3260" w:type="dxa"/>
            <w:vAlign w:val="bottom"/>
            <w:tcBorders>
              <w:right w:val="single" w:sz="8" w:color="7F7F7F"/>
            </w:tcBorders>
          </w:tcPr>
          <w:p>
            <w:pPr>
              <w:jc w:val="center"/>
              <w:ind w:left="39"/>
              <w:spacing w:after="0"/>
              <w:rPr>
                <w:sz w:val="20"/>
                <w:szCs w:val="20"/>
                <w:color w:val="auto"/>
              </w:rPr>
            </w:pPr>
            <w:r>
              <w:rPr>
                <w:rFonts w:ascii="Arial" w:cs="Arial" w:eastAsia="Arial" w:hAnsi="Arial"/>
                <w:sz w:val="16"/>
                <w:szCs w:val="16"/>
                <w:color w:val="auto"/>
              </w:rPr>
              <w:t>–</w:t>
            </w:r>
          </w:p>
        </w:tc>
      </w:tr>
      <w:tr>
        <w:trPr>
          <w:trHeight w:val="251"/>
        </w:trPr>
        <w:tc>
          <w:tcPr>
            <w:tcW w:w="272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J.W. Johnson</w:t>
            </w:r>
          </w:p>
        </w:tc>
        <w:tc>
          <w:tcPr>
            <w:tcW w:w="4620" w:type="dxa"/>
            <w:vAlign w:val="bottom"/>
            <w:shd w:val="clear" w:color="auto" w:fill="D8D8D8"/>
          </w:tcPr>
          <w:p>
            <w:pPr>
              <w:jc w:val="center"/>
              <w:ind w:left="1379"/>
              <w:spacing w:after="0"/>
              <w:rPr>
                <w:sz w:val="20"/>
                <w:szCs w:val="20"/>
                <w:color w:val="auto"/>
              </w:rPr>
            </w:pPr>
            <w:r>
              <w:rPr>
                <w:rFonts w:ascii="Arial" w:cs="Arial" w:eastAsia="Arial" w:hAnsi="Arial"/>
                <w:sz w:val="16"/>
                <w:szCs w:val="16"/>
                <w:color w:val="auto"/>
                <w:w w:val="89"/>
              </w:rPr>
              <w:t>–</w:t>
            </w:r>
          </w:p>
        </w:tc>
        <w:tc>
          <w:tcPr>
            <w:tcW w:w="3260" w:type="dxa"/>
            <w:vAlign w:val="bottom"/>
            <w:tcBorders>
              <w:right w:val="single" w:sz="8" w:color="7F7F7F"/>
            </w:tcBorders>
            <w:shd w:val="clear" w:color="auto" w:fill="D8D8D8"/>
          </w:tcPr>
          <w:p>
            <w:pPr>
              <w:jc w:val="center"/>
              <w:ind w:left="39"/>
              <w:spacing w:after="0"/>
              <w:rPr>
                <w:sz w:val="20"/>
                <w:szCs w:val="20"/>
                <w:color w:val="auto"/>
              </w:rPr>
            </w:pPr>
            <w:r>
              <w:rPr>
                <w:rFonts w:ascii="Arial" w:cs="Arial" w:eastAsia="Arial" w:hAnsi="Arial"/>
                <w:sz w:val="16"/>
                <w:szCs w:val="16"/>
                <w:color w:val="auto"/>
              </w:rPr>
              <w:t>–</w:t>
            </w:r>
          </w:p>
        </w:tc>
      </w:tr>
      <w:tr>
        <w:trPr>
          <w:trHeight w:val="235"/>
        </w:trPr>
        <w:tc>
          <w:tcPr>
            <w:tcW w:w="272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J. C. Geagea</w:t>
            </w:r>
          </w:p>
        </w:tc>
        <w:tc>
          <w:tcPr>
            <w:tcW w:w="4620" w:type="dxa"/>
            <w:vAlign w:val="bottom"/>
          </w:tcPr>
          <w:p>
            <w:pPr>
              <w:jc w:val="center"/>
              <w:ind w:left="1379"/>
              <w:spacing w:after="0"/>
              <w:rPr>
                <w:sz w:val="20"/>
                <w:szCs w:val="20"/>
                <w:color w:val="auto"/>
              </w:rPr>
            </w:pPr>
            <w:r>
              <w:rPr>
                <w:rFonts w:ascii="Arial" w:cs="Arial" w:eastAsia="Arial" w:hAnsi="Arial"/>
                <w:sz w:val="16"/>
                <w:szCs w:val="16"/>
                <w:color w:val="auto"/>
                <w:w w:val="89"/>
              </w:rPr>
              <w:t>–</w:t>
            </w:r>
          </w:p>
        </w:tc>
        <w:tc>
          <w:tcPr>
            <w:tcW w:w="3260" w:type="dxa"/>
            <w:vAlign w:val="bottom"/>
            <w:tcBorders>
              <w:right w:val="single" w:sz="8" w:color="7F7F7F"/>
            </w:tcBorders>
          </w:tcPr>
          <w:p>
            <w:pPr>
              <w:jc w:val="center"/>
              <w:ind w:left="39"/>
              <w:spacing w:after="0"/>
              <w:rPr>
                <w:sz w:val="20"/>
                <w:szCs w:val="20"/>
                <w:color w:val="auto"/>
              </w:rPr>
            </w:pPr>
            <w:r>
              <w:rPr>
                <w:rFonts w:ascii="Arial" w:cs="Arial" w:eastAsia="Arial" w:hAnsi="Arial"/>
                <w:sz w:val="16"/>
                <w:szCs w:val="16"/>
                <w:color w:val="auto"/>
              </w:rPr>
              <w:t>–</w:t>
            </w:r>
          </w:p>
        </w:tc>
      </w:tr>
      <w:tr>
        <w:trPr>
          <w:trHeight w:val="244"/>
        </w:trPr>
        <w:tc>
          <w:tcPr>
            <w:tcW w:w="2720" w:type="dxa"/>
            <w:vAlign w:val="bottom"/>
            <w:tcBorders>
              <w:left w:val="single" w:sz="8" w:color="7F7F7F"/>
              <w:bottom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M.A. Nelson</w:t>
            </w:r>
          </w:p>
        </w:tc>
        <w:tc>
          <w:tcPr>
            <w:tcW w:w="4620" w:type="dxa"/>
            <w:vAlign w:val="bottom"/>
            <w:tcBorders>
              <w:bottom w:val="single" w:sz="8" w:color="7F7F7F"/>
            </w:tcBorders>
            <w:shd w:val="clear" w:color="auto" w:fill="D8D8D8"/>
          </w:tcPr>
          <w:p>
            <w:pPr>
              <w:jc w:val="center"/>
              <w:ind w:left="1399"/>
              <w:spacing w:after="0"/>
              <w:rPr>
                <w:sz w:val="20"/>
                <w:szCs w:val="20"/>
                <w:color w:val="auto"/>
              </w:rPr>
            </w:pPr>
            <w:r>
              <w:rPr>
                <w:rFonts w:ascii="Arial" w:cs="Arial" w:eastAsia="Arial" w:hAnsi="Arial"/>
                <w:sz w:val="16"/>
                <w:szCs w:val="16"/>
                <w:color w:val="auto"/>
              </w:rPr>
              <w:t>$  450,000</w:t>
            </w:r>
          </w:p>
        </w:tc>
        <w:tc>
          <w:tcPr>
            <w:tcW w:w="3260" w:type="dxa"/>
            <w:vAlign w:val="bottom"/>
            <w:tcBorders>
              <w:bottom w:val="single" w:sz="8" w:color="7F7F7F"/>
              <w:right w:val="single" w:sz="8" w:color="7F7F7F"/>
            </w:tcBorders>
            <w:shd w:val="clear" w:color="auto" w:fill="D8D8D8"/>
          </w:tcPr>
          <w:p>
            <w:pPr>
              <w:jc w:val="center"/>
              <w:ind w:left="39"/>
              <w:spacing w:after="0"/>
              <w:rPr>
                <w:sz w:val="20"/>
                <w:szCs w:val="20"/>
                <w:color w:val="auto"/>
              </w:rPr>
            </w:pPr>
            <w:r>
              <w:rPr>
                <w:rFonts w:ascii="Arial" w:cs="Arial" w:eastAsia="Arial" w:hAnsi="Arial"/>
                <w:sz w:val="16"/>
                <w:szCs w:val="16"/>
                <w:color w:val="auto"/>
              </w:rPr>
              <w:t>$  946,832</w:t>
            </w:r>
          </w:p>
        </w:tc>
      </w:tr>
    </w:tbl>
    <w:p>
      <w:pPr>
        <w:spacing w:after="0" w:line="192"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0B2D71"/>
        </w:rPr>
        <w:t>Potential payments upon termination or change-in-control</w:t>
      </w:r>
    </w:p>
    <w:p>
      <w:pPr>
        <w:spacing w:after="0" w:line="236"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Our NEOs do not have employment contracts or other agreements or arrangements that provide for enhanced severance, special guaranteed payments, or other benefits upon retirement, termination, or change-in-control. In addition, in the event of a change-in-control, our NEOs are not eligible for accelerated vesting of outstanding equity awards under the LTIP. However, upon termination for reasons other than misconduct (as defined in the LTIP), our NEOs are entitled to accrued and vested interests (and in some cases deemed vesting of unvested interests) in their outstanding equity awards, retirement plan benefits, and certain limited perquisites. Under the LTIP, full or partial vesting of unvested equity grants is a function of the sum of an NEO’s age plus their time in service and the reason for termination. Our policy reflects our belief that our equity and benefit programs should be designed to encourage retention and support long-term employment. Many of our business decisions have long-term horizons, and to ensure that our executives have a vested interest in our future profitability, such programs enable executives with long service to continue to share in our success. The increasing benefits of longer service on equity grants is illustrated by the following table.</w:t>
      </w:r>
    </w:p>
    <w:p>
      <w:pPr>
        <w:spacing w:after="0" w:line="105" w:lineRule="exact"/>
        <w:rPr>
          <w:sz w:val="20"/>
          <w:szCs w:val="20"/>
          <w:color w:val="auto"/>
        </w:rPr>
      </w:pPr>
    </w:p>
    <w:tbl>
      <w:tblPr>
        <w:tblLayout w:type="fixed"/>
        <w:tblInd w:w="130" w:type="dxa"/>
        <w:tblCellMar>
          <w:top w:w="0" w:type="dxa"/>
          <w:left w:w="0" w:type="dxa"/>
          <w:bottom w:w="0" w:type="dxa"/>
          <w:right w:w="0" w:type="dxa"/>
        </w:tblCellMar>
      </w:tblPr>
      <w:tr>
        <w:trPr>
          <w:trHeight w:val="161"/>
        </w:trPr>
        <w:tc>
          <w:tcPr>
            <w:tcW w:w="1940" w:type="dxa"/>
            <w:vAlign w:val="bottom"/>
            <w:tcBorders>
              <w:left w:val="single" w:sz="8" w:color="7F7F7F"/>
            </w:tcBorders>
            <w:shd w:val="clear" w:color="auto" w:fill="0066B2"/>
          </w:tcPr>
          <w:p>
            <w:pPr>
              <w:spacing w:after="0"/>
              <w:rPr>
                <w:sz w:val="14"/>
                <w:szCs w:val="14"/>
                <w:color w:val="auto"/>
              </w:rPr>
            </w:pPr>
          </w:p>
        </w:tc>
        <w:tc>
          <w:tcPr>
            <w:tcW w:w="1960" w:type="dxa"/>
            <w:vAlign w:val="bottom"/>
            <w:shd w:val="clear" w:color="auto" w:fill="0066B2"/>
          </w:tcPr>
          <w:p>
            <w:pPr>
              <w:spacing w:after="0"/>
              <w:rPr>
                <w:sz w:val="14"/>
                <w:szCs w:val="14"/>
                <w:color w:val="auto"/>
              </w:rPr>
            </w:pPr>
          </w:p>
        </w:tc>
        <w:tc>
          <w:tcPr>
            <w:tcW w:w="1740" w:type="dxa"/>
            <w:vAlign w:val="bottom"/>
            <w:shd w:val="clear" w:color="auto" w:fill="0066B2"/>
          </w:tcPr>
          <w:p>
            <w:pPr>
              <w:spacing w:after="0"/>
              <w:rPr>
                <w:sz w:val="14"/>
                <w:szCs w:val="14"/>
                <w:color w:val="auto"/>
              </w:rPr>
            </w:pPr>
          </w:p>
        </w:tc>
        <w:tc>
          <w:tcPr>
            <w:tcW w:w="60" w:type="dxa"/>
            <w:vAlign w:val="bottom"/>
            <w:shd w:val="clear" w:color="auto" w:fill="0066B2"/>
          </w:tcPr>
          <w:p>
            <w:pPr>
              <w:spacing w:after="0"/>
              <w:rPr>
                <w:sz w:val="14"/>
                <w:szCs w:val="14"/>
                <w:color w:val="auto"/>
              </w:rPr>
            </w:pPr>
          </w:p>
        </w:tc>
        <w:tc>
          <w:tcPr>
            <w:tcW w:w="5260" w:type="dxa"/>
            <w:vAlign w:val="bottom"/>
            <w:tcBorders>
              <w:right w:val="single" w:sz="8" w:color="7F7F7F"/>
            </w:tcBorders>
            <w:gridSpan w:val="3"/>
            <w:shd w:val="clear" w:color="auto" w:fill="0066B2"/>
          </w:tcPr>
          <w:p>
            <w:pPr>
              <w:jc w:val="center"/>
              <w:spacing w:after="0"/>
              <w:rPr>
                <w:sz w:val="20"/>
                <w:szCs w:val="20"/>
                <w:color w:val="auto"/>
              </w:rPr>
            </w:pPr>
            <w:r>
              <w:rPr>
                <w:rFonts w:ascii="Arial" w:cs="Arial" w:eastAsia="Arial" w:hAnsi="Arial"/>
                <w:sz w:val="14"/>
                <w:szCs w:val="14"/>
                <w:b w:val="1"/>
                <w:bCs w:val="1"/>
                <w:color w:val="FFFFFF"/>
              </w:rPr>
              <w:t>Termination for reasons other than misconduct and</w:t>
            </w:r>
          </w:p>
        </w:tc>
        <w:tc>
          <w:tcPr>
            <w:tcW w:w="0" w:type="dxa"/>
            <w:vAlign w:val="bottom"/>
          </w:tcPr>
          <w:p>
            <w:pPr>
              <w:spacing w:after="0"/>
              <w:rPr>
                <w:sz w:val="1"/>
                <w:szCs w:val="1"/>
                <w:color w:val="auto"/>
              </w:rPr>
            </w:pPr>
          </w:p>
        </w:tc>
      </w:tr>
      <w:tr>
        <w:trPr>
          <w:trHeight w:val="167"/>
        </w:trPr>
        <w:tc>
          <w:tcPr>
            <w:tcW w:w="1940" w:type="dxa"/>
            <w:vAlign w:val="bottom"/>
            <w:tcBorders>
              <w:left w:val="single" w:sz="8" w:color="7F7F7F"/>
            </w:tcBorders>
            <w:shd w:val="clear" w:color="auto" w:fill="0066B2"/>
          </w:tcPr>
          <w:p>
            <w:pPr>
              <w:spacing w:after="0"/>
              <w:rPr>
                <w:sz w:val="14"/>
                <w:szCs w:val="14"/>
                <w:color w:val="auto"/>
              </w:rPr>
            </w:pPr>
          </w:p>
        </w:tc>
        <w:tc>
          <w:tcPr>
            <w:tcW w:w="1960" w:type="dxa"/>
            <w:vAlign w:val="bottom"/>
            <w:shd w:val="clear" w:color="auto" w:fill="0066B2"/>
          </w:tcPr>
          <w:p>
            <w:pPr>
              <w:spacing w:after="0"/>
              <w:rPr>
                <w:sz w:val="14"/>
                <w:szCs w:val="14"/>
                <w:color w:val="auto"/>
              </w:rPr>
            </w:pPr>
          </w:p>
        </w:tc>
        <w:tc>
          <w:tcPr>
            <w:tcW w:w="1740" w:type="dxa"/>
            <w:vAlign w:val="bottom"/>
            <w:shd w:val="clear" w:color="auto" w:fill="0066B2"/>
          </w:tcPr>
          <w:p>
            <w:pPr>
              <w:spacing w:after="0"/>
              <w:rPr>
                <w:sz w:val="14"/>
                <w:szCs w:val="14"/>
                <w:color w:val="auto"/>
              </w:rPr>
            </w:pPr>
          </w:p>
        </w:tc>
        <w:tc>
          <w:tcPr>
            <w:tcW w:w="60" w:type="dxa"/>
            <w:vAlign w:val="bottom"/>
            <w:shd w:val="clear" w:color="auto" w:fill="0066B2"/>
          </w:tcPr>
          <w:p>
            <w:pPr>
              <w:spacing w:after="0"/>
              <w:rPr>
                <w:sz w:val="14"/>
                <w:szCs w:val="14"/>
                <w:color w:val="auto"/>
              </w:rPr>
            </w:pPr>
          </w:p>
        </w:tc>
        <w:tc>
          <w:tcPr>
            <w:tcW w:w="5260" w:type="dxa"/>
            <w:vAlign w:val="bottom"/>
            <w:tcBorders>
              <w:right w:val="single" w:sz="8" w:color="7F7F7F"/>
            </w:tcBorders>
            <w:gridSpan w:val="3"/>
            <w:shd w:val="clear" w:color="auto" w:fill="0066B2"/>
          </w:tcPr>
          <w:p>
            <w:pPr>
              <w:jc w:val="center"/>
              <w:spacing w:after="0" w:line="167" w:lineRule="exact"/>
              <w:rPr>
                <w:sz w:val="20"/>
                <w:szCs w:val="20"/>
                <w:color w:val="auto"/>
              </w:rPr>
            </w:pPr>
            <w:r>
              <w:rPr>
                <w:rFonts w:ascii="Arial" w:cs="Arial" w:eastAsia="Arial" w:hAnsi="Arial"/>
                <w:sz w:val="12"/>
                <w:szCs w:val="12"/>
                <w:b w:val="1"/>
                <w:bCs w:val="1"/>
                <w:color w:val="FFFFFF"/>
              </w:rPr>
              <w:t>grants held for at least one year after grant date</w:t>
            </w:r>
            <w:r>
              <w:rPr>
                <w:rFonts w:ascii="Arial" w:cs="Arial" w:eastAsia="Arial" w:hAnsi="Arial"/>
                <w:sz w:val="19"/>
                <w:szCs w:val="19"/>
                <w:b w:val="1"/>
                <w:bCs w:val="1"/>
                <w:color w:val="FFFFFF"/>
                <w:vertAlign w:val="superscript"/>
              </w:rPr>
              <w:t>(2)</w:t>
            </w:r>
            <w:r>
              <w:rPr>
                <w:rFonts w:ascii="Arial" w:cs="Arial" w:eastAsia="Arial" w:hAnsi="Arial"/>
                <w:sz w:val="12"/>
                <w:szCs w:val="12"/>
                <w:b w:val="1"/>
                <w:bCs w:val="1"/>
                <w:color w:val="FFFFFF"/>
              </w:rPr>
              <w:t>, and</w:t>
            </w:r>
          </w:p>
        </w:tc>
        <w:tc>
          <w:tcPr>
            <w:tcW w:w="0" w:type="dxa"/>
            <w:vAlign w:val="bottom"/>
          </w:tcPr>
          <w:p>
            <w:pPr>
              <w:spacing w:after="0"/>
              <w:rPr>
                <w:sz w:val="1"/>
                <w:szCs w:val="1"/>
                <w:color w:val="auto"/>
              </w:rPr>
            </w:pPr>
          </w:p>
        </w:tc>
      </w:tr>
      <w:tr>
        <w:trPr>
          <w:trHeight w:val="171"/>
        </w:trPr>
        <w:tc>
          <w:tcPr>
            <w:tcW w:w="1940" w:type="dxa"/>
            <w:vAlign w:val="bottom"/>
            <w:tcBorders>
              <w:left w:val="single" w:sz="8" w:color="7F7F7F"/>
            </w:tcBorders>
            <w:shd w:val="clear" w:color="auto" w:fill="0066B2"/>
          </w:tcPr>
          <w:p>
            <w:pPr>
              <w:spacing w:after="0"/>
              <w:rPr>
                <w:sz w:val="14"/>
                <w:szCs w:val="14"/>
                <w:color w:val="auto"/>
              </w:rPr>
            </w:pPr>
          </w:p>
        </w:tc>
        <w:tc>
          <w:tcPr>
            <w:tcW w:w="1960" w:type="dxa"/>
            <w:vAlign w:val="bottom"/>
            <w:shd w:val="clear" w:color="auto" w:fill="0066B2"/>
          </w:tcPr>
          <w:p>
            <w:pPr>
              <w:spacing w:after="0"/>
              <w:rPr>
                <w:sz w:val="14"/>
                <w:szCs w:val="14"/>
                <w:color w:val="auto"/>
              </w:rPr>
            </w:pPr>
          </w:p>
        </w:tc>
        <w:tc>
          <w:tcPr>
            <w:tcW w:w="1740" w:type="dxa"/>
            <w:vAlign w:val="bottom"/>
            <w:shd w:val="clear" w:color="auto" w:fill="0066B2"/>
          </w:tcPr>
          <w:p>
            <w:pPr>
              <w:jc w:val="center"/>
              <w:ind w:left="47"/>
              <w:spacing w:after="0"/>
              <w:rPr>
                <w:sz w:val="20"/>
                <w:szCs w:val="20"/>
                <w:color w:val="auto"/>
              </w:rPr>
            </w:pPr>
            <w:r>
              <w:rPr>
                <w:rFonts w:ascii="Arial" w:cs="Arial" w:eastAsia="Arial" w:hAnsi="Arial"/>
                <w:sz w:val="14"/>
                <w:szCs w:val="14"/>
                <w:b w:val="1"/>
                <w:bCs w:val="1"/>
                <w:color w:val="FFFFFF"/>
              </w:rPr>
              <w:t>Termination for</w:t>
            </w:r>
          </w:p>
        </w:tc>
        <w:tc>
          <w:tcPr>
            <w:tcW w:w="60" w:type="dxa"/>
            <w:vAlign w:val="bottom"/>
            <w:shd w:val="clear" w:color="auto" w:fill="0066B2"/>
          </w:tcPr>
          <w:p>
            <w:pPr>
              <w:spacing w:after="0"/>
              <w:rPr>
                <w:sz w:val="14"/>
                <w:szCs w:val="14"/>
                <w:color w:val="auto"/>
              </w:rPr>
            </w:pPr>
          </w:p>
        </w:tc>
        <w:tc>
          <w:tcPr>
            <w:tcW w:w="3960" w:type="dxa"/>
            <w:vAlign w:val="bottom"/>
            <w:gridSpan w:val="2"/>
            <w:shd w:val="clear" w:color="auto" w:fill="0066B2"/>
          </w:tcPr>
          <w:p>
            <w:pPr>
              <w:jc w:val="center"/>
              <w:ind w:left="1167"/>
              <w:spacing w:after="0"/>
              <w:rPr>
                <w:sz w:val="20"/>
                <w:szCs w:val="20"/>
                <w:color w:val="auto"/>
              </w:rPr>
            </w:pPr>
            <w:r>
              <w:rPr>
                <w:rFonts w:ascii="Arial" w:cs="Arial" w:eastAsia="Arial" w:hAnsi="Arial"/>
                <w:sz w:val="14"/>
                <w:szCs w:val="14"/>
                <w:b w:val="1"/>
                <w:bCs w:val="1"/>
                <w:color w:val="FFFFFF"/>
              </w:rPr>
              <w:t>on termination date either:</w:t>
            </w:r>
          </w:p>
        </w:tc>
        <w:tc>
          <w:tcPr>
            <w:tcW w:w="1300" w:type="dxa"/>
            <w:vAlign w:val="bottom"/>
            <w:tcBorders>
              <w:right w:val="single" w:sz="8" w:color="7F7F7F"/>
            </w:tcBorders>
            <w:shd w:val="clear" w:color="auto" w:fill="0066B2"/>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940" w:type="dxa"/>
            <w:vAlign w:val="bottom"/>
            <w:tcBorders>
              <w:left w:val="single" w:sz="8" w:color="7F7F7F"/>
            </w:tcBorders>
            <w:shd w:val="clear" w:color="auto" w:fill="0066B2"/>
          </w:tcPr>
          <w:p>
            <w:pPr>
              <w:spacing w:after="0"/>
              <w:rPr>
                <w:sz w:val="13"/>
                <w:szCs w:val="13"/>
                <w:color w:val="auto"/>
              </w:rPr>
            </w:pPr>
          </w:p>
        </w:tc>
        <w:tc>
          <w:tcPr>
            <w:tcW w:w="1960" w:type="dxa"/>
            <w:vAlign w:val="bottom"/>
            <w:shd w:val="clear" w:color="auto" w:fill="0066B2"/>
          </w:tcPr>
          <w:p>
            <w:pPr>
              <w:spacing w:after="0"/>
              <w:rPr>
                <w:sz w:val="13"/>
                <w:szCs w:val="13"/>
                <w:color w:val="auto"/>
              </w:rPr>
            </w:pPr>
          </w:p>
        </w:tc>
        <w:tc>
          <w:tcPr>
            <w:tcW w:w="1740" w:type="dxa"/>
            <w:vAlign w:val="bottom"/>
            <w:shd w:val="clear" w:color="auto" w:fill="0066B2"/>
          </w:tcPr>
          <w:p>
            <w:pPr>
              <w:jc w:val="center"/>
              <w:ind w:left="27"/>
              <w:spacing w:after="0" w:line="153" w:lineRule="exact"/>
              <w:rPr>
                <w:sz w:val="20"/>
                <w:szCs w:val="20"/>
                <w:color w:val="auto"/>
              </w:rPr>
            </w:pPr>
            <w:r>
              <w:rPr>
                <w:rFonts w:ascii="Arial" w:cs="Arial" w:eastAsia="Arial" w:hAnsi="Arial"/>
                <w:sz w:val="14"/>
                <w:szCs w:val="14"/>
                <w:b w:val="1"/>
                <w:bCs w:val="1"/>
                <w:color w:val="FFFFFF"/>
              </w:rPr>
              <w:t>any reason less</w:t>
            </w:r>
          </w:p>
        </w:tc>
        <w:tc>
          <w:tcPr>
            <w:tcW w:w="60" w:type="dxa"/>
            <w:vAlign w:val="bottom"/>
            <w:shd w:val="clear" w:color="auto" w:fill="0066B2"/>
          </w:tcPr>
          <w:p>
            <w:pPr>
              <w:spacing w:after="0"/>
              <w:rPr>
                <w:sz w:val="13"/>
                <w:szCs w:val="13"/>
                <w:color w:val="auto"/>
              </w:rPr>
            </w:pPr>
          </w:p>
        </w:tc>
        <w:tc>
          <w:tcPr>
            <w:tcW w:w="2040" w:type="dxa"/>
            <w:vAlign w:val="bottom"/>
            <w:shd w:val="clear" w:color="auto" w:fill="0066B2"/>
          </w:tcPr>
          <w:p>
            <w:pPr>
              <w:jc w:val="center"/>
              <w:spacing w:after="0" w:line="153" w:lineRule="exact"/>
              <w:rPr>
                <w:sz w:val="20"/>
                <w:szCs w:val="20"/>
                <w:color w:val="auto"/>
              </w:rPr>
            </w:pPr>
            <w:r>
              <w:rPr>
                <w:rFonts w:ascii="Arial" w:cs="Arial" w:eastAsia="Arial" w:hAnsi="Arial"/>
                <w:sz w:val="14"/>
                <w:szCs w:val="14"/>
                <w:b w:val="1"/>
                <w:bCs w:val="1"/>
                <w:color w:val="FFFFFF"/>
              </w:rPr>
              <w:t>Are less than age 60</w:t>
            </w:r>
          </w:p>
        </w:tc>
        <w:tc>
          <w:tcPr>
            <w:tcW w:w="1920" w:type="dxa"/>
            <w:vAlign w:val="bottom"/>
            <w:shd w:val="clear" w:color="auto" w:fill="0066B2"/>
          </w:tcPr>
          <w:p>
            <w:pPr>
              <w:jc w:val="center"/>
              <w:spacing w:after="0" w:line="153" w:lineRule="exact"/>
              <w:rPr>
                <w:sz w:val="20"/>
                <w:szCs w:val="20"/>
                <w:color w:val="auto"/>
              </w:rPr>
            </w:pPr>
            <w:r>
              <w:rPr>
                <w:rFonts w:ascii="Arial" w:cs="Arial" w:eastAsia="Arial" w:hAnsi="Arial"/>
                <w:sz w:val="14"/>
                <w:szCs w:val="14"/>
                <w:b w:val="1"/>
                <w:bCs w:val="1"/>
                <w:color w:val="FFFFFF"/>
              </w:rPr>
              <w:t>Are at least</w:t>
            </w:r>
          </w:p>
        </w:tc>
        <w:tc>
          <w:tcPr>
            <w:tcW w:w="1300" w:type="dxa"/>
            <w:vAlign w:val="bottom"/>
            <w:tcBorders>
              <w:right w:val="single" w:sz="8" w:color="7F7F7F"/>
            </w:tcBorders>
            <w:shd w:val="clear" w:color="auto" w:fill="0066B2"/>
          </w:tcPr>
          <w:p>
            <w:pPr>
              <w:jc w:val="center"/>
              <w:spacing w:after="0" w:line="153" w:lineRule="exact"/>
              <w:rPr>
                <w:sz w:val="20"/>
                <w:szCs w:val="20"/>
                <w:color w:val="auto"/>
              </w:rPr>
            </w:pPr>
            <w:r>
              <w:rPr>
                <w:rFonts w:ascii="Arial" w:cs="Arial" w:eastAsia="Arial" w:hAnsi="Arial"/>
                <w:sz w:val="14"/>
                <w:szCs w:val="14"/>
                <w:b w:val="1"/>
                <w:bCs w:val="1"/>
                <w:color w:val="FFFFFF"/>
              </w:rPr>
              <w:t>Are at least</w:t>
            </w:r>
          </w:p>
        </w:tc>
        <w:tc>
          <w:tcPr>
            <w:tcW w:w="0" w:type="dxa"/>
            <w:vAlign w:val="bottom"/>
          </w:tcPr>
          <w:p>
            <w:pPr>
              <w:spacing w:after="0"/>
              <w:rPr>
                <w:sz w:val="1"/>
                <w:szCs w:val="1"/>
                <w:color w:val="auto"/>
              </w:rPr>
            </w:pPr>
          </w:p>
        </w:tc>
      </w:tr>
      <w:tr>
        <w:trPr>
          <w:trHeight w:val="162"/>
        </w:trPr>
        <w:tc>
          <w:tcPr>
            <w:tcW w:w="1940" w:type="dxa"/>
            <w:vAlign w:val="bottom"/>
            <w:tcBorders>
              <w:left w:val="single" w:sz="8" w:color="7F7F7F"/>
            </w:tcBorders>
            <w:shd w:val="clear" w:color="auto" w:fill="0066B2"/>
          </w:tcPr>
          <w:p>
            <w:pPr>
              <w:spacing w:after="0"/>
              <w:rPr>
                <w:sz w:val="14"/>
                <w:szCs w:val="14"/>
                <w:color w:val="auto"/>
              </w:rPr>
            </w:pPr>
          </w:p>
        </w:tc>
        <w:tc>
          <w:tcPr>
            <w:tcW w:w="1960" w:type="dxa"/>
            <w:vAlign w:val="bottom"/>
            <w:shd w:val="clear" w:color="auto" w:fill="0066B2"/>
          </w:tcPr>
          <w:p>
            <w:pPr>
              <w:spacing w:after="0"/>
              <w:rPr>
                <w:sz w:val="14"/>
                <w:szCs w:val="14"/>
                <w:color w:val="auto"/>
              </w:rPr>
            </w:pPr>
          </w:p>
        </w:tc>
        <w:tc>
          <w:tcPr>
            <w:tcW w:w="1740" w:type="dxa"/>
            <w:vAlign w:val="bottom"/>
            <w:shd w:val="clear" w:color="auto" w:fill="0066B2"/>
          </w:tcPr>
          <w:p>
            <w:pPr>
              <w:jc w:val="center"/>
              <w:ind w:left="47"/>
              <w:spacing w:after="0"/>
              <w:rPr>
                <w:sz w:val="20"/>
                <w:szCs w:val="20"/>
                <w:color w:val="auto"/>
              </w:rPr>
            </w:pPr>
            <w:r>
              <w:rPr>
                <w:rFonts w:ascii="Arial" w:cs="Arial" w:eastAsia="Arial" w:hAnsi="Arial"/>
                <w:sz w:val="14"/>
                <w:szCs w:val="14"/>
                <w:b w:val="1"/>
                <w:bCs w:val="1"/>
                <w:color w:val="FFFFFF"/>
              </w:rPr>
              <w:t>than one year</w:t>
            </w:r>
          </w:p>
        </w:tc>
        <w:tc>
          <w:tcPr>
            <w:tcW w:w="60" w:type="dxa"/>
            <w:vAlign w:val="bottom"/>
            <w:shd w:val="clear" w:color="auto" w:fill="0066B2"/>
          </w:tcPr>
          <w:p>
            <w:pPr>
              <w:spacing w:after="0"/>
              <w:rPr>
                <w:sz w:val="14"/>
                <w:szCs w:val="14"/>
                <w:color w:val="auto"/>
              </w:rPr>
            </w:pPr>
          </w:p>
        </w:tc>
        <w:tc>
          <w:tcPr>
            <w:tcW w:w="204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and have less than 75</w:t>
            </w:r>
          </w:p>
        </w:tc>
        <w:tc>
          <w:tcPr>
            <w:tcW w:w="192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age 60 or have</w:t>
            </w:r>
          </w:p>
        </w:tc>
        <w:tc>
          <w:tcPr>
            <w:tcW w:w="1300" w:type="dxa"/>
            <w:vAlign w:val="bottom"/>
            <w:tcBorders>
              <w:right w:val="single" w:sz="8" w:color="7F7F7F"/>
            </w:tcBorders>
            <w:shd w:val="clear" w:color="auto" w:fill="0066B2"/>
          </w:tcPr>
          <w:p>
            <w:pPr>
              <w:jc w:val="center"/>
              <w:spacing w:after="0"/>
              <w:rPr>
                <w:sz w:val="20"/>
                <w:szCs w:val="20"/>
                <w:color w:val="auto"/>
              </w:rPr>
            </w:pPr>
            <w:r>
              <w:rPr>
                <w:rFonts w:ascii="Arial" w:cs="Arial" w:eastAsia="Arial" w:hAnsi="Arial"/>
                <w:sz w:val="14"/>
                <w:szCs w:val="14"/>
                <w:b w:val="1"/>
                <w:bCs w:val="1"/>
                <w:color w:val="FFFFFF"/>
              </w:rPr>
              <w:t>age 65 or</w:t>
            </w:r>
          </w:p>
        </w:tc>
        <w:tc>
          <w:tcPr>
            <w:tcW w:w="0" w:type="dxa"/>
            <w:vAlign w:val="bottom"/>
          </w:tcPr>
          <w:p>
            <w:pPr>
              <w:spacing w:after="0"/>
              <w:rPr>
                <w:sz w:val="1"/>
                <w:szCs w:val="1"/>
                <w:color w:val="auto"/>
              </w:rPr>
            </w:pPr>
          </w:p>
        </w:tc>
      </w:tr>
      <w:tr>
        <w:trPr>
          <w:trHeight w:val="158"/>
        </w:trPr>
        <w:tc>
          <w:tcPr>
            <w:tcW w:w="1940" w:type="dxa"/>
            <w:vAlign w:val="bottom"/>
            <w:tcBorders>
              <w:left w:val="single" w:sz="8" w:color="7F7F7F"/>
            </w:tcBorders>
            <w:shd w:val="clear" w:color="auto" w:fill="0066B2"/>
          </w:tcPr>
          <w:p>
            <w:pPr>
              <w:spacing w:after="0"/>
              <w:rPr>
                <w:sz w:val="13"/>
                <w:szCs w:val="13"/>
                <w:color w:val="auto"/>
              </w:rPr>
            </w:pPr>
          </w:p>
        </w:tc>
        <w:tc>
          <w:tcPr>
            <w:tcW w:w="1960" w:type="dxa"/>
            <w:vAlign w:val="bottom"/>
            <w:shd w:val="clear" w:color="auto" w:fill="0066B2"/>
          </w:tcPr>
          <w:p>
            <w:pPr>
              <w:jc w:val="center"/>
              <w:ind w:left="407"/>
              <w:spacing w:after="0" w:line="158" w:lineRule="exact"/>
              <w:rPr>
                <w:sz w:val="20"/>
                <w:szCs w:val="20"/>
                <w:color w:val="auto"/>
              </w:rPr>
            </w:pPr>
            <w:r>
              <w:rPr>
                <w:rFonts w:ascii="Arial" w:cs="Arial" w:eastAsia="Arial" w:hAnsi="Arial"/>
                <w:sz w:val="14"/>
                <w:szCs w:val="14"/>
                <w:b w:val="1"/>
                <w:bCs w:val="1"/>
                <w:color w:val="FFFFFF"/>
              </w:rPr>
              <w:t>Termination for</w:t>
            </w:r>
          </w:p>
        </w:tc>
        <w:tc>
          <w:tcPr>
            <w:tcW w:w="1740" w:type="dxa"/>
            <w:vAlign w:val="bottom"/>
            <w:shd w:val="clear" w:color="auto" w:fill="0066B2"/>
          </w:tcPr>
          <w:p>
            <w:pPr>
              <w:jc w:val="center"/>
              <w:ind w:left="47"/>
              <w:spacing w:after="0" w:line="158" w:lineRule="exact"/>
              <w:rPr>
                <w:sz w:val="20"/>
                <w:szCs w:val="20"/>
                <w:color w:val="auto"/>
              </w:rPr>
            </w:pPr>
            <w:r>
              <w:rPr>
                <w:rFonts w:ascii="Arial" w:cs="Arial" w:eastAsia="Arial" w:hAnsi="Arial"/>
                <w:sz w:val="14"/>
                <w:szCs w:val="14"/>
                <w:b w:val="1"/>
                <w:bCs w:val="1"/>
                <w:color w:val="FFFFFF"/>
              </w:rPr>
              <w:t>after grant</w:t>
            </w:r>
          </w:p>
        </w:tc>
        <w:tc>
          <w:tcPr>
            <w:tcW w:w="60" w:type="dxa"/>
            <w:vAlign w:val="bottom"/>
            <w:shd w:val="clear" w:color="auto" w:fill="0066B2"/>
          </w:tcPr>
          <w:p>
            <w:pPr>
              <w:spacing w:after="0"/>
              <w:rPr>
                <w:sz w:val="13"/>
                <w:szCs w:val="13"/>
                <w:color w:val="auto"/>
              </w:rPr>
            </w:pPr>
          </w:p>
        </w:tc>
        <w:tc>
          <w:tcPr>
            <w:tcW w:w="2040" w:type="dxa"/>
            <w:vAlign w:val="bottom"/>
            <w:shd w:val="clear" w:color="auto" w:fill="0066B2"/>
          </w:tcPr>
          <w:p>
            <w:pPr>
              <w:jc w:val="center"/>
              <w:spacing w:after="0" w:line="158" w:lineRule="exact"/>
              <w:rPr>
                <w:sz w:val="20"/>
                <w:szCs w:val="20"/>
                <w:color w:val="auto"/>
              </w:rPr>
            </w:pPr>
            <w:r>
              <w:rPr>
                <w:rFonts w:ascii="Arial" w:cs="Arial" w:eastAsia="Arial" w:hAnsi="Arial"/>
                <w:sz w:val="14"/>
                <w:szCs w:val="14"/>
                <w:b w:val="1"/>
                <w:bCs w:val="1"/>
                <w:color w:val="FFFFFF"/>
              </w:rPr>
              <w:t>points (sum of age</w:t>
            </w:r>
          </w:p>
        </w:tc>
        <w:tc>
          <w:tcPr>
            <w:tcW w:w="1920" w:type="dxa"/>
            <w:vAlign w:val="bottom"/>
            <w:shd w:val="clear" w:color="auto" w:fill="0066B2"/>
          </w:tcPr>
          <w:p>
            <w:pPr>
              <w:jc w:val="center"/>
              <w:spacing w:after="0" w:line="158" w:lineRule="exact"/>
              <w:rPr>
                <w:sz w:val="20"/>
                <w:szCs w:val="20"/>
                <w:color w:val="auto"/>
              </w:rPr>
            </w:pPr>
            <w:r>
              <w:rPr>
                <w:rFonts w:ascii="Arial" w:cs="Arial" w:eastAsia="Arial" w:hAnsi="Arial"/>
                <w:sz w:val="14"/>
                <w:szCs w:val="14"/>
                <w:b w:val="1"/>
                <w:bCs w:val="1"/>
                <w:color w:val="FFFFFF"/>
              </w:rPr>
              <w:t>at least</w:t>
            </w:r>
          </w:p>
        </w:tc>
        <w:tc>
          <w:tcPr>
            <w:tcW w:w="1300" w:type="dxa"/>
            <w:vAlign w:val="bottom"/>
            <w:tcBorders>
              <w:right w:val="single" w:sz="8" w:color="7F7F7F"/>
            </w:tcBorders>
            <w:shd w:val="clear" w:color="auto" w:fill="0066B2"/>
          </w:tcPr>
          <w:p>
            <w:pPr>
              <w:jc w:val="center"/>
              <w:spacing w:after="0" w:line="158" w:lineRule="exact"/>
              <w:rPr>
                <w:sz w:val="20"/>
                <w:szCs w:val="20"/>
                <w:color w:val="auto"/>
              </w:rPr>
            </w:pPr>
            <w:r>
              <w:rPr>
                <w:rFonts w:ascii="Arial" w:cs="Arial" w:eastAsia="Arial" w:hAnsi="Arial"/>
                <w:sz w:val="14"/>
                <w:szCs w:val="14"/>
                <w:b w:val="1"/>
                <w:bCs w:val="1"/>
                <w:color w:val="FFFFFF"/>
              </w:rPr>
              <w:t>have at least</w:t>
            </w:r>
          </w:p>
        </w:tc>
        <w:tc>
          <w:tcPr>
            <w:tcW w:w="0" w:type="dxa"/>
            <w:vAlign w:val="bottom"/>
          </w:tcPr>
          <w:p>
            <w:pPr>
              <w:spacing w:after="0"/>
              <w:rPr>
                <w:sz w:val="1"/>
                <w:szCs w:val="1"/>
                <w:color w:val="auto"/>
              </w:rPr>
            </w:pPr>
          </w:p>
        </w:tc>
      </w:tr>
      <w:tr>
        <w:trPr>
          <w:trHeight w:val="189"/>
        </w:trPr>
        <w:tc>
          <w:tcPr>
            <w:tcW w:w="1940" w:type="dxa"/>
            <w:vAlign w:val="bottom"/>
            <w:tcBorders>
              <w:left w:val="single" w:sz="8" w:color="7F7F7F"/>
            </w:tcBorders>
            <w:shd w:val="clear" w:color="auto" w:fill="0066B2"/>
          </w:tcPr>
          <w:p>
            <w:pPr>
              <w:spacing w:after="0"/>
              <w:rPr>
                <w:sz w:val="16"/>
                <w:szCs w:val="16"/>
                <w:color w:val="auto"/>
              </w:rPr>
            </w:pPr>
          </w:p>
        </w:tc>
        <w:tc>
          <w:tcPr>
            <w:tcW w:w="1960" w:type="dxa"/>
            <w:vAlign w:val="bottom"/>
            <w:shd w:val="clear" w:color="auto" w:fill="0066B2"/>
          </w:tcPr>
          <w:p>
            <w:pPr>
              <w:jc w:val="center"/>
              <w:ind w:left="407"/>
              <w:spacing w:after="0" w:line="189" w:lineRule="exact"/>
              <w:rPr>
                <w:sz w:val="20"/>
                <w:szCs w:val="20"/>
                <w:color w:val="auto"/>
              </w:rPr>
            </w:pPr>
            <w:r>
              <w:rPr>
                <w:rFonts w:ascii="Arial" w:cs="Arial" w:eastAsia="Arial" w:hAnsi="Arial"/>
                <w:sz w:val="13"/>
                <w:szCs w:val="13"/>
                <w:b w:val="1"/>
                <w:bCs w:val="1"/>
                <w:color w:val="FFFFFF"/>
              </w:rPr>
              <w:t>misconduct</w:t>
            </w:r>
            <w:r>
              <w:rPr>
                <w:rFonts w:ascii="Arial" w:cs="Arial" w:eastAsia="Arial" w:hAnsi="Arial"/>
                <w:sz w:val="21"/>
                <w:szCs w:val="21"/>
                <w:b w:val="1"/>
                <w:bCs w:val="1"/>
                <w:color w:val="FFFFFF"/>
                <w:vertAlign w:val="superscript"/>
              </w:rPr>
              <w:t>(1)</w:t>
            </w:r>
          </w:p>
        </w:tc>
        <w:tc>
          <w:tcPr>
            <w:tcW w:w="1740" w:type="dxa"/>
            <w:vAlign w:val="bottom"/>
            <w:shd w:val="clear" w:color="auto" w:fill="0066B2"/>
          </w:tcPr>
          <w:p>
            <w:pPr>
              <w:jc w:val="center"/>
              <w:ind w:left="47"/>
              <w:spacing w:after="0" w:line="189" w:lineRule="exact"/>
              <w:rPr>
                <w:sz w:val="20"/>
                <w:szCs w:val="20"/>
                <w:color w:val="auto"/>
              </w:rPr>
            </w:pPr>
            <w:r>
              <w:rPr>
                <w:rFonts w:ascii="Arial" w:cs="Arial" w:eastAsia="Arial" w:hAnsi="Arial"/>
                <w:sz w:val="13"/>
                <w:szCs w:val="13"/>
                <w:b w:val="1"/>
                <w:bCs w:val="1"/>
                <w:color w:val="FFFFFF"/>
              </w:rPr>
              <w:t>date</w:t>
            </w:r>
            <w:r>
              <w:rPr>
                <w:rFonts w:ascii="Arial" w:cs="Arial" w:eastAsia="Arial" w:hAnsi="Arial"/>
                <w:sz w:val="21"/>
                <w:szCs w:val="21"/>
                <w:b w:val="1"/>
                <w:bCs w:val="1"/>
                <w:color w:val="FFFFFF"/>
                <w:vertAlign w:val="superscript"/>
              </w:rPr>
              <w:t>(2)</w:t>
            </w:r>
          </w:p>
        </w:tc>
        <w:tc>
          <w:tcPr>
            <w:tcW w:w="60" w:type="dxa"/>
            <w:vAlign w:val="bottom"/>
            <w:shd w:val="clear" w:color="auto" w:fill="0066B2"/>
          </w:tcPr>
          <w:p>
            <w:pPr>
              <w:spacing w:after="0"/>
              <w:rPr>
                <w:sz w:val="16"/>
                <w:szCs w:val="16"/>
                <w:color w:val="auto"/>
              </w:rPr>
            </w:pPr>
          </w:p>
        </w:tc>
        <w:tc>
          <w:tcPr>
            <w:tcW w:w="204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and service)</w:t>
            </w:r>
          </w:p>
        </w:tc>
        <w:tc>
          <w:tcPr>
            <w:tcW w:w="1920" w:type="dxa"/>
            <w:vAlign w:val="bottom"/>
            <w:shd w:val="clear" w:color="auto" w:fill="0066B2"/>
          </w:tcPr>
          <w:p>
            <w:pPr>
              <w:jc w:val="center"/>
              <w:spacing w:after="0"/>
              <w:rPr>
                <w:sz w:val="20"/>
                <w:szCs w:val="20"/>
                <w:color w:val="auto"/>
              </w:rPr>
            </w:pPr>
            <w:r>
              <w:rPr>
                <w:rFonts w:ascii="Arial" w:cs="Arial" w:eastAsia="Arial" w:hAnsi="Arial"/>
                <w:sz w:val="14"/>
                <w:szCs w:val="14"/>
                <w:b w:val="1"/>
                <w:bCs w:val="1"/>
                <w:color w:val="FFFFFF"/>
              </w:rPr>
              <w:t>75 points</w:t>
            </w:r>
          </w:p>
        </w:tc>
        <w:tc>
          <w:tcPr>
            <w:tcW w:w="1300" w:type="dxa"/>
            <w:vAlign w:val="bottom"/>
            <w:tcBorders>
              <w:right w:val="single" w:sz="8" w:color="7F7F7F"/>
            </w:tcBorders>
            <w:shd w:val="clear" w:color="auto" w:fill="0066B2"/>
          </w:tcPr>
          <w:p>
            <w:pPr>
              <w:jc w:val="center"/>
              <w:spacing w:after="0"/>
              <w:rPr>
                <w:sz w:val="20"/>
                <w:szCs w:val="20"/>
                <w:color w:val="auto"/>
              </w:rPr>
            </w:pPr>
            <w:r>
              <w:rPr>
                <w:rFonts w:ascii="Arial" w:cs="Arial" w:eastAsia="Arial" w:hAnsi="Arial"/>
                <w:sz w:val="14"/>
                <w:szCs w:val="14"/>
                <w:b w:val="1"/>
                <w:bCs w:val="1"/>
                <w:color w:val="FFFFFF"/>
              </w:rPr>
              <w:t>90 points</w:t>
            </w:r>
          </w:p>
        </w:tc>
        <w:tc>
          <w:tcPr>
            <w:tcW w:w="0" w:type="dxa"/>
            <w:vAlign w:val="bottom"/>
          </w:tcPr>
          <w:p>
            <w:pPr>
              <w:spacing w:after="0"/>
              <w:rPr>
                <w:sz w:val="1"/>
                <w:szCs w:val="1"/>
                <w:color w:val="auto"/>
              </w:rPr>
            </w:pPr>
          </w:p>
        </w:tc>
      </w:tr>
      <w:tr>
        <w:trPr>
          <w:trHeight w:val="324"/>
        </w:trPr>
        <w:tc>
          <w:tcPr>
            <w:tcW w:w="194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5"/>
                <w:szCs w:val="15"/>
                <w:color w:val="auto"/>
              </w:rPr>
              <w:t>Performance shares</w:t>
            </w:r>
          </w:p>
        </w:tc>
        <w:tc>
          <w:tcPr>
            <w:tcW w:w="1960" w:type="dxa"/>
            <w:vAlign w:val="bottom"/>
            <w:shd w:val="clear" w:color="auto" w:fill="D8D8D8"/>
          </w:tcPr>
          <w:p>
            <w:pPr>
              <w:ind w:left="400"/>
              <w:spacing w:after="0"/>
              <w:rPr>
                <w:sz w:val="20"/>
                <w:szCs w:val="20"/>
                <w:color w:val="auto"/>
              </w:rPr>
            </w:pPr>
            <w:r>
              <w:rPr>
                <w:rFonts w:ascii="Arial" w:cs="Arial" w:eastAsia="Arial" w:hAnsi="Arial"/>
                <w:sz w:val="15"/>
                <w:szCs w:val="15"/>
                <w:color w:val="auto"/>
              </w:rPr>
              <w:t>Forfeit 100% of grant</w:t>
            </w:r>
          </w:p>
        </w:tc>
        <w:tc>
          <w:tcPr>
            <w:tcW w:w="1740" w:type="dxa"/>
            <w:vAlign w:val="bottom"/>
            <w:shd w:val="clear" w:color="auto" w:fill="D8D8D8"/>
          </w:tcPr>
          <w:p>
            <w:pPr>
              <w:ind w:left="120"/>
              <w:spacing w:after="0"/>
              <w:rPr>
                <w:sz w:val="20"/>
                <w:szCs w:val="20"/>
                <w:color w:val="auto"/>
              </w:rPr>
            </w:pPr>
            <w:r>
              <w:rPr>
                <w:rFonts w:ascii="Arial" w:cs="Arial" w:eastAsia="Arial" w:hAnsi="Arial"/>
                <w:sz w:val="15"/>
                <w:szCs w:val="15"/>
                <w:color w:val="auto"/>
              </w:rPr>
              <w:t>Forfeit 100% of grant</w:t>
            </w:r>
          </w:p>
        </w:tc>
        <w:tc>
          <w:tcPr>
            <w:tcW w:w="60" w:type="dxa"/>
            <w:vAlign w:val="bottom"/>
            <w:shd w:val="clear" w:color="auto" w:fill="D8D8D8"/>
          </w:tcPr>
          <w:p>
            <w:pPr>
              <w:spacing w:after="0"/>
              <w:rPr>
                <w:sz w:val="24"/>
                <w:szCs w:val="24"/>
                <w:color w:val="auto"/>
              </w:rPr>
            </w:pPr>
          </w:p>
        </w:tc>
        <w:tc>
          <w:tcPr>
            <w:tcW w:w="2040" w:type="dxa"/>
            <w:vAlign w:val="bottom"/>
            <w:shd w:val="clear" w:color="auto" w:fill="D8D8D8"/>
          </w:tcPr>
          <w:p>
            <w:pPr>
              <w:jc w:val="center"/>
              <w:spacing w:after="0"/>
              <w:rPr>
                <w:sz w:val="20"/>
                <w:szCs w:val="20"/>
                <w:color w:val="auto"/>
              </w:rPr>
            </w:pPr>
            <w:r>
              <w:rPr>
                <w:rFonts w:ascii="Arial" w:cs="Arial" w:eastAsia="Arial" w:hAnsi="Arial"/>
                <w:sz w:val="15"/>
                <w:szCs w:val="15"/>
                <w:color w:val="auto"/>
              </w:rPr>
              <w:t>Forfeit 100% of grant</w:t>
            </w:r>
          </w:p>
        </w:tc>
        <w:tc>
          <w:tcPr>
            <w:tcW w:w="1920" w:type="dxa"/>
            <w:vAlign w:val="bottom"/>
            <w:shd w:val="clear" w:color="auto" w:fill="D8D8D8"/>
          </w:tcPr>
          <w:p>
            <w:pPr>
              <w:jc w:val="center"/>
              <w:spacing w:after="0"/>
              <w:rPr>
                <w:sz w:val="20"/>
                <w:szCs w:val="20"/>
                <w:color w:val="auto"/>
              </w:rPr>
            </w:pPr>
            <w:r>
              <w:rPr>
                <w:rFonts w:ascii="Arial" w:cs="Arial" w:eastAsia="Arial" w:hAnsi="Arial"/>
                <w:sz w:val="15"/>
                <w:szCs w:val="15"/>
                <w:color w:val="auto"/>
                <w:w w:val="98"/>
              </w:rPr>
              <w:t>Prorated vesting</w:t>
            </w:r>
            <w:r>
              <w:rPr>
                <w:rFonts w:ascii="Arial" w:cs="Arial" w:eastAsia="Arial" w:hAnsi="Arial"/>
                <w:sz w:val="26"/>
                <w:szCs w:val="26"/>
                <w:color w:val="auto"/>
                <w:w w:val="98"/>
                <w:vertAlign w:val="superscript"/>
              </w:rPr>
              <w:t>(4)</w:t>
            </w:r>
          </w:p>
        </w:tc>
        <w:tc>
          <w:tcPr>
            <w:tcW w:w="1300" w:type="dxa"/>
            <w:vAlign w:val="bottom"/>
            <w:tcBorders>
              <w:right w:val="single" w:sz="8" w:color="7F7F7F"/>
            </w:tcBorders>
            <w:shd w:val="clear" w:color="auto" w:fill="D8D8D8"/>
          </w:tcPr>
          <w:p>
            <w:pPr>
              <w:jc w:val="center"/>
              <w:spacing w:after="0"/>
              <w:rPr>
                <w:sz w:val="20"/>
                <w:szCs w:val="20"/>
                <w:color w:val="auto"/>
              </w:rPr>
            </w:pPr>
            <w:r>
              <w:rPr>
                <w:rFonts w:ascii="Arial" w:cs="Arial" w:eastAsia="Arial" w:hAnsi="Arial"/>
                <w:sz w:val="15"/>
                <w:szCs w:val="15"/>
                <w:color w:val="auto"/>
                <w:w w:val="96"/>
              </w:rPr>
              <w:t>100% vested</w:t>
            </w:r>
            <w:r>
              <w:rPr>
                <w:rFonts w:ascii="Arial" w:cs="Arial" w:eastAsia="Arial" w:hAnsi="Arial"/>
                <w:sz w:val="26"/>
                <w:szCs w:val="26"/>
                <w:color w:val="auto"/>
                <w:w w:val="96"/>
                <w:vertAlign w:val="superscript"/>
              </w:rPr>
              <w:t>(4)</w:t>
            </w:r>
          </w:p>
        </w:tc>
        <w:tc>
          <w:tcPr>
            <w:tcW w:w="0" w:type="dxa"/>
            <w:vAlign w:val="bottom"/>
          </w:tcPr>
          <w:p>
            <w:pPr>
              <w:spacing w:after="0"/>
              <w:rPr>
                <w:sz w:val="1"/>
                <w:szCs w:val="1"/>
                <w:color w:val="auto"/>
              </w:rPr>
            </w:pPr>
          </w:p>
        </w:tc>
      </w:tr>
      <w:tr>
        <w:trPr>
          <w:trHeight w:val="216"/>
        </w:trPr>
        <w:tc>
          <w:tcPr>
            <w:tcW w:w="1940" w:type="dxa"/>
            <w:vAlign w:val="bottom"/>
            <w:tcBorders>
              <w:left w:val="single" w:sz="8" w:color="7F7F7F"/>
            </w:tcBorders>
          </w:tcPr>
          <w:p>
            <w:pPr>
              <w:ind w:left="160"/>
              <w:spacing w:after="0" w:line="216" w:lineRule="exact"/>
              <w:rPr>
                <w:sz w:val="20"/>
                <w:szCs w:val="20"/>
                <w:color w:val="auto"/>
              </w:rPr>
            </w:pPr>
            <w:r>
              <w:rPr>
                <w:rFonts w:ascii="Arial" w:cs="Arial" w:eastAsia="Arial" w:hAnsi="Arial"/>
                <w:sz w:val="15"/>
                <w:szCs w:val="15"/>
                <w:color w:val="auto"/>
              </w:rPr>
              <w:t>RSUs</w:t>
            </w:r>
            <w:r>
              <w:rPr>
                <w:rFonts w:ascii="Arial" w:cs="Arial" w:eastAsia="Arial" w:hAnsi="Arial"/>
                <w:sz w:val="25"/>
                <w:szCs w:val="25"/>
                <w:color w:val="auto"/>
                <w:vertAlign w:val="superscript"/>
              </w:rPr>
              <w:t>(5)</w:t>
            </w:r>
          </w:p>
        </w:tc>
        <w:tc>
          <w:tcPr>
            <w:tcW w:w="1960" w:type="dxa"/>
            <w:vAlign w:val="bottom"/>
          </w:tcPr>
          <w:p>
            <w:pPr>
              <w:ind w:left="400"/>
              <w:spacing w:after="0"/>
              <w:rPr>
                <w:sz w:val="20"/>
                <w:szCs w:val="20"/>
                <w:color w:val="auto"/>
              </w:rPr>
            </w:pPr>
            <w:r>
              <w:rPr>
                <w:rFonts w:ascii="Arial" w:cs="Arial" w:eastAsia="Arial" w:hAnsi="Arial"/>
                <w:sz w:val="15"/>
                <w:szCs w:val="15"/>
                <w:color w:val="auto"/>
              </w:rPr>
              <w:t>Forfeit 100% of grant</w:t>
            </w:r>
          </w:p>
        </w:tc>
        <w:tc>
          <w:tcPr>
            <w:tcW w:w="1740" w:type="dxa"/>
            <w:vAlign w:val="bottom"/>
          </w:tcPr>
          <w:p>
            <w:pPr>
              <w:ind w:left="120"/>
              <w:spacing w:after="0"/>
              <w:rPr>
                <w:sz w:val="20"/>
                <w:szCs w:val="20"/>
                <w:color w:val="auto"/>
              </w:rPr>
            </w:pPr>
            <w:r>
              <w:rPr>
                <w:rFonts w:ascii="Arial" w:cs="Arial" w:eastAsia="Arial" w:hAnsi="Arial"/>
                <w:sz w:val="15"/>
                <w:szCs w:val="15"/>
                <w:color w:val="auto"/>
              </w:rPr>
              <w:t>Forfeit 100% of grant</w:t>
            </w:r>
          </w:p>
        </w:tc>
        <w:tc>
          <w:tcPr>
            <w:tcW w:w="6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5"/>
                <w:szCs w:val="15"/>
                <w:color w:val="auto"/>
              </w:rPr>
              <w:t>Forfeit 100% of grant</w:t>
            </w:r>
          </w:p>
        </w:tc>
        <w:tc>
          <w:tcPr>
            <w:tcW w:w="1920" w:type="dxa"/>
            <w:vAlign w:val="bottom"/>
          </w:tcPr>
          <w:p>
            <w:pPr>
              <w:jc w:val="center"/>
              <w:spacing w:after="0" w:line="216" w:lineRule="exact"/>
              <w:rPr>
                <w:sz w:val="20"/>
                <w:szCs w:val="20"/>
                <w:color w:val="auto"/>
              </w:rPr>
            </w:pPr>
            <w:r>
              <w:rPr>
                <w:rFonts w:ascii="Arial" w:cs="Arial" w:eastAsia="Arial" w:hAnsi="Arial"/>
                <w:sz w:val="15"/>
                <w:szCs w:val="15"/>
                <w:color w:val="auto"/>
                <w:w w:val="98"/>
              </w:rPr>
              <w:t>Prorated vesting</w:t>
            </w:r>
            <w:r>
              <w:rPr>
                <w:rFonts w:ascii="Arial" w:cs="Arial" w:eastAsia="Arial" w:hAnsi="Arial"/>
                <w:sz w:val="25"/>
                <w:szCs w:val="25"/>
                <w:color w:val="auto"/>
                <w:w w:val="98"/>
                <w:vertAlign w:val="superscript"/>
              </w:rPr>
              <w:t>(4)</w:t>
            </w:r>
          </w:p>
        </w:tc>
        <w:tc>
          <w:tcPr>
            <w:tcW w:w="1300" w:type="dxa"/>
            <w:vAlign w:val="bottom"/>
            <w:tcBorders>
              <w:right w:val="single" w:sz="8" w:color="7F7F7F"/>
            </w:tcBorders>
          </w:tcPr>
          <w:p>
            <w:pPr>
              <w:jc w:val="center"/>
              <w:spacing w:after="0" w:line="216" w:lineRule="exact"/>
              <w:rPr>
                <w:sz w:val="20"/>
                <w:szCs w:val="20"/>
                <w:color w:val="auto"/>
              </w:rPr>
            </w:pPr>
            <w:r>
              <w:rPr>
                <w:rFonts w:ascii="Arial" w:cs="Arial" w:eastAsia="Arial" w:hAnsi="Arial"/>
                <w:sz w:val="15"/>
                <w:szCs w:val="15"/>
                <w:color w:val="auto"/>
                <w:w w:val="97"/>
              </w:rPr>
              <w:t>100% vested</w:t>
            </w:r>
            <w:r>
              <w:rPr>
                <w:rFonts w:ascii="Arial" w:cs="Arial" w:eastAsia="Arial" w:hAnsi="Arial"/>
                <w:sz w:val="25"/>
                <w:szCs w:val="25"/>
                <w:color w:val="auto"/>
                <w:w w:val="97"/>
                <w:vertAlign w:val="superscript"/>
              </w:rPr>
              <w:t>(4)</w:t>
            </w:r>
          </w:p>
        </w:tc>
        <w:tc>
          <w:tcPr>
            <w:tcW w:w="0" w:type="dxa"/>
            <w:vAlign w:val="bottom"/>
          </w:tcPr>
          <w:p>
            <w:pPr>
              <w:spacing w:after="0"/>
              <w:rPr>
                <w:sz w:val="1"/>
                <w:szCs w:val="1"/>
                <w:color w:val="auto"/>
              </w:rPr>
            </w:pPr>
          </w:p>
        </w:tc>
      </w:tr>
      <w:tr>
        <w:trPr>
          <w:trHeight w:val="145"/>
        </w:trPr>
        <w:tc>
          <w:tcPr>
            <w:tcW w:w="1940" w:type="dxa"/>
            <w:vAlign w:val="bottom"/>
            <w:tcBorders>
              <w:left w:val="single" w:sz="8" w:color="7F7F7F"/>
            </w:tcBorders>
            <w:shd w:val="clear" w:color="auto" w:fill="D8D8D8"/>
          </w:tcPr>
          <w:p>
            <w:pPr>
              <w:spacing w:after="0"/>
              <w:rPr>
                <w:sz w:val="12"/>
                <w:szCs w:val="12"/>
                <w:color w:val="auto"/>
              </w:rPr>
            </w:pPr>
          </w:p>
        </w:tc>
        <w:tc>
          <w:tcPr>
            <w:tcW w:w="1960" w:type="dxa"/>
            <w:vAlign w:val="bottom"/>
            <w:shd w:val="clear" w:color="auto" w:fill="D8D8D8"/>
          </w:tcPr>
          <w:p>
            <w:pPr>
              <w:spacing w:after="0"/>
              <w:rPr>
                <w:sz w:val="12"/>
                <w:szCs w:val="12"/>
                <w:color w:val="auto"/>
              </w:rPr>
            </w:pPr>
          </w:p>
        </w:tc>
        <w:tc>
          <w:tcPr>
            <w:tcW w:w="1740" w:type="dxa"/>
            <w:vAlign w:val="bottom"/>
            <w:shd w:val="clear" w:color="auto" w:fill="D8D8D8"/>
          </w:tcPr>
          <w:p>
            <w:pPr>
              <w:spacing w:after="0"/>
              <w:rPr>
                <w:sz w:val="12"/>
                <w:szCs w:val="12"/>
                <w:color w:val="auto"/>
              </w:rPr>
            </w:pPr>
          </w:p>
        </w:tc>
        <w:tc>
          <w:tcPr>
            <w:tcW w:w="60" w:type="dxa"/>
            <w:vAlign w:val="bottom"/>
            <w:shd w:val="clear" w:color="auto" w:fill="D8D8D8"/>
          </w:tcPr>
          <w:p>
            <w:pPr>
              <w:spacing w:after="0"/>
              <w:rPr>
                <w:sz w:val="12"/>
                <w:szCs w:val="12"/>
                <w:color w:val="auto"/>
              </w:rPr>
            </w:pPr>
          </w:p>
        </w:tc>
        <w:tc>
          <w:tcPr>
            <w:tcW w:w="2040" w:type="dxa"/>
            <w:vAlign w:val="bottom"/>
            <w:shd w:val="clear" w:color="auto" w:fill="D8D8D8"/>
          </w:tcPr>
          <w:p>
            <w:pPr>
              <w:jc w:val="center"/>
              <w:spacing w:after="0" w:line="145" w:lineRule="exact"/>
              <w:rPr>
                <w:sz w:val="20"/>
                <w:szCs w:val="20"/>
                <w:color w:val="auto"/>
              </w:rPr>
            </w:pPr>
            <w:r>
              <w:rPr>
                <w:rFonts w:ascii="Arial" w:cs="Arial" w:eastAsia="Arial" w:hAnsi="Arial"/>
                <w:sz w:val="15"/>
                <w:szCs w:val="15"/>
                <w:color w:val="auto"/>
              </w:rPr>
              <w:t>Forfeit 100% of</w:t>
            </w:r>
          </w:p>
        </w:tc>
        <w:tc>
          <w:tcPr>
            <w:tcW w:w="1920" w:type="dxa"/>
            <w:vAlign w:val="bottom"/>
            <w:shd w:val="clear" w:color="auto" w:fill="D8D8D8"/>
          </w:tcPr>
          <w:p>
            <w:pPr>
              <w:jc w:val="center"/>
              <w:spacing w:after="0" w:line="145" w:lineRule="exact"/>
              <w:rPr>
                <w:sz w:val="20"/>
                <w:szCs w:val="20"/>
                <w:color w:val="auto"/>
              </w:rPr>
            </w:pPr>
            <w:r>
              <w:rPr>
                <w:rFonts w:ascii="Arial" w:cs="Arial" w:eastAsia="Arial" w:hAnsi="Arial"/>
                <w:sz w:val="15"/>
                <w:szCs w:val="15"/>
                <w:color w:val="auto"/>
              </w:rPr>
              <w:t>Prorated vesting</w:t>
            </w:r>
          </w:p>
        </w:tc>
        <w:tc>
          <w:tcPr>
            <w:tcW w:w="1300" w:type="dxa"/>
            <w:vAlign w:val="bottom"/>
            <w:tcBorders>
              <w:right w:val="single" w:sz="8" w:color="7F7F7F"/>
            </w:tcBorders>
            <w:shd w:val="clear" w:color="auto" w:fill="D8D8D8"/>
          </w:tcPr>
          <w:p>
            <w:pPr>
              <w:ind w:left="160"/>
              <w:spacing w:after="0" w:line="145" w:lineRule="exact"/>
              <w:rPr>
                <w:sz w:val="20"/>
                <w:szCs w:val="20"/>
                <w:color w:val="auto"/>
              </w:rPr>
            </w:pPr>
            <w:r>
              <w:rPr>
                <w:rFonts w:ascii="Arial" w:cs="Arial" w:eastAsia="Arial" w:hAnsi="Arial"/>
                <w:sz w:val="15"/>
                <w:szCs w:val="15"/>
                <w:color w:val="auto"/>
              </w:rPr>
              <w:t>100% vested</w:t>
            </w:r>
          </w:p>
        </w:tc>
        <w:tc>
          <w:tcPr>
            <w:tcW w:w="0" w:type="dxa"/>
            <w:vAlign w:val="bottom"/>
          </w:tcPr>
          <w:p>
            <w:pPr>
              <w:spacing w:after="0"/>
              <w:rPr>
                <w:sz w:val="1"/>
                <w:szCs w:val="1"/>
                <w:color w:val="auto"/>
              </w:rPr>
            </w:pPr>
          </w:p>
        </w:tc>
      </w:tr>
      <w:tr>
        <w:trPr>
          <w:trHeight w:val="200"/>
        </w:trPr>
        <w:tc>
          <w:tcPr>
            <w:tcW w:w="1940" w:type="dxa"/>
            <w:vAlign w:val="bottom"/>
            <w:tcBorders>
              <w:left w:val="single" w:sz="8" w:color="7F7F7F"/>
            </w:tcBorders>
            <w:vMerge w:val="restart"/>
            <w:shd w:val="clear" w:color="auto" w:fill="D8D8D8"/>
          </w:tcPr>
          <w:p>
            <w:pPr>
              <w:ind w:left="160"/>
              <w:spacing w:after="0"/>
              <w:rPr>
                <w:sz w:val="20"/>
                <w:szCs w:val="20"/>
                <w:color w:val="auto"/>
              </w:rPr>
            </w:pPr>
            <w:r>
              <w:rPr>
                <w:rFonts w:ascii="Arial" w:cs="Arial" w:eastAsia="Arial" w:hAnsi="Arial"/>
                <w:sz w:val="15"/>
                <w:szCs w:val="15"/>
                <w:color w:val="auto"/>
              </w:rPr>
              <w:t>Stock options</w:t>
            </w:r>
          </w:p>
        </w:tc>
        <w:tc>
          <w:tcPr>
            <w:tcW w:w="1960" w:type="dxa"/>
            <w:vAlign w:val="bottom"/>
            <w:vMerge w:val="restart"/>
            <w:shd w:val="clear" w:color="auto" w:fill="D8D8D8"/>
          </w:tcPr>
          <w:p>
            <w:pPr>
              <w:ind w:left="400"/>
              <w:spacing w:after="0"/>
              <w:rPr>
                <w:sz w:val="20"/>
                <w:szCs w:val="20"/>
                <w:color w:val="auto"/>
              </w:rPr>
            </w:pPr>
            <w:r>
              <w:rPr>
                <w:rFonts w:ascii="Arial" w:cs="Arial" w:eastAsia="Arial" w:hAnsi="Arial"/>
                <w:sz w:val="15"/>
                <w:szCs w:val="15"/>
                <w:color w:val="auto"/>
              </w:rPr>
              <w:t>Forfeit 100% of grant</w:t>
            </w:r>
          </w:p>
        </w:tc>
        <w:tc>
          <w:tcPr>
            <w:tcW w:w="1740" w:type="dxa"/>
            <w:vAlign w:val="bottom"/>
            <w:vMerge w:val="restart"/>
            <w:shd w:val="clear" w:color="auto" w:fill="D8D8D8"/>
          </w:tcPr>
          <w:p>
            <w:pPr>
              <w:ind w:left="120"/>
              <w:spacing w:after="0"/>
              <w:rPr>
                <w:sz w:val="20"/>
                <w:szCs w:val="20"/>
                <w:color w:val="auto"/>
              </w:rPr>
            </w:pPr>
            <w:r>
              <w:rPr>
                <w:rFonts w:ascii="Arial" w:cs="Arial" w:eastAsia="Arial" w:hAnsi="Arial"/>
                <w:sz w:val="15"/>
                <w:szCs w:val="15"/>
                <w:color w:val="auto"/>
              </w:rPr>
              <w:t>Forfeit 100% of grant</w:t>
            </w:r>
          </w:p>
        </w:tc>
        <w:tc>
          <w:tcPr>
            <w:tcW w:w="60" w:type="dxa"/>
            <w:vAlign w:val="bottom"/>
            <w:shd w:val="clear" w:color="auto" w:fill="D8D8D8"/>
          </w:tcPr>
          <w:p>
            <w:pPr>
              <w:spacing w:after="0"/>
              <w:rPr>
                <w:sz w:val="17"/>
                <w:szCs w:val="17"/>
                <w:color w:val="auto"/>
              </w:rPr>
            </w:pPr>
          </w:p>
        </w:tc>
        <w:tc>
          <w:tcPr>
            <w:tcW w:w="2040" w:type="dxa"/>
            <w:vAlign w:val="bottom"/>
            <w:shd w:val="clear" w:color="auto" w:fill="D8D8D8"/>
          </w:tcPr>
          <w:p>
            <w:pPr>
              <w:jc w:val="center"/>
              <w:spacing w:after="0"/>
              <w:rPr>
                <w:sz w:val="20"/>
                <w:szCs w:val="20"/>
                <w:color w:val="auto"/>
              </w:rPr>
            </w:pPr>
            <w:r>
              <w:rPr>
                <w:rFonts w:ascii="Arial" w:cs="Arial" w:eastAsia="Arial" w:hAnsi="Arial"/>
                <w:sz w:val="15"/>
                <w:szCs w:val="15"/>
                <w:color w:val="auto"/>
              </w:rPr>
              <w:t>unvested grant</w:t>
            </w:r>
          </w:p>
        </w:tc>
        <w:tc>
          <w:tcPr>
            <w:tcW w:w="1920" w:type="dxa"/>
            <w:vAlign w:val="bottom"/>
            <w:shd w:val="clear" w:color="auto" w:fill="D8D8D8"/>
          </w:tcPr>
          <w:p>
            <w:pPr>
              <w:spacing w:after="0"/>
              <w:rPr>
                <w:sz w:val="17"/>
                <w:szCs w:val="17"/>
                <w:color w:val="auto"/>
              </w:rPr>
            </w:pPr>
          </w:p>
        </w:tc>
        <w:tc>
          <w:tcPr>
            <w:tcW w:w="1300" w:type="dxa"/>
            <w:vAlign w:val="bottom"/>
            <w:tcBorders>
              <w:right w:val="single" w:sz="8" w:color="7F7F7F"/>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40" w:type="dxa"/>
            <w:vAlign w:val="bottom"/>
            <w:tcBorders>
              <w:left w:val="single" w:sz="8" w:color="7F7F7F"/>
            </w:tcBorders>
            <w:vMerge w:val="continue"/>
            <w:shd w:val="clear" w:color="auto" w:fill="D8D8D8"/>
          </w:tcPr>
          <w:p>
            <w:pPr>
              <w:spacing w:after="0"/>
              <w:rPr>
                <w:sz w:val="14"/>
                <w:szCs w:val="14"/>
                <w:color w:val="auto"/>
              </w:rPr>
            </w:pPr>
          </w:p>
        </w:tc>
        <w:tc>
          <w:tcPr>
            <w:tcW w:w="1960" w:type="dxa"/>
            <w:vAlign w:val="bottom"/>
            <w:vMerge w:val="continue"/>
            <w:shd w:val="clear" w:color="auto" w:fill="D8D8D8"/>
          </w:tcPr>
          <w:p>
            <w:pPr>
              <w:spacing w:after="0"/>
              <w:rPr>
                <w:sz w:val="14"/>
                <w:szCs w:val="14"/>
                <w:color w:val="auto"/>
              </w:rPr>
            </w:pPr>
          </w:p>
        </w:tc>
        <w:tc>
          <w:tcPr>
            <w:tcW w:w="1740" w:type="dxa"/>
            <w:vAlign w:val="bottom"/>
            <w:vMerge w:val="continue"/>
            <w:shd w:val="clear" w:color="auto" w:fill="D8D8D8"/>
          </w:tcPr>
          <w:p>
            <w:pPr>
              <w:spacing w:after="0"/>
              <w:rPr>
                <w:sz w:val="14"/>
                <w:szCs w:val="14"/>
                <w:color w:val="auto"/>
              </w:rPr>
            </w:pPr>
          </w:p>
        </w:tc>
        <w:tc>
          <w:tcPr>
            <w:tcW w:w="60" w:type="dxa"/>
            <w:vAlign w:val="bottom"/>
            <w:shd w:val="clear" w:color="auto" w:fill="D8D8D8"/>
          </w:tcPr>
          <w:p>
            <w:pPr>
              <w:spacing w:after="0"/>
              <w:rPr>
                <w:sz w:val="14"/>
                <w:szCs w:val="14"/>
                <w:color w:val="auto"/>
              </w:rPr>
            </w:pPr>
          </w:p>
        </w:tc>
        <w:tc>
          <w:tcPr>
            <w:tcW w:w="2040" w:type="dxa"/>
            <w:vAlign w:val="bottom"/>
            <w:vMerge w:val="restart"/>
            <w:shd w:val="clear" w:color="auto" w:fill="D8D8D8"/>
          </w:tcPr>
          <w:p>
            <w:pPr>
              <w:jc w:val="center"/>
              <w:spacing w:after="0"/>
              <w:rPr>
                <w:sz w:val="20"/>
                <w:szCs w:val="20"/>
                <w:color w:val="auto"/>
              </w:rPr>
            </w:pPr>
            <w:r>
              <w:rPr>
                <w:rFonts w:ascii="Arial" w:cs="Arial" w:eastAsia="Arial" w:hAnsi="Arial"/>
                <w:sz w:val="15"/>
                <w:szCs w:val="15"/>
                <w:color w:val="auto"/>
              </w:rPr>
              <w:t>180 days from termination</w:t>
            </w:r>
          </w:p>
        </w:tc>
        <w:tc>
          <w:tcPr>
            <w:tcW w:w="1920" w:type="dxa"/>
            <w:vAlign w:val="bottom"/>
            <w:vMerge w:val="restart"/>
            <w:shd w:val="clear" w:color="auto" w:fill="D8D8D8"/>
          </w:tcPr>
          <w:p>
            <w:pPr>
              <w:jc w:val="center"/>
              <w:spacing w:after="0"/>
              <w:rPr>
                <w:sz w:val="20"/>
                <w:szCs w:val="20"/>
                <w:color w:val="auto"/>
              </w:rPr>
            </w:pPr>
            <w:r>
              <w:rPr>
                <w:rFonts w:ascii="Arial" w:cs="Arial" w:eastAsia="Arial" w:hAnsi="Arial"/>
                <w:sz w:val="15"/>
                <w:szCs w:val="15"/>
                <w:color w:val="auto"/>
              </w:rPr>
              <w:t>5 years from termination</w:t>
            </w:r>
          </w:p>
        </w:tc>
        <w:tc>
          <w:tcPr>
            <w:tcW w:w="1300" w:type="dxa"/>
            <w:vAlign w:val="bottom"/>
            <w:tcBorders>
              <w:right w:val="single" w:sz="8" w:color="7F7F7F"/>
            </w:tcBorders>
            <w:vMerge w:val="restart"/>
            <w:shd w:val="clear" w:color="auto" w:fill="D8D8D8"/>
          </w:tcPr>
          <w:p>
            <w:pPr>
              <w:jc w:val="center"/>
              <w:spacing w:after="0"/>
              <w:rPr>
                <w:sz w:val="20"/>
                <w:szCs w:val="20"/>
                <w:color w:val="auto"/>
              </w:rPr>
            </w:pPr>
            <w:r>
              <w:rPr>
                <w:rFonts w:ascii="Arial" w:cs="Arial" w:eastAsia="Arial" w:hAnsi="Arial"/>
                <w:sz w:val="15"/>
                <w:szCs w:val="15"/>
                <w:color w:val="auto"/>
              </w:rPr>
              <w:t>Remaining term</w:t>
            </w:r>
          </w:p>
        </w:tc>
        <w:tc>
          <w:tcPr>
            <w:tcW w:w="0" w:type="dxa"/>
            <w:vAlign w:val="bottom"/>
          </w:tcPr>
          <w:p>
            <w:pPr>
              <w:spacing w:after="0"/>
              <w:rPr>
                <w:sz w:val="1"/>
                <w:szCs w:val="1"/>
                <w:color w:val="auto"/>
              </w:rPr>
            </w:pPr>
          </w:p>
        </w:tc>
      </w:tr>
      <w:tr>
        <w:trPr>
          <w:trHeight w:val="83"/>
        </w:trPr>
        <w:tc>
          <w:tcPr>
            <w:tcW w:w="1940" w:type="dxa"/>
            <w:vAlign w:val="bottom"/>
            <w:tcBorders>
              <w:left w:val="single" w:sz="8" w:color="7F7F7F"/>
            </w:tcBorders>
            <w:shd w:val="clear" w:color="auto" w:fill="D8D8D8"/>
          </w:tcPr>
          <w:p>
            <w:pPr>
              <w:spacing w:after="0"/>
              <w:rPr>
                <w:sz w:val="7"/>
                <w:szCs w:val="7"/>
                <w:color w:val="auto"/>
              </w:rPr>
            </w:pPr>
          </w:p>
        </w:tc>
        <w:tc>
          <w:tcPr>
            <w:tcW w:w="1960" w:type="dxa"/>
            <w:vAlign w:val="bottom"/>
            <w:shd w:val="clear" w:color="auto" w:fill="D8D8D8"/>
          </w:tcPr>
          <w:p>
            <w:pPr>
              <w:spacing w:after="0"/>
              <w:rPr>
                <w:sz w:val="7"/>
                <w:szCs w:val="7"/>
                <w:color w:val="auto"/>
              </w:rPr>
            </w:pPr>
          </w:p>
        </w:tc>
        <w:tc>
          <w:tcPr>
            <w:tcW w:w="1740" w:type="dxa"/>
            <w:vAlign w:val="bottom"/>
            <w:shd w:val="clear" w:color="auto" w:fill="D8D8D8"/>
          </w:tcPr>
          <w:p>
            <w:pPr>
              <w:spacing w:after="0"/>
              <w:rPr>
                <w:sz w:val="7"/>
                <w:szCs w:val="7"/>
                <w:color w:val="auto"/>
              </w:rPr>
            </w:pPr>
          </w:p>
        </w:tc>
        <w:tc>
          <w:tcPr>
            <w:tcW w:w="60" w:type="dxa"/>
            <w:vAlign w:val="bottom"/>
            <w:shd w:val="clear" w:color="auto" w:fill="D8D8D8"/>
          </w:tcPr>
          <w:p>
            <w:pPr>
              <w:spacing w:after="0"/>
              <w:rPr>
                <w:sz w:val="7"/>
                <w:szCs w:val="7"/>
                <w:color w:val="auto"/>
              </w:rPr>
            </w:pPr>
          </w:p>
        </w:tc>
        <w:tc>
          <w:tcPr>
            <w:tcW w:w="2040" w:type="dxa"/>
            <w:vAlign w:val="bottom"/>
            <w:vMerge w:val="continue"/>
            <w:shd w:val="clear" w:color="auto" w:fill="D8D8D8"/>
          </w:tcPr>
          <w:p>
            <w:pPr>
              <w:spacing w:after="0"/>
              <w:rPr>
                <w:sz w:val="7"/>
                <w:szCs w:val="7"/>
                <w:color w:val="auto"/>
              </w:rPr>
            </w:pPr>
          </w:p>
        </w:tc>
        <w:tc>
          <w:tcPr>
            <w:tcW w:w="1920" w:type="dxa"/>
            <w:vAlign w:val="bottom"/>
            <w:vMerge w:val="continue"/>
            <w:shd w:val="clear" w:color="auto" w:fill="D8D8D8"/>
          </w:tcPr>
          <w:p>
            <w:pPr>
              <w:spacing w:after="0"/>
              <w:rPr>
                <w:sz w:val="7"/>
                <w:szCs w:val="7"/>
                <w:color w:val="auto"/>
              </w:rPr>
            </w:pPr>
          </w:p>
        </w:tc>
        <w:tc>
          <w:tcPr>
            <w:tcW w:w="1300" w:type="dxa"/>
            <w:vAlign w:val="bottom"/>
            <w:tcBorders>
              <w:right w:val="single" w:sz="8" w:color="7F7F7F"/>
            </w:tcBorders>
            <w:vMerge w:val="continue"/>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1940" w:type="dxa"/>
            <w:vAlign w:val="bottom"/>
            <w:tcBorders>
              <w:left w:val="single" w:sz="8" w:color="7F7F7F"/>
              <w:bottom w:val="single" w:sz="8" w:color="D8D8D8"/>
            </w:tcBorders>
            <w:shd w:val="clear" w:color="auto" w:fill="D8D8D8"/>
          </w:tcPr>
          <w:p>
            <w:pPr>
              <w:spacing w:after="0"/>
              <w:rPr>
                <w:sz w:val="18"/>
                <w:szCs w:val="18"/>
                <w:color w:val="auto"/>
              </w:rPr>
            </w:pPr>
          </w:p>
        </w:tc>
        <w:tc>
          <w:tcPr>
            <w:tcW w:w="1960" w:type="dxa"/>
            <w:vAlign w:val="bottom"/>
            <w:tcBorders>
              <w:bottom w:val="single" w:sz="8" w:color="D8D8D8"/>
            </w:tcBorders>
            <w:shd w:val="clear" w:color="auto" w:fill="D8D8D8"/>
          </w:tcPr>
          <w:p>
            <w:pPr>
              <w:spacing w:after="0"/>
              <w:rPr>
                <w:sz w:val="18"/>
                <w:szCs w:val="18"/>
                <w:color w:val="auto"/>
              </w:rPr>
            </w:pPr>
          </w:p>
        </w:tc>
        <w:tc>
          <w:tcPr>
            <w:tcW w:w="1740" w:type="dxa"/>
            <w:vAlign w:val="bottom"/>
            <w:tcBorders>
              <w:bottom w:val="single" w:sz="8" w:color="D8D8D8"/>
            </w:tcBorders>
            <w:shd w:val="clear" w:color="auto" w:fill="D8D8D8"/>
          </w:tcPr>
          <w:p>
            <w:pPr>
              <w:spacing w:after="0"/>
              <w:rPr>
                <w:sz w:val="18"/>
                <w:szCs w:val="18"/>
                <w:color w:val="auto"/>
              </w:rPr>
            </w:pPr>
          </w:p>
        </w:tc>
        <w:tc>
          <w:tcPr>
            <w:tcW w:w="60" w:type="dxa"/>
            <w:vAlign w:val="bottom"/>
            <w:tcBorders>
              <w:bottom w:val="single" w:sz="8" w:color="D8D8D8"/>
            </w:tcBorders>
            <w:shd w:val="clear" w:color="auto" w:fill="D8D8D8"/>
          </w:tcPr>
          <w:p>
            <w:pPr>
              <w:spacing w:after="0"/>
              <w:rPr>
                <w:sz w:val="18"/>
                <w:szCs w:val="18"/>
                <w:color w:val="auto"/>
              </w:rPr>
            </w:pPr>
          </w:p>
        </w:tc>
        <w:tc>
          <w:tcPr>
            <w:tcW w:w="204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5"/>
                <w:szCs w:val="15"/>
                <w:color w:val="auto"/>
              </w:rPr>
              <w:t>to exercise</w:t>
            </w:r>
            <w:r>
              <w:rPr>
                <w:rFonts w:ascii="Arial" w:cs="Arial" w:eastAsia="Arial" w:hAnsi="Arial"/>
                <w:sz w:val="13"/>
                <w:szCs w:val="13"/>
                <w:color w:val="auto"/>
              </w:rPr>
              <w:t>(3)</w:t>
            </w:r>
          </w:p>
        </w:tc>
        <w:tc>
          <w:tcPr>
            <w:tcW w:w="192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5"/>
                <w:szCs w:val="15"/>
                <w:color w:val="auto"/>
              </w:rPr>
              <w:t>to exercise</w:t>
            </w:r>
            <w:r>
              <w:rPr>
                <w:rFonts w:ascii="Arial" w:cs="Arial" w:eastAsia="Arial" w:hAnsi="Arial"/>
                <w:sz w:val="13"/>
                <w:szCs w:val="13"/>
                <w:color w:val="auto"/>
              </w:rPr>
              <w:t>(3)</w:t>
            </w:r>
          </w:p>
        </w:tc>
        <w:tc>
          <w:tcPr>
            <w:tcW w:w="1300" w:type="dxa"/>
            <w:vAlign w:val="bottom"/>
            <w:tcBorders>
              <w:bottom w:val="single" w:sz="8" w:color="D8D8D8"/>
              <w:right w:val="single" w:sz="8" w:color="7F7F7F"/>
            </w:tcBorders>
            <w:shd w:val="clear" w:color="auto" w:fill="D8D8D8"/>
          </w:tcPr>
          <w:p>
            <w:pPr>
              <w:jc w:val="center"/>
              <w:spacing w:after="0"/>
              <w:rPr>
                <w:sz w:val="20"/>
                <w:szCs w:val="20"/>
                <w:color w:val="auto"/>
              </w:rPr>
            </w:pPr>
            <w:r>
              <w:rPr>
                <w:rFonts w:ascii="Arial" w:cs="Arial" w:eastAsia="Arial" w:hAnsi="Arial"/>
                <w:sz w:val="15"/>
                <w:szCs w:val="15"/>
                <w:color w:val="auto"/>
              </w:rPr>
              <w:t>to exercise</w:t>
            </w:r>
          </w:p>
        </w:tc>
        <w:tc>
          <w:tcPr>
            <w:tcW w:w="0" w:type="dxa"/>
            <w:vAlign w:val="bottom"/>
          </w:tcPr>
          <w:p>
            <w:pPr>
              <w:spacing w:after="0"/>
              <w:rPr>
                <w:sz w:val="1"/>
                <w:szCs w:val="1"/>
                <w:color w:val="auto"/>
              </w:rPr>
            </w:pPr>
          </w:p>
        </w:tc>
      </w:tr>
      <w:tr>
        <w:trPr>
          <w:trHeight w:val="20"/>
        </w:trPr>
        <w:tc>
          <w:tcPr>
            <w:tcW w:w="1940" w:type="dxa"/>
            <w:vAlign w:val="bottom"/>
            <w:tcBorders>
              <w:left w:val="single" w:sz="8" w:color="7F7F7F"/>
            </w:tcBorders>
            <w:shd w:val="clear" w:color="auto" w:fill="7F7F7F"/>
          </w:tcPr>
          <w:p>
            <w:pPr>
              <w:spacing w:after="0" w:line="20" w:lineRule="exact"/>
              <w:rPr>
                <w:sz w:val="1"/>
                <w:szCs w:val="1"/>
                <w:color w:val="auto"/>
              </w:rPr>
            </w:pPr>
          </w:p>
        </w:tc>
        <w:tc>
          <w:tcPr>
            <w:tcW w:w="1960" w:type="dxa"/>
            <w:vAlign w:val="bottom"/>
            <w:shd w:val="clear" w:color="auto" w:fill="7F7F7F"/>
          </w:tcPr>
          <w:p>
            <w:pPr>
              <w:spacing w:after="0" w:line="20" w:lineRule="exact"/>
              <w:rPr>
                <w:sz w:val="1"/>
                <w:szCs w:val="1"/>
                <w:color w:val="auto"/>
              </w:rPr>
            </w:pPr>
          </w:p>
        </w:tc>
        <w:tc>
          <w:tcPr>
            <w:tcW w:w="1740" w:type="dxa"/>
            <w:vAlign w:val="bottom"/>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2040" w:type="dxa"/>
            <w:vAlign w:val="bottom"/>
            <w:shd w:val="clear" w:color="auto" w:fill="7F7F7F"/>
          </w:tcPr>
          <w:p>
            <w:pPr>
              <w:spacing w:after="0" w:line="20" w:lineRule="exact"/>
              <w:rPr>
                <w:sz w:val="1"/>
                <w:szCs w:val="1"/>
                <w:color w:val="auto"/>
              </w:rPr>
            </w:pPr>
          </w:p>
        </w:tc>
        <w:tc>
          <w:tcPr>
            <w:tcW w:w="1920" w:type="dxa"/>
            <w:vAlign w:val="bottom"/>
            <w:shd w:val="clear" w:color="auto" w:fill="7F7F7F"/>
          </w:tcPr>
          <w:p>
            <w:pPr>
              <w:spacing w:after="0" w:line="20" w:lineRule="exact"/>
              <w:rPr>
                <w:sz w:val="1"/>
                <w:szCs w:val="1"/>
                <w:color w:val="auto"/>
              </w:rPr>
            </w:pPr>
          </w:p>
        </w:tc>
        <w:tc>
          <w:tcPr>
            <w:tcW w:w="1300" w:type="dxa"/>
            <w:vAlign w:val="bottom"/>
            <w:tcBorders>
              <w:right w:val="single" w:sz="8" w:color="7F7F7F"/>
            </w:tcBorders>
            <w:shd w:val="clear" w:color="auto" w:fill="7F7F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-1293495</wp:posOffset>
            </wp:positionV>
            <wp:extent cx="334327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92" w:lineRule="exact"/>
        <w:rPr>
          <w:sz w:val="20"/>
          <w:szCs w:val="20"/>
          <w:color w:val="auto"/>
        </w:rPr>
      </w:pPr>
    </w:p>
    <w:p>
      <w:pPr>
        <w:ind w:left="540" w:right="20" w:hanging="424"/>
        <w:spacing w:after="0" w:line="252" w:lineRule="auto"/>
        <w:tabs>
          <w:tab w:leader="none" w:pos="5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For grants of awards during or after 2005 that have been exercised, or in the case of performance shares or RSUs, vested and paid, the Board of Directors has the ability to claw back any gains if an NEO engages in certain acts of misconduct, as described in our “Compensation Discussion and Analysis–Compensation Governance–Compensation Recovery Policies” in this Proxy Statement. Under the LTIP, “misconduct” is defined to include, among other things: embezzlement; fraud or theft; disclosure of confidential information or other acts that harm our business, reputation, or employees; misconduct resulting in Chevron having to prepare an accounting restatement; or failure to abide by post-termination agreements respecting confidentiality, noncompetition, or non-solicitation.</w:t>
      </w:r>
    </w:p>
    <w:p>
      <w:pPr>
        <w:spacing w:after="0" w:line="45" w:lineRule="exact"/>
        <w:rPr>
          <w:rFonts w:ascii="Arial" w:cs="Arial" w:eastAsia="Arial" w:hAnsi="Arial"/>
          <w:sz w:val="14"/>
          <w:szCs w:val="14"/>
          <w:color w:val="auto"/>
        </w:rPr>
      </w:pPr>
    </w:p>
    <w:p>
      <w:pPr>
        <w:ind w:left="540" w:hanging="424"/>
        <w:spacing w:after="0"/>
        <w:tabs>
          <w:tab w:leader="none" w:pos="5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For the 2017 and later grants, one must remain employed through the January 31 that is one year after the grant date.</w:t>
      </w:r>
    </w:p>
    <w:p>
      <w:pPr>
        <w:spacing w:after="0" w:line="82" w:lineRule="exact"/>
        <w:rPr>
          <w:rFonts w:ascii="Arial" w:cs="Arial" w:eastAsia="Arial" w:hAnsi="Arial"/>
          <w:sz w:val="14"/>
          <w:szCs w:val="14"/>
          <w:color w:val="auto"/>
        </w:rPr>
      </w:pPr>
    </w:p>
    <w:p>
      <w:pPr>
        <w:ind w:left="540" w:hanging="424"/>
        <w:spacing w:after="0"/>
        <w:tabs>
          <w:tab w:leader="none" w:pos="5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Or the remaining term, if less.</w:t>
      </w:r>
    </w:p>
    <w:p>
      <w:pPr>
        <w:spacing w:after="0" w:line="82" w:lineRule="exact"/>
        <w:rPr>
          <w:rFonts w:ascii="Arial" w:cs="Arial" w:eastAsia="Arial" w:hAnsi="Arial"/>
          <w:sz w:val="14"/>
          <w:szCs w:val="14"/>
          <w:color w:val="auto"/>
        </w:rPr>
      </w:pPr>
    </w:p>
    <w:p>
      <w:pPr>
        <w:ind w:left="540" w:hanging="424"/>
        <w:spacing w:after="0"/>
        <w:tabs>
          <w:tab w:leader="none" w:pos="5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Award based on and paid at the end of the performance or vesting period.</w:t>
      </w:r>
    </w:p>
    <w:p>
      <w:pPr>
        <w:spacing w:after="0" w:line="82" w:lineRule="exact"/>
        <w:rPr>
          <w:rFonts w:ascii="Arial" w:cs="Arial" w:eastAsia="Arial" w:hAnsi="Arial"/>
          <w:sz w:val="14"/>
          <w:szCs w:val="14"/>
          <w:color w:val="auto"/>
        </w:rPr>
      </w:pPr>
    </w:p>
    <w:p>
      <w:pPr>
        <w:ind w:left="540" w:hanging="424"/>
        <w:spacing w:after="0" w:line="285" w:lineRule="auto"/>
        <w:tabs>
          <w:tab w:leader="none" w:pos="5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Standard RSUs are subject to forfeiture, prorated or 100% vested depending on points/age. Additional RSUs, if any, that are not standard RSU awards, are forfeited if not employed through the vesting date, regardless of points/age.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Chevron Corporation – 2022 Proxy Statement</w:t>
      </w:r>
    </w:p>
    <w:p>
      <w:pPr>
        <w:sectPr>
          <w:pgSz w:w="11900" w:h="16838" w:orient="portrait"/>
          <w:cols w:equalWidth="0" w:num="1">
            <w:col w:w="11080"/>
          </w:cols>
          <w:pgMar w:left="320" w:top="455" w:right="499" w:bottom="1440" w:gutter="0" w:footer="0" w:header="0"/>
        </w:sectPr>
      </w:pPr>
    </w:p>
    <w:p>
      <w:pPr>
        <w:spacing w:after="0" w:line="67"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1080"/>
          </w:cols>
          <w:pgMar w:left="320" w:top="455" w:right="499" w:bottom="1440" w:gutter="0" w:footer="0" w:header="0"/>
          <w:type w:val="continuous"/>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208280</wp:posOffset>
            </wp:positionV>
            <wp:extent cx="1474470" cy="1454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474470" cy="145415"/>
                    </a:xfrm>
                    <a:prstGeom prst="rect">
                      <a:avLst/>
                    </a:prstGeom>
                    <a:noFill/>
                  </pic:spPr>
                </pic:pic>
              </a:graphicData>
            </a:graphic>
          </wp:anchor>
        </w:drawing>
      </w:r>
    </w:p>
    <w:p>
      <w:pPr>
        <w:spacing w:after="0" w:line="339"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FFFFFF"/>
        </w:rPr>
        <w:t>Executive compensation</w:t>
      </w:r>
    </w:p>
    <w:p>
      <w:pPr>
        <w:spacing w:after="0" w:line="172"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In the table that follows, we have assumed that each NEO terminated their employment for reasons other than for misconduct on December 31, 2021. Amounts reported do not include the value of vested and unexercised stock options reported in the “Outstanding Equity Awards at 2021 Fiscal Year-End” table, performance shares or RSUs that vested in 2021 as reported in the “Option Exercises and Stock Vested in Fiscal Year 2021” table, or accrued retirement and other benefits reported in the “Pension Benefits Table” and “Nonqualified Deferred Compensation Table” in this Proxy Statement.</w:t>
      </w:r>
    </w:p>
    <w:p>
      <w:pPr>
        <w:spacing w:after="0" w:line="178"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We also do not include benefits that would be available generally to all or substantially all salaried employees on the U.S. payroll and do not discriminate in scope, terms or operations in favor of our NEOs, such as accrued vacation, group life insurance, post-retirement health care, and the ESIP.</w:t>
      </w:r>
    </w:p>
    <w:p>
      <w:pPr>
        <w:jc w:val="center"/>
        <w:ind w:right="-159"/>
        <w:spacing w:after="0" w:line="235" w:lineRule="auto"/>
        <w:rPr>
          <w:sz w:val="20"/>
          <w:szCs w:val="20"/>
          <w:color w:val="auto"/>
        </w:rPr>
      </w:pPr>
      <w:r>
        <w:rPr>
          <w:rFonts w:ascii="Arial" w:cs="Arial" w:eastAsia="Arial" w:hAnsi="Arial"/>
          <w:sz w:val="16"/>
          <w:szCs w:val="16"/>
          <w:b w:val="1"/>
          <w:bCs w:val="1"/>
          <w:color w:val="FFFFFF"/>
        </w:rPr>
        <w:t>Benefits and payments upon termination for any reason other than for misconduct</w:t>
      </w:r>
      <w:r>
        <w:rPr>
          <w:rFonts w:ascii="Arial" w:cs="Arial" w:eastAsia="Arial" w:hAnsi="Arial"/>
          <w:sz w:val="27"/>
          <w:szCs w:val="27"/>
          <w:b w:val="1"/>
          <w:bCs w:val="1"/>
          <w:color w:val="FFFFF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-144780</wp:posOffset>
            </wp:positionV>
            <wp:extent cx="6960870" cy="14490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60870" cy="1449070"/>
                    </a:xfrm>
                    <a:prstGeom prst="rect">
                      <a:avLst/>
                    </a:prstGeom>
                    <a:noFill/>
                  </pic:spPr>
                </pic:pic>
              </a:graphicData>
            </a:graphic>
          </wp:anchor>
        </w:drawing>
      </w:r>
    </w:p>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1900" w:type="dxa"/>
            <w:vAlign w:val="bottom"/>
            <w:shd w:val="clear" w:color="auto" w:fill="0066B2"/>
          </w:tcPr>
          <w:p>
            <w:pPr>
              <w:spacing w:after="0"/>
              <w:rPr>
                <w:sz w:val="16"/>
                <w:szCs w:val="16"/>
                <w:color w:val="auto"/>
              </w:rPr>
            </w:pPr>
          </w:p>
        </w:tc>
        <w:tc>
          <w:tcPr>
            <w:tcW w:w="1780" w:type="dxa"/>
            <w:vAlign w:val="bottom"/>
            <w:shd w:val="clear" w:color="auto" w:fill="0066B2"/>
          </w:tcPr>
          <w:p>
            <w:pPr>
              <w:spacing w:after="0"/>
              <w:rPr>
                <w:sz w:val="16"/>
                <w:szCs w:val="16"/>
                <w:color w:val="auto"/>
              </w:rPr>
            </w:pPr>
          </w:p>
        </w:tc>
        <w:tc>
          <w:tcPr>
            <w:tcW w:w="480" w:type="dxa"/>
            <w:vAlign w:val="bottom"/>
            <w:shd w:val="clear" w:color="auto" w:fill="0066B2"/>
          </w:tcPr>
          <w:p>
            <w:pPr>
              <w:spacing w:after="0"/>
              <w:rPr>
                <w:sz w:val="16"/>
                <w:szCs w:val="16"/>
                <w:color w:val="auto"/>
              </w:rPr>
            </w:pPr>
          </w:p>
        </w:tc>
        <w:tc>
          <w:tcPr>
            <w:tcW w:w="940" w:type="dxa"/>
            <w:vAlign w:val="bottom"/>
            <w:shd w:val="clear" w:color="auto" w:fill="0066B2"/>
          </w:tcPr>
          <w:p>
            <w:pPr>
              <w:spacing w:after="0"/>
              <w:rPr>
                <w:sz w:val="16"/>
                <w:szCs w:val="16"/>
                <w:color w:val="auto"/>
              </w:rPr>
            </w:pPr>
          </w:p>
        </w:tc>
        <w:tc>
          <w:tcPr>
            <w:tcW w:w="280" w:type="dxa"/>
            <w:vAlign w:val="bottom"/>
            <w:shd w:val="clear" w:color="auto" w:fill="0066B2"/>
          </w:tcPr>
          <w:p>
            <w:pPr>
              <w:spacing w:after="0"/>
              <w:rPr>
                <w:sz w:val="16"/>
                <w:szCs w:val="16"/>
                <w:color w:val="auto"/>
              </w:rPr>
            </w:pPr>
          </w:p>
        </w:tc>
        <w:tc>
          <w:tcPr>
            <w:tcW w:w="4300" w:type="dxa"/>
            <w:vAlign w:val="bottom"/>
            <w:gridSpan w:val="5"/>
            <w:shd w:val="clear" w:color="auto" w:fill="0066B2"/>
          </w:tcPr>
          <w:p>
            <w:pPr>
              <w:jc w:val="center"/>
              <w:ind w:right="119"/>
              <w:spacing w:after="0"/>
              <w:rPr>
                <w:sz w:val="20"/>
                <w:szCs w:val="20"/>
                <w:color w:val="auto"/>
              </w:rPr>
            </w:pPr>
            <w:r>
              <w:rPr>
                <w:rFonts w:ascii="Arial" w:cs="Arial" w:eastAsia="Arial" w:hAnsi="Arial"/>
                <w:sz w:val="16"/>
                <w:szCs w:val="16"/>
                <w:b w:val="1"/>
                <w:bCs w:val="1"/>
                <w:color w:val="FFFFFF"/>
              </w:rPr>
              <w:t>Long-term incentives unvested and</w:t>
            </w:r>
          </w:p>
        </w:tc>
        <w:tc>
          <w:tcPr>
            <w:tcW w:w="380" w:type="dxa"/>
            <w:vAlign w:val="bottom"/>
            <w:shd w:val="clear" w:color="auto" w:fill="0066B2"/>
          </w:tcPr>
          <w:p>
            <w:pPr>
              <w:spacing w:after="0"/>
              <w:rPr>
                <w:sz w:val="16"/>
                <w:szCs w:val="16"/>
                <w:color w:val="auto"/>
              </w:rPr>
            </w:pPr>
          </w:p>
        </w:tc>
        <w:tc>
          <w:tcPr>
            <w:tcW w:w="880" w:type="dxa"/>
            <w:vAlign w:val="bottom"/>
            <w:shd w:val="clear" w:color="auto" w:fill="0066B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900" w:type="dxa"/>
            <w:vAlign w:val="bottom"/>
            <w:shd w:val="clear" w:color="auto" w:fill="0066B2"/>
          </w:tcPr>
          <w:p>
            <w:pPr>
              <w:spacing w:after="0"/>
              <w:rPr>
                <w:sz w:val="19"/>
                <w:szCs w:val="19"/>
                <w:color w:val="auto"/>
              </w:rPr>
            </w:pPr>
          </w:p>
        </w:tc>
        <w:tc>
          <w:tcPr>
            <w:tcW w:w="1780" w:type="dxa"/>
            <w:vAlign w:val="bottom"/>
            <w:shd w:val="clear" w:color="auto" w:fill="0066B2"/>
          </w:tcPr>
          <w:p>
            <w:pPr>
              <w:spacing w:after="0"/>
              <w:rPr>
                <w:sz w:val="19"/>
                <w:szCs w:val="19"/>
                <w:color w:val="auto"/>
              </w:rPr>
            </w:pPr>
          </w:p>
        </w:tc>
        <w:tc>
          <w:tcPr>
            <w:tcW w:w="480" w:type="dxa"/>
            <w:vAlign w:val="bottom"/>
            <w:shd w:val="clear" w:color="auto" w:fill="0066B2"/>
          </w:tcPr>
          <w:p>
            <w:pPr>
              <w:spacing w:after="0"/>
              <w:rPr>
                <w:sz w:val="19"/>
                <w:szCs w:val="19"/>
                <w:color w:val="auto"/>
              </w:rPr>
            </w:pPr>
          </w:p>
        </w:tc>
        <w:tc>
          <w:tcPr>
            <w:tcW w:w="940" w:type="dxa"/>
            <w:vAlign w:val="bottom"/>
            <w:shd w:val="clear" w:color="auto" w:fill="0066B2"/>
          </w:tcPr>
          <w:p>
            <w:pPr>
              <w:spacing w:after="0"/>
              <w:rPr>
                <w:sz w:val="19"/>
                <w:szCs w:val="19"/>
                <w:color w:val="auto"/>
              </w:rPr>
            </w:pPr>
          </w:p>
        </w:tc>
        <w:tc>
          <w:tcPr>
            <w:tcW w:w="280" w:type="dxa"/>
            <w:vAlign w:val="bottom"/>
            <w:shd w:val="clear" w:color="auto" w:fill="0066B2"/>
          </w:tcPr>
          <w:p>
            <w:pPr>
              <w:spacing w:after="0"/>
              <w:rPr>
                <w:sz w:val="19"/>
                <w:szCs w:val="19"/>
                <w:color w:val="auto"/>
              </w:rPr>
            </w:pPr>
          </w:p>
        </w:tc>
        <w:tc>
          <w:tcPr>
            <w:tcW w:w="4300" w:type="dxa"/>
            <w:vAlign w:val="bottom"/>
            <w:gridSpan w:val="5"/>
            <w:shd w:val="clear" w:color="auto" w:fill="0066B2"/>
          </w:tcPr>
          <w:p>
            <w:pPr>
              <w:jc w:val="center"/>
              <w:ind w:right="119"/>
              <w:spacing w:after="0" w:line="220" w:lineRule="exact"/>
              <w:rPr>
                <w:sz w:val="20"/>
                <w:szCs w:val="20"/>
                <w:color w:val="auto"/>
              </w:rPr>
            </w:pPr>
            <w:r>
              <w:rPr>
                <w:rFonts w:ascii="Arial" w:cs="Arial" w:eastAsia="Arial" w:hAnsi="Arial"/>
                <w:sz w:val="15"/>
                <w:szCs w:val="15"/>
                <w:b w:val="1"/>
                <w:bCs w:val="1"/>
                <w:color w:val="FFFFFF"/>
              </w:rPr>
              <w:t>deemed vested due to termination</w:t>
            </w:r>
            <w:r>
              <w:rPr>
                <w:rFonts w:ascii="Arial" w:cs="Arial" w:eastAsia="Arial" w:hAnsi="Arial"/>
                <w:sz w:val="25"/>
                <w:szCs w:val="25"/>
                <w:b w:val="1"/>
                <w:bCs w:val="1"/>
                <w:color w:val="FFFFFF"/>
                <w:vertAlign w:val="superscript"/>
              </w:rPr>
              <w:t>(2)</w:t>
            </w:r>
          </w:p>
        </w:tc>
        <w:tc>
          <w:tcPr>
            <w:tcW w:w="380" w:type="dxa"/>
            <w:vAlign w:val="bottom"/>
            <w:shd w:val="clear" w:color="auto" w:fill="0066B2"/>
          </w:tcPr>
          <w:p>
            <w:pPr>
              <w:spacing w:after="0"/>
              <w:rPr>
                <w:sz w:val="19"/>
                <w:szCs w:val="19"/>
                <w:color w:val="auto"/>
              </w:rPr>
            </w:pPr>
          </w:p>
        </w:tc>
        <w:tc>
          <w:tcPr>
            <w:tcW w:w="880" w:type="dxa"/>
            <w:vAlign w:val="bottom"/>
            <w:shd w:val="clear" w:color="auto" w:fill="0066B2"/>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900" w:type="dxa"/>
            <w:vAlign w:val="bottom"/>
            <w:shd w:val="clear" w:color="auto" w:fill="0066B2"/>
          </w:tcPr>
          <w:p>
            <w:pPr>
              <w:spacing w:after="0"/>
              <w:rPr>
                <w:sz w:val="16"/>
                <w:szCs w:val="16"/>
                <w:color w:val="auto"/>
              </w:rPr>
            </w:pPr>
          </w:p>
        </w:tc>
        <w:tc>
          <w:tcPr>
            <w:tcW w:w="1780" w:type="dxa"/>
            <w:vAlign w:val="bottom"/>
            <w:shd w:val="clear" w:color="auto" w:fill="0066B2"/>
          </w:tcPr>
          <w:p>
            <w:pPr>
              <w:spacing w:after="0"/>
              <w:rPr>
                <w:sz w:val="16"/>
                <w:szCs w:val="16"/>
                <w:color w:val="auto"/>
              </w:rPr>
            </w:pPr>
          </w:p>
        </w:tc>
        <w:tc>
          <w:tcPr>
            <w:tcW w:w="480" w:type="dxa"/>
            <w:vAlign w:val="bottom"/>
            <w:shd w:val="clear" w:color="auto" w:fill="0066B2"/>
          </w:tcPr>
          <w:p>
            <w:pPr>
              <w:spacing w:after="0"/>
              <w:rPr>
                <w:sz w:val="16"/>
                <w:szCs w:val="16"/>
                <w:color w:val="auto"/>
              </w:rPr>
            </w:pPr>
          </w:p>
        </w:tc>
        <w:tc>
          <w:tcPr>
            <w:tcW w:w="940" w:type="dxa"/>
            <w:vAlign w:val="bottom"/>
            <w:shd w:val="clear" w:color="auto" w:fill="0066B2"/>
          </w:tcPr>
          <w:p>
            <w:pPr>
              <w:spacing w:after="0"/>
              <w:rPr>
                <w:sz w:val="16"/>
                <w:szCs w:val="16"/>
                <w:color w:val="auto"/>
              </w:rPr>
            </w:pPr>
          </w:p>
        </w:tc>
        <w:tc>
          <w:tcPr>
            <w:tcW w:w="280" w:type="dxa"/>
            <w:vAlign w:val="bottom"/>
            <w:shd w:val="clear" w:color="auto" w:fill="0066B2"/>
          </w:tcPr>
          <w:p>
            <w:pPr>
              <w:spacing w:after="0"/>
              <w:rPr>
                <w:sz w:val="16"/>
                <w:szCs w:val="16"/>
                <w:color w:val="auto"/>
              </w:rPr>
            </w:pPr>
          </w:p>
        </w:tc>
        <w:tc>
          <w:tcPr>
            <w:tcW w:w="1260" w:type="dxa"/>
            <w:vAlign w:val="bottom"/>
            <w:shd w:val="clear" w:color="auto" w:fill="0066B2"/>
          </w:tcPr>
          <w:p>
            <w:pPr>
              <w:jc w:val="right"/>
              <w:ind w:right="180"/>
              <w:spacing w:after="0"/>
              <w:rPr>
                <w:sz w:val="20"/>
                <w:szCs w:val="20"/>
                <w:color w:val="auto"/>
              </w:rPr>
            </w:pPr>
            <w:r>
              <w:rPr>
                <w:rFonts w:ascii="Arial" w:cs="Arial" w:eastAsia="Arial" w:hAnsi="Arial"/>
                <w:sz w:val="16"/>
                <w:szCs w:val="16"/>
                <w:b w:val="1"/>
                <w:bCs w:val="1"/>
                <w:color w:val="FFFFFF"/>
              </w:rPr>
              <w:t>Performance</w:t>
            </w:r>
          </w:p>
        </w:tc>
        <w:tc>
          <w:tcPr>
            <w:tcW w:w="400" w:type="dxa"/>
            <w:vAlign w:val="bottom"/>
            <w:shd w:val="clear" w:color="auto" w:fill="0066B2"/>
          </w:tcPr>
          <w:p>
            <w:pPr>
              <w:spacing w:after="0"/>
              <w:rPr>
                <w:sz w:val="16"/>
                <w:szCs w:val="16"/>
                <w:color w:val="auto"/>
              </w:rPr>
            </w:pPr>
          </w:p>
        </w:tc>
        <w:tc>
          <w:tcPr>
            <w:tcW w:w="1180" w:type="dxa"/>
            <w:vAlign w:val="bottom"/>
            <w:shd w:val="clear" w:color="auto" w:fill="0066B2"/>
          </w:tcPr>
          <w:p>
            <w:pPr>
              <w:spacing w:after="0"/>
              <w:rPr>
                <w:sz w:val="16"/>
                <w:szCs w:val="16"/>
                <w:color w:val="auto"/>
              </w:rPr>
            </w:pPr>
          </w:p>
        </w:tc>
        <w:tc>
          <w:tcPr>
            <w:tcW w:w="340" w:type="dxa"/>
            <w:vAlign w:val="bottom"/>
            <w:shd w:val="clear" w:color="auto" w:fill="0066B2"/>
          </w:tcPr>
          <w:p>
            <w:pPr>
              <w:spacing w:after="0"/>
              <w:rPr>
                <w:sz w:val="16"/>
                <w:szCs w:val="16"/>
                <w:color w:val="auto"/>
              </w:rPr>
            </w:pPr>
          </w:p>
        </w:tc>
        <w:tc>
          <w:tcPr>
            <w:tcW w:w="1120" w:type="dxa"/>
            <w:vAlign w:val="bottom"/>
            <w:shd w:val="clear" w:color="auto" w:fill="0066B2"/>
          </w:tcPr>
          <w:p>
            <w:pPr>
              <w:jc w:val="right"/>
              <w:ind w:right="419"/>
              <w:spacing w:after="0"/>
              <w:rPr>
                <w:sz w:val="20"/>
                <w:szCs w:val="20"/>
                <w:color w:val="auto"/>
              </w:rPr>
            </w:pPr>
            <w:r>
              <w:rPr>
                <w:rFonts w:ascii="Arial" w:cs="Arial" w:eastAsia="Arial" w:hAnsi="Arial"/>
                <w:sz w:val="16"/>
                <w:szCs w:val="16"/>
                <w:b w:val="1"/>
                <w:bCs w:val="1"/>
                <w:color w:val="FFFFFF"/>
              </w:rPr>
              <w:t>Stock</w:t>
            </w:r>
          </w:p>
        </w:tc>
        <w:tc>
          <w:tcPr>
            <w:tcW w:w="1260" w:type="dxa"/>
            <w:vAlign w:val="bottom"/>
            <w:gridSpan w:val="2"/>
            <w:vMerge w:val="restart"/>
            <w:shd w:val="clear" w:color="auto" w:fill="0066B2"/>
          </w:tcPr>
          <w:p>
            <w:pPr>
              <w:ind w:left="180"/>
              <w:spacing w:after="0"/>
              <w:rPr>
                <w:sz w:val="20"/>
                <w:szCs w:val="20"/>
                <w:color w:val="auto"/>
              </w:rPr>
            </w:pPr>
            <w:r>
              <w:rPr>
                <w:rFonts w:ascii="Arial" w:cs="Arial" w:eastAsia="Arial" w:hAnsi="Arial"/>
                <w:sz w:val="16"/>
                <w:szCs w:val="16"/>
                <w:b w:val="1"/>
                <w:bCs w:val="1"/>
                <w:color w:val="FFFFFF"/>
              </w:rPr>
              <w:t>Benefits</w:t>
            </w:r>
            <w:r>
              <w:rPr>
                <w:rFonts w:ascii="Arial" w:cs="Arial" w:eastAsia="Arial" w:hAnsi="Arial"/>
                <w:sz w:val="27"/>
                <w:szCs w:val="27"/>
                <w:b w:val="1"/>
                <w:bCs w:val="1"/>
                <w:color w:val="FFFFFF"/>
                <w:vertAlign w:val="superscript"/>
              </w:rPr>
              <w:t>(3)</w:t>
            </w:r>
          </w:p>
        </w:tc>
        <w:tc>
          <w:tcPr>
            <w:tcW w:w="0" w:type="dxa"/>
            <w:vAlign w:val="bottom"/>
          </w:tcPr>
          <w:p>
            <w:pPr>
              <w:spacing w:after="0"/>
              <w:rPr>
                <w:sz w:val="1"/>
                <w:szCs w:val="1"/>
                <w:color w:val="auto"/>
              </w:rPr>
            </w:pPr>
          </w:p>
        </w:tc>
      </w:tr>
      <w:tr>
        <w:trPr>
          <w:trHeight w:val="203"/>
        </w:trPr>
        <w:tc>
          <w:tcPr>
            <w:tcW w:w="1900" w:type="dxa"/>
            <w:vAlign w:val="bottom"/>
            <w:shd w:val="clear" w:color="auto" w:fill="0066B2"/>
          </w:tcPr>
          <w:p>
            <w:pPr>
              <w:ind w:left="140"/>
              <w:spacing w:after="0"/>
              <w:rPr>
                <w:sz w:val="20"/>
                <w:szCs w:val="20"/>
                <w:color w:val="auto"/>
              </w:rPr>
            </w:pPr>
            <w:r>
              <w:rPr>
                <w:rFonts w:ascii="Arial" w:cs="Arial" w:eastAsia="Arial" w:hAnsi="Arial"/>
                <w:sz w:val="16"/>
                <w:szCs w:val="16"/>
                <w:b w:val="1"/>
                <w:bCs w:val="1"/>
                <w:color w:val="FFFFFF"/>
              </w:rPr>
              <w:t>Name</w:t>
            </w:r>
          </w:p>
        </w:tc>
        <w:tc>
          <w:tcPr>
            <w:tcW w:w="1780" w:type="dxa"/>
            <w:vAlign w:val="bottom"/>
            <w:shd w:val="clear" w:color="auto" w:fill="0066B2"/>
          </w:tcPr>
          <w:p>
            <w:pPr>
              <w:jc w:val="center"/>
              <w:ind w:left="599"/>
              <w:spacing w:after="0"/>
              <w:rPr>
                <w:sz w:val="20"/>
                <w:szCs w:val="20"/>
                <w:color w:val="auto"/>
              </w:rPr>
            </w:pPr>
            <w:r>
              <w:rPr>
                <w:rFonts w:ascii="Arial" w:cs="Arial" w:eastAsia="Arial" w:hAnsi="Arial"/>
                <w:sz w:val="16"/>
                <w:szCs w:val="16"/>
                <w:b w:val="1"/>
                <w:bCs w:val="1"/>
                <w:color w:val="FFFFFF"/>
              </w:rPr>
              <w:t>Base salary</w:t>
            </w:r>
          </w:p>
        </w:tc>
        <w:tc>
          <w:tcPr>
            <w:tcW w:w="480" w:type="dxa"/>
            <w:vAlign w:val="bottom"/>
            <w:shd w:val="clear" w:color="auto" w:fill="0066B2"/>
          </w:tcPr>
          <w:p>
            <w:pPr>
              <w:jc w:val="center"/>
              <w:spacing w:after="0"/>
              <w:rPr>
                <w:sz w:val="20"/>
                <w:szCs w:val="20"/>
                <w:color w:val="auto"/>
              </w:rPr>
            </w:pPr>
            <w:r>
              <w:rPr>
                <w:rFonts w:ascii="Arial" w:cs="Arial" w:eastAsia="Arial" w:hAnsi="Arial"/>
                <w:sz w:val="16"/>
                <w:szCs w:val="16"/>
                <w:b w:val="1"/>
                <w:bCs w:val="1"/>
                <w:color w:val="FFFFFF"/>
                <w:w w:val="97"/>
              </w:rPr>
              <w:t>CIP</w:t>
            </w:r>
          </w:p>
        </w:tc>
        <w:tc>
          <w:tcPr>
            <w:tcW w:w="940" w:type="dxa"/>
            <w:vAlign w:val="bottom"/>
            <w:shd w:val="clear" w:color="auto" w:fill="0066B2"/>
          </w:tcPr>
          <w:p>
            <w:pPr>
              <w:jc w:val="center"/>
              <w:ind w:left="19"/>
              <w:spacing w:after="0"/>
              <w:rPr>
                <w:sz w:val="20"/>
                <w:szCs w:val="20"/>
                <w:color w:val="auto"/>
              </w:rPr>
            </w:pPr>
            <w:r>
              <w:rPr>
                <w:rFonts w:ascii="Arial" w:cs="Arial" w:eastAsia="Arial" w:hAnsi="Arial"/>
                <w:sz w:val="16"/>
                <w:szCs w:val="16"/>
                <w:b w:val="1"/>
                <w:bCs w:val="1"/>
                <w:color w:val="FFFFFF"/>
                <w:w w:val="99"/>
              </w:rPr>
              <w:t>Severance</w:t>
            </w:r>
          </w:p>
        </w:tc>
        <w:tc>
          <w:tcPr>
            <w:tcW w:w="280" w:type="dxa"/>
            <w:vAlign w:val="bottom"/>
            <w:shd w:val="clear" w:color="auto" w:fill="0066B2"/>
          </w:tcPr>
          <w:p>
            <w:pPr>
              <w:spacing w:after="0"/>
              <w:rPr>
                <w:sz w:val="17"/>
                <w:szCs w:val="17"/>
                <w:color w:val="auto"/>
              </w:rPr>
            </w:pPr>
          </w:p>
        </w:tc>
        <w:tc>
          <w:tcPr>
            <w:tcW w:w="1260" w:type="dxa"/>
            <w:vAlign w:val="bottom"/>
            <w:shd w:val="clear" w:color="auto" w:fill="0066B2"/>
          </w:tcPr>
          <w:p>
            <w:pPr>
              <w:jc w:val="right"/>
              <w:ind w:right="400"/>
              <w:spacing w:after="0"/>
              <w:rPr>
                <w:sz w:val="20"/>
                <w:szCs w:val="20"/>
                <w:color w:val="auto"/>
              </w:rPr>
            </w:pPr>
            <w:r>
              <w:rPr>
                <w:rFonts w:ascii="Arial" w:cs="Arial" w:eastAsia="Arial" w:hAnsi="Arial"/>
                <w:sz w:val="16"/>
                <w:szCs w:val="16"/>
                <w:b w:val="1"/>
                <w:bCs w:val="1"/>
                <w:color w:val="FFFFFF"/>
              </w:rPr>
              <w:t>shares</w:t>
            </w:r>
          </w:p>
        </w:tc>
        <w:tc>
          <w:tcPr>
            <w:tcW w:w="400" w:type="dxa"/>
            <w:vAlign w:val="bottom"/>
            <w:shd w:val="clear" w:color="auto" w:fill="0066B2"/>
          </w:tcPr>
          <w:p>
            <w:pPr>
              <w:spacing w:after="0"/>
              <w:rPr>
                <w:sz w:val="17"/>
                <w:szCs w:val="17"/>
                <w:color w:val="auto"/>
              </w:rPr>
            </w:pPr>
          </w:p>
        </w:tc>
        <w:tc>
          <w:tcPr>
            <w:tcW w:w="1180" w:type="dxa"/>
            <w:vAlign w:val="bottom"/>
            <w:shd w:val="clear" w:color="auto" w:fill="0066B2"/>
          </w:tcPr>
          <w:p>
            <w:pPr>
              <w:jc w:val="center"/>
              <w:ind w:right="319"/>
              <w:spacing w:after="0"/>
              <w:rPr>
                <w:sz w:val="20"/>
                <w:szCs w:val="20"/>
                <w:color w:val="auto"/>
              </w:rPr>
            </w:pPr>
            <w:r>
              <w:rPr>
                <w:rFonts w:ascii="Arial" w:cs="Arial" w:eastAsia="Arial" w:hAnsi="Arial"/>
                <w:sz w:val="16"/>
                <w:szCs w:val="16"/>
                <w:b w:val="1"/>
                <w:bCs w:val="1"/>
                <w:color w:val="FFFFFF"/>
                <w:w w:val="98"/>
              </w:rPr>
              <w:t>RSUs</w:t>
            </w:r>
          </w:p>
        </w:tc>
        <w:tc>
          <w:tcPr>
            <w:tcW w:w="340" w:type="dxa"/>
            <w:vAlign w:val="bottom"/>
            <w:shd w:val="clear" w:color="auto" w:fill="0066B2"/>
          </w:tcPr>
          <w:p>
            <w:pPr>
              <w:spacing w:after="0"/>
              <w:rPr>
                <w:sz w:val="17"/>
                <w:szCs w:val="17"/>
                <w:color w:val="auto"/>
              </w:rPr>
            </w:pPr>
          </w:p>
        </w:tc>
        <w:tc>
          <w:tcPr>
            <w:tcW w:w="1120" w:type="dxa"/>
            <w:vAlign w:val="bottom"/>
            <w:shd w:val="clear" w:color="auto" w:fill="0066B2"/>
          </w:tcPr>
          <w:p>
            <w:pPr>
              <w:jc w:val="right"/>
              <w:ind w:right="339"/>
              <w:spacing w:after="0"/>
              <w:rPr>
                <w:sz w:val="20"/>
                <w:szCs w:val="20"/>
                <w:color w:val="auto"/>
              </w:rPr>
            </w:pPr>
            <w:r>
              <w:rPr>
                <w:rFonts w:ascii="Arial" w:cs="Arial" w:eastAsia="Arial" w:hAnsi="Arial"/>
                <w:sz w:val="16"/>
                <w:szCs w:val="16"/>
                <w:b w:val="1"/>
                <w:bCs w:val="1"/>
                <w:color w:val="FFFFFF"/>
              </w:rPr>
              <w:t>options</w:t>
            </w:r>
          </w:p>
        </w:tc>
        <w:tc>
          <w:tcPr>
            <w:tcW w:w="1260" w:type="dxa"/>
            <w:vAlign w:val="bottom"/>
            <w:gridSpan w:val="2"/>
            <w:vMerge w:val="continue"/>
            <w:shd w:val="clear" w:color="auto" w:fill="0066B2"/>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900" w:type="dxa"/>
            <w:vAlign w:val="bottom"/>
            <w:shd w:val="clear" w:color="auto" w:fill="D8D8D8"/>
          </w:tcPr>
          <w:p>
            <w:pPr>
              <w:ind w:left="140"/>
              <w:spacing w:after="0"/>
              <w:rPr>
                <w:sz w:val="20"/>
                <w:szCs w:val="20"/>
                <w:color w:val="auto"/>
              </w:rPr>
            </w:pPr>
            <w:r>
              <w:rPr>
                <w:rFonts w:ascii="Arial" w:cs="Arial" w:eastAsia="Arial" w:hAnsi="Arial"/>
                <w:sz w:val="16"/>
                <w:szCs w:val="16"/>
                <w:color w:val="auto"/>
              </w:rPr>
              <w:t>M.K. Wirth</w:t>
            </w:r>
          </w:p>
        </w:tc>
        <w:tc>
          <w:tcPr>
            <w:tcW w:w="1780" w:type="dxa"/>
            <w:vAlign w:val="bottom"/>
            <w:shd w:val="clear" w:color="auto" w:fill="D8D8D8"/>
          </w:tcPr>
          <w:p>
            <w:pPr>
              <w:jc w:val="center"/>
              <w:ind w:left="599"/>
              <w:spacing w:after="0"/>
              <w:rPr>
                <w:sz w:val="20"/>
                <w:szCs w:val="20"/>
                <w:color w:val="auto"/>
              </w:rPr>
            </w:pPr>
            <w:r>
              <w:rPr>
                <w:rFonts w:ascii="Arial" w:cs="Arial" w:eastAsia="Arial" w:hAnsi="Arial"/>
                <w:sz w:val="16"/>
                <w:szCs w:val="16"/>
                <w:color w:val="auto"/>
              </w:rPr>
              <w:t>–</w:t>
            </w:r>
          </w:p>
        </w:tc>
        <w:tc>
          <w:tcPr>
            <w:tcW w:w="48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w:t>
            </w:r>
          </w:p>
        </w:tc>
        <w:tc>
          <w:tcPr>
            <w:tcW w:w="940" w:type="dxa"/>
            <w:vAlign w:val="bottom"/>
            <w:shd w:val="clear" w:color="auto" w:fill="D8D8D8"/>
          </w:tcPr>
          <w:p>
            <w:pPr>
              <w:jc w:val="center"/>
              <w:ind w:left="19"/>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D8D8D8"/>
          </w:tcPr>
          <w:p>
            <w:pPr>
              <w:jc w:val="right"/>
              <w:ind w:right="80"/>
              <w:spacing w:after="0"/>
              <w:rPr>
                <w:sz w:val="20"/>
                <w:szCs w:val="20"/>
                <w:color w:val="auto"/>
              </w:rPr>
            </w:pPr>
            <w:r>
              <w:rPr>
                <w:rFonts w:ascii="Arial" w:cs="Arial" w:eastAsia="Arial" w:hAnsi="Arial"/>
                <w:sz w:val="16"/>
                <w:szCs w:val="16"/>
                <w:color w:val="auto"/>
              </w:rPr>
              <w:t>9,172,841</w:t>
            </w:r>
          </w:p>
        </w:tc>
        <w:tc>
          <w:tcPr>
            <w:tcW w:w="400" w:type="dxa"/>
            <w:vAlign w:val="bottom"/>
            <w:shd w:val="clear" w:color="auto" w:fill="D8D8D8"/>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8D8D8"/>
          </w:tcPr>
          <w:p>
            <w:pPr>
              <w:jc w:val="right"/>
              <w:ind w:right="79"/>
              <w:spacing w:after="0"/>
              <w:rPr>
                <w:sz w:val="20"/>
                <w:szCs w:val="20"/>
                <w:color w:val="auto"/>
              </w:rPr>
            </w:pPr>
            <w:r>
              <w:rPr>
                <w:rFonts w:ascii="Arial" w:cs="Arial" w:eastAsia="Arial" w:hAnsi="Arial"/>
                <w:sz w:val="16"/>
                <w:szCs w:val="16"/>
                <w:color w:val="auto"/>
              </w:rPr>
              <w:t>13,728,700</w:t>
            </w:r>
          </w:p>
        </w:tc>
        <w:tc>
          <w:tcPr>
            <w:tcW w:w="34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1,729,880</w:t>
            </w:r>
          </w:p>
        </w:tc>
        <w:tc>
          <w:tcPr>
            <w:tcW w:w="380" w:type="dxa"/>
            <w:vAlign w:val="bottom"/>
            <w:shd w:val="clear" w:color="auto" w:fill="D8D8D8"/>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shd w:val="clear" w:color="auto" w:fill="D8D8D8"/>
          </w:tcPr>
          <w:p>
            <w:pPr>
              <w:ind w:left="180"/>
              <w:spacing w:after="0"/>
              <w:rPr>
                <w:sz w:val="20"/>
                <w:szCs w:val="20"/>
                <w:color w:val="auto"/>
              </w:rPr>
            </w:pPr>
            <w:r>
              <w:rPr>
                <w:rFonts w:ascii="Arial" w:cs="Arial" w:eastAsia="Arial" w:hAnsi="Arial"/>
                <w:sz w:val="16"/>
                <w:szCs w:val="16"/>
                <w:color w:val="auto"/>
              </w:rPr>
              <w:t>40,000</w:t>
            </w:r>
          </w:p>
        </w:tc>
        <w:tc>
          <w:tcPr>
            <w:tcW w:w="0" w:type="dxa"/>
            <w:vAlign w:val="bottom"/>
          </w:tcPr>
          <w:p>
            <w:pPr>
              <w:spacing w:after="0"/>
              <w:rPr>
                <w:sz w:val="1"/>
                <w:szCs w:val="1"/>
                <w:color w:val="auto"/>
              </w:rPr>
            </w:pPr>
          </w:p>
        </w:tc>
      </w:tr>
      <w:tr>
        <w:trPr>
          <w:trHeight w:val="235"/>
        </w:trPr>
        <w:tc>
          <w:tcPr>
            <w:tcW w:w="1900" w:type="dxa"/>
            <w:vAlign w:val="bottom"/>
          </w:tcPr>
          <w:p>
            <w:pPr>
              <w:ind w:left="140"/>
              <w:spacing w:after="0"/>
              <w:rPr>
                <w:sz w:val="20"/>
                <w:szCs w:val="20"/>
                <w:color w:val="auto"/>
              </w:rPr>
            </w:pPr>
            <w:r>
              <w:rPr>
                <w:rFonts w:ascii="Arial" w:cs="Arial" w:eastAsia="Arial" w:hAnsi="Arial"/>
                <w:sz w:val="16"/>
                <w:szCs w:val="16"/>
                <w:color w:val="auto"/>
              </w:rPr>
              <w:t>P.R. Breber</w:t>
            </w:r>
          </w:p>
        </w:tc>
        <w:tc>
          <w:tcPr>
            <w:tcW w:w="1780" w:type="dxa"/>
            <w:vAlign w:val="bottom"/>
          </w:tcPr>
          <w:p>
            <w:pPr>
              <w:jc w:val="center"/>
              <w:ind w:left="599"/>
              <w:spacing w:after="0"/>
              <w:rPr>
                <w:sz w:val="20"/>
                <w:szCs w:val="20"/>
                <w:color w:val="auto"/>
              </w:rPr>
            </w:pPr>
            <w:r>
              <w:rPr>
                <w:rFonts w:ascii="Arial" w:cs="Arial" w:eastAsia="Arial" w:hAnsi="Arial"/>
                <w:sz w:val="16"/>
                <w:szCs w:val="16"/>
                <w:color w:val="auto"/>
              </w:rPr>
              <w:t>–</w:t>
            </w:r>
          </w:p>
        </w:tc>
        <w:tc>
          <w:tcPr>
            <w:tcW w:w="480" w:type="dxa"/>
            <w:vAlign w:val="bottom"/>
          </w:tcPr>
          <w:p>
            <w:pPr>
              <w:jc w:val="center"/>
              <w:spacing w:after="0"/>
              <w:rPr>
                <w:sz w:val="20"/>
                <w:szCs w:val="20"/>
                <w:color w:val="auto"/>
              </w:rPr>
            </w:pPr>
            <w:r>
              <w:rPr>
                <w:rFonts w:ascii="Arial" w:cs="Arial" w:eastAsia="Arial" w:hAnsi="Arial"/>
                <w:sz w:val="16"/>
                <w:szCs w:val="16"/>
                <w:color w:val="auto"/>
              </w:rPr>
              <w:t>–</w:t>
            </w:r>
          </w:p>
        </w:tc>
        <w:tc>
          <w:tcPr>
            <w:tcW w:w="940" w:type="dxa"/>
            <w:vAlign w:val="bottom"/>
          </w:tcPr>
          <w:p>
            <w:pPr>
              <w:jc w:val="center"/>
              <w:ind w:left="19"/>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1,578,882</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3,027,857</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247,241</w:t>
            </w:r>
          </w:p>
        </w:tc>
        <w:tc>
          <w:tcPr>
            <w:tcW w:w="380" w:type="dxa"/>
            <w:vAlign w:val="bottom"/>
          </w:tcPr>
          <w:p>
            <w:pPr>
              <w:spacing w:after="0"/>
              <w:rPr>
                <w:sz w:val="20"/>
                <w:szCs w:val="20"/>
                <w:color w:val="auto"/>
              </w:rPr>
            </w:pPr>
          </w:p>
        </w:tc>
        <w:tc>
          <w:tcPr>
            <w:tcW w:w="880" w:type="dxa"/>
            <w:vAlign w:val="bottom"/>
          </w:tcPr>
          <w:p>
            <w:pPr>
              <w:ind w:lef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1900" w:type="dxa"/>
            <w:vAlign w:val="bottom"/>
            <w:shd w:val="clear" w:color="auto" w:fill="D8D8D8"/>
          </w:tcPr>
          <w:p>
            <w:pPr>
              <w:ind w:left="140"/>
              <w:spacing w:after="0"/>
              <w:rPr>
                <w:sz w:val="20"/>
                <w:szCs w:val="20"/>
                <w:color w:val="auto"/>
              </w:rPr>
            </w:pPr>
            <w:r>
              <w:rPr>
                <w:rFonts w:ascii="Arial" w:cs="Arial" w:eastAsia="Arial" w:hAnsi="Arial"/>
                <w:sz w:val="16"/>
                <w:szCs w:val="16"/>
                <w:color w:val="auto"/>
              </w:rPr>
              <w:t>J.W. Johnson</w:t>
            </w:r>
          </w:p>
        </w:tc>
        <w:tc>
          <w:tcPr>
            <w:tcW w:w="1780" w:type="dxa"/>
            <w:vAlign w:val="bottom"/>
            <w:shd w:val="clear" w:color="auto" w:fill="D8D8D8"/>
          </w:tcPr>
          <w:p>
            <w:pPr>
              <w:jc w:val="center"/>
              <w:ind w:left="599"/>
              <w:spacing w:after="0"/>
              <w:rPr>
                <w:sz w:val="20"/>
                <w:szCs w:val="20"/>
                <w:color w:val="auto"/>
              </w:rPr>
            </w:pPr>
            <w:r>
              <w:rPr>
                <w:rFonts w:ascii="Arial" w:cs="Arial" w:eastAsia="Arial" w:hAnsi="Arial"/>
                <w:sz w:val="16"/>
                <w:szCs w:val="16"/>
                <w:color w:val="auto"/>
              </w:rPr>
              <w:t>–</w:t>
            </w:r>
          </w:p>
        </w:tc>
        <w:tc>
          <w:tcPr>
            <w:tcW w:w="48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w:t>
            </w:r>
          </w:p>
        </w:tc>
        <w:tc>
          <w:tcPr>
            <w:tcW w:w="940" w:type="dxa"/>
            <w:vAlign w:val="bottom"/>
            <w:shd w:val="clear" w:color="auto" w:fill="D8D8D8"/>
          </w:tcPr>
          <w:p>
            <w:pPr>
              <w:jc w:val="center"/>
              <w:ind w:left="19"/>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D8D8D8"/>
          </w:tcPr>
          <w:p>
            <w:pPr>
              <w:jc w:val="right"/>
              <w:ind w:right="80"/>
              <w:spacing w:after="0"/>
              <w:rPr>
                <w:sz w:val="20"/>
                <w:szCs w:val="20"/>
                <w:color w:val="auto"/>
              </w:rPr>
            </w:pPr>
            <w:r>
              <w:rPr>
                <w:rFonts w:ascii="Arial" w:cs="Arial" w:eastAsia="Arial" w:hAnsi="Arial"/>
                <w:sz w:val="16"/>
                <w:szCs w:val="16"/>
                <w:color w:val="auto"/>
              </w:rPr>
              <w:t>3,076,337</w:t>
            </w:r>
          </w:p>
        </w:tc>
        <w:tc>
          <w:tcPr>
            <w:tcW w:w="400" w:type="dxa"/>
            <w:vAlign w:val="bottom"/>
            <w:shd w:val="clear" w:color="auto" w:fill="D8D8D8"/>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8D8D8"/>
          </w:tcPr>
          <w:p>
            <w:pPr>
              <w:jc w:val="right"/>
              <w:ind w:right="79"/>
              <w:spacing w:after="0"/>
              <w:rPr>
                <w:sz w:val="20"/>
                <w:szCs w:val="20"/>
                <w:color w:val="auto"/>
              </w:rPr>
            </w:pPr>
            <w:r>
              <w:rPr>
                <w:rFonts w:ascii="Arial" w:cs="Arial" w:eastAsia="Arial" w:hAnsi="Arial"/>
                <w:sz w:val="16"/>
                <w:szCs w:val="16"/>
                <w:color w:val="auto"/>
              </w:rPr>
              <w:t>5,771,951</w:t>
            </w:r>
          </w:p>
        </w:tc>
        <w:tc>
          <w:tcPr>
            <w:tcW w:w="34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582,950</w:t>
            </w:r>
          </w:p>
        </w:tc>
        <w:tc>
          <w:tcPr>
            <w:tcW w:w="380" w:type="dxa"/>
            <w:vAlign w:val="bottom"/>
            <w:shd w:val="clear" w:color="auto" w:fill="D8D8D8"/>
          </w:tcPr>
          <w:p>
            <w:pPr>
              <w:spacing w:after="0"/>
              <w:rPr>
                <w:sz w:val="21"/>
                <w:szCs w:val="21"/>
                <w:color w:val="auto"/>
              </w:rPr>
            </w:pPr>
          </w:p>
        </w:tc>
        <w:tc>
          <w:tcPr>
            <w:tcW w:w="880" w:type="dxa"/>
            <w:vAlign w:val="bottom"/>
            <w:shd w:val="clear" w:color="auto" w:fill="D8D8D8"/>
          </w:tcPr>
          <w:p>
            <w:pPr>
              <w:ind w:lef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1900" w:type="dxa"/>
            <w:vAlign w:val="bottom"/>
          </w:tcPr>
          <w:p>
            <w:pPr>
              <w:ind w:left="140"/>
              <w:spacing w:after="0"/>
              <w:rPr>
                <w:sz w:val="20"/>
                <w:szCs w:val="20"/>
                <w:color w:val="auto"/>
              </w:rPr>
            </w:pPr>
            <w:r>
              <w:rPr>
                <w:rFonts w:ascii="Arial" w:cs="Arial" w:eastAsia="Arial" w:hAnsi="Arial"/>
                <w:sz w:val="16"/>
                <w:szCs w:val="16"/>
                <w:color w:val="auto"/>
              </w:rPr>
              <w:t>J.C. Geagea</w:t>
            </w:r>
          </w:p>
        </w:tc>
        <w:tc>
          <w:tcPr>
            <w:tcW w:w="1780" w:type="dxa"/>
            <w:vAlign w:val="bottom"/>
          </w:tcPr>
          <w:p>
            <w:pPr>
              <w:jc w:val="center"/>
              <w:ind w:left="599"/>
              <w:spacing w:after="0"/>
              <w:rPr>
                <w:sz w:val="20"/>
                <w:szCs w:val="20"/>
                <w:color w:val="auto"/>
              </w:rPr>
            </w:pPr>
            <w:r>
              <w:rPr>
                <w:rFonts w:ascii="Arial" w:cs="Arial" w:eastAsia="Arial" w:hAnsi="Arial"/>
                <w:sz w:val="16"/>
                <w:szCs w:val="16"/>
                <w:color w:val="auto"/>
              </w:rPr>
              <w:t>–</w:t>
            </w:r>
          </w:p>
        </w:tc>
        <w:tc>
          <w:tcPr>
            <w:tcW w:w="480" w:type="dxa"/>
            <w:vAlign w:val="bottom"/>
          </w:tcPr>
          <w:p>
            <w:pPr>
              <w:jc w:val="center"/>
              <w:spacing w:after="0"/>
              <w:rPr>
                <w:sz w:val="20"/>
                <w:szCs w:val="20"/>
                <w:color w:val="auto"/>
              </w:rPr>
            </w:pPr>
            <w:r>
              <w:rPr>
                <w:rFonts w:ascii="Arial" w:cs="Arial" w:eastAsia="Arial" w:hAnsi="Arial"/>
                <w:sz w:val="16"/>
                <w:szCs w:val="16"/>
                <w:color w:val="auto"/>
              </w:rPr>
              <w:t>–</w:t>
            </w:r>
          </w:p>
        </w:tc>
        <w:tc>
          <w:tcPr>
            <w:tcW w:w="940" w:type="dxa"/>
            <w:vAlign w:val="bottom"/>
          </w:tcPr>
          <w:p>
            <w:pPr>
              <w:jc w:val="center"/>
              <w:ind w:left="19"/>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2,368,322</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4,445,335</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448,874</w:t>
            </w:r>
          </w:p>
        </w:tc>
        <w:tc>
          <w:tcPr>
            <w:tcW w:w="380" w:type="dxa"/>
            <w:vAlign w:val="bottom"/>
          </w:tcPr>
          <w:p>
            <w:pPr>
              <w:spacing w:after="0"/>
              <w:rPr>
                <w:sz w:val="20"/>
                <w:szCs w:val="20"/>
                <w:color w:val="auto"/>
              </w:rPr>
            </w:pPr>
          </w:p>
        </w:tc>
        <w:tc>
          <w:tcPr>
            <w:tcW w:w="880" w:type="dxa"/>
            <w:vAlign w:val="bottom"/>
          </w:tcPr>
          <w:p>
            <w:pPr>
              <w:ind w:lef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1900" w:type="dxa"/>
            <w:vAlign w:val="bottom"/>
            <w:shd w:val="clear" w:color="auto" w:fill="D8D8D8"/>
          </w:tcPr>
          <w:p>
            <w:pPr>
              <w:ind w:left="140"/>
              <w:spacing w:after="0"/>
              <w:rPr>
                <w:sz w:val="20"/>
                <w:szCs w:val="20"/>
                <w:color w:val="auto"/>
              </w:rPr>
            </w:pPr>
            <w:r>
              <w:rPr>
                <w:rFonts w:ascii="Arial" w:cs="Arial" w:eastAsia="Arial" w:hAnsi="Arial"/>
                <w:sz w:val="16"/>
                <w:szCs w:val="16"/>
                <w:color w:val="auto"/>
              </w:rPr>
              <w:t>M.A. Nelson</w:t>
            </w:r>
          </w:p>
        </w:tc>
        <w:tc>
          <w:tcPr>
            <w:tcW w:w="1780" w:type="dxa"/>
            <w:vAlign w:val="bottom"/>
            <w:shd w:val="clear" w:color="auto" w:fill="D8D8D8"/>
          </w:tcPr>
          <w:p>
            <w:pPr>
              <w:jc w:val="center"/>
              <w:ind w:left="599"/>
              <w:spacing w:after="0"/>
              <w:rPr>
                <w:sz w:val="20"/>
                <w:szCs w:val="20"/>
                <w:color w:val="auto"/>
              </w:rPr>
            </w:pPr>
            <w:r>
              <w:rPr>
                <w:rFonts w:ascii="Arial" w:cs="Arial" w:eastAsia="Arial" w:hAnsi="Arial"/>
                <w:sz w:val="16"/>
                <w:szCs w:val="16"/>
                <w:color w:val="auto"/>
              </w:rPr>
              <w:t>–</w:t>
            </w:r>
          </w:p>
        </w:tc>
        <w:tc>
          <w:tcPr>
            <w:tcW w:w="48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w:t>
            </w:r>
          </w:p>
        </w:tc>
        <w:tc>
          <w:tcPr>
            <w:tcW w:w="940" w:type="dxa"/>
            <w:vAlign w:val="bottom"/>
            <w:shd w:val="clear" w:color="auto" w:fill="D8D8D8"/>
          </w:tcPr>
          <w:p>
            <w:pPr>
              <w:jc w:val="center"/>
              <w:ind w:left="19"/>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D8D8D8"/>
          </w:tcPr>
          <w:p>
            <w:pPr>
              <w:jc w:val="right"/>
              <w:ind w:right="80"/>
              <w:spacing w:after="0"/>
              <w:rPr>
                <w:sz w:val="20"/>
                <w:szCs w:val="20"/>
                <w:color w:val="auto"/>
              </w:rPr>
            </w:pPr>
            <w:r>
              <w:rPr>
                <w:rFonts w:ascii="Arial" w:cs="Arial" w:eastAsia="Arial" w:hAnsi="Arial"/>
                <w:sz w:val="16"/>
                <w:szCs w:val="16"/>
                <w:color w:val="auto"/>
              </w:rPr>
              <w:t>2,368,322</w:t>
            </w:r>
          </w:p>
        </w:tc>
        <w:tc>
          <w:tcPr>
            <w:tcW w:w="400" w:type="dxa"/>
            <w:vAlign w:val="bottom"/>
            <w:shd w:val="clear" w:color="auto" w:fill="D8D8D8"/>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8D8D8"/>
          </w:tcPr>
          <w:p>
            <w:pPr>
              <w:jc w:val="right"/>
              <w:ind w:right="79"/>
              <w:spacing w:after="0"/>
              <w:rPr>
                <w:sz w:val="20"/>
                <w:szCs w:val="20"/>
                <w:color w:val="auto"/>
              </w:rPr>
            </w:pPr>
            <w:r>
              <w:rPr>
                <w:rFonts w:ascii="Arial" w:cs="Arial" w:eastAsia="Arial" w:hAnsi="Arial"/>
                <w:sz w:val="16"/>
                <w:szCs w:val="16"/>
                <w:color w:val="auto"/>
              </w:rPr>
              <w:t>3,165,842</w:t>
            </w:r>
          </w:p>
        </w:tc>
        <w:tc>
          <w:tcPr>
            <w:tcW w:w="34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448,874</w:t>
            </w:r>
          </w:p>
        </w:tc>
        <w:tc>
          <w:tcPr>
            <w:tcW w:w="380" w:type="dxa"/>
            <w:vAlign w:val="bottom"/>
            <w:shd w:val="clear" w:color="auto" w:fill="D8D8D8"/>
          </w:tcPr>
          <w:p>
            <w:pPr>
              <w:spacing w:after="0"/>
              <w:rPr>
                <w:sz w:val="21"/>
                <w:szCs w:val="21"/>
                <w:color w:val="auto"/>
              </w:rPr>
            </w:pPr>
          </w:p>
        </w:tc>
        <w:tc>
          <w:tcPr>
            <w:tcW w:w="880" w:type="dxa"/>
            <w:vAlign w:val="bottom"/>
            <w:shd w:val="clear" w:color="auto" w:fill="D8D8D8"/>
          </w:tcPr>
          <w:p>
            <w:pPr>
              <w:ind w:lef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40" w:hanging="424"/>
        <w:spacing w:after="0" w:line="271" w:lineRule="auto"/>
        <w:tabs>
          <w:tab w:leader="none" w:pos="5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Includes normal or early retirement and voluntary or involuntary (other than for misconduct) termination, including termination following a change-in-control. We do not maintain separate change-in-control programs for our NEOs.</w:t>
      </w:r>
    </w:p>
    <w:p>
      <w:pPr>
        <w:ind w:left="540" w:right="60" w:hanging="424"/>
        <w:spacing w:after="0" w:line="271" w:lineRule="auto"/>
        <w:tabs>
          <w:tab w:leader="none" w:pos="5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Reflects values of deemed vested stock options, performance shares, and standard RSUs under the LTIP, based on the number of points (sum of age and number of years of service) at the time of termination. All awards granted in 2021 are forfeited upon a termination in 2021.</w:t>
      </w:r>
    </w:p>
    <w:p>
      <w:pPr>
        <w:ind w:left="540"/>
        <w:spacing w:after="0"/>
        <w:rPr>
          <w:rFonts w:ascii="Arial" w:cs="Arial" w:eastAsia="Arial" w:hAnsi="Arial"/>
          <w:sz w:val="14"/>
          <w:szCs w:val="14"/>
          <w:color w:val="auto"/>
        </w:rPr>
      </w:pPr>
      <w:r>
        <w:rPr>
          <w:rFonts w:ascii="Arial" w:cs="Arial" w:eastAsia="Arial" w:hAnsi="Arial"/>
          <w:sz w:val="14"/>
          <w:szCs w:val="14"/>
          <w:b w:val="1"/>
          <w:bCs w:val="1"/>
          <w:color w:val="auto"/>
        </w:rPr>
        <w:t>Termination with more than 90 points</w:t>
      </w:r>
    </w:p>
    <w:p>
      <w:pPr>
        <w:spacing w:after="0" w:line="41" w:lineRule="exact"/>
        <w:rPr>
          <w:rFonts w:ascii="Arial" w:cs="Arial" w:eastAsia="Arial" w:hAnsi="Arial"/>
          <w:sz w:val="14"/>
          <w:szCs w:val="14"/>
          <w:color w:val="auto"/>
        </w:rPr>
      </w:pPr>
    </w:p>
    <w:p>
      <w:pPr>
        <w:ind w:left="540" w:right="120"/>
        <w:spacing w:after="0" w:line="256" w:lineRule="auto"/>
        <w:rPr>
          <w:rFonts w:ascii="Arial" w:cs="Arial" w:eastAsia="Arial" w:hAnsi="Arial"/>
          <w:sz w:val="14"/>
          <w:szCs w:val="14"/>
          <w:color w:val="auto"/>
        </w:rPr>
      </w:pPr>
      <w:r>
        <w:rPr>
          <w:rFonts w:ascii="Arial" w:cs="Arial" w:eastAsia="Arial" w:hAnsi="Arial"/>
          <w:sz w:val="14"/>
          <w:szCs w:val="14"/>
          <w:color w:val="auto"/>
        </w:rPr>
        <w:t>Messrs. Wirth, Johnson, Geagea and Nelson have more than 90 points. Termination with at least 90 points results in deemed vesting of unvested portions of grants that have met the minimum holding requirement, or the remaining 1/3 of the 2019 stock option grant, the remaining 2/3 of the 2020 stock option grant, 100% of the 2020 performance share grant, and 100% of the outstanding standard RSUs granted in 2017, 2018, 2019 and 2020. Vested stock options may be exercised through the remaining term of the option.</w:t>
      </w:r>
    </w:p>
    <w:p>
      <w:pPr>
        <w:spacing w:after="0" w:line="1"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4"/>
          <w:szCs w:val="14"/>
          <w:b w:val="1"/>
          <w:bCs w:val="1"/>
          <w:color w:val="auto"/>
        </w:rPr>
        <w:t>Termination with more than 75 points and less than 90 points</w:t>
      </w:r>
    </w:p>
    <w:p>
      <w:pPr>
        <w:spacing w:after="0" w:line="41" w:lineRule="exact"/>
        <w:rPr>
          <w:rFonts w:ascii="Arial" w:cs="Arial" w:eastAsia="Arial" w:hAnsi="Arial"/>
          <w:sz w:val="14"/>
          <w:szCs w:val="14"/>
          <w:color w:val="auto"/>
        </w:rPr>
      </w:pPr>
    </w:p>
    <w:p>
      <w:pPr>
        <w:ind w:left="540"/>
        <w:spacing w:after="0" w:line="250" w:lineRule="auto"/>
        <w:rPr>
          <w:rFonts w:ascii="Arial" w:cs="Arial" w:eastAsia="Arial" w:hAnsi="Arial"/>
          <w:sz w:val="14"/>
          <w:szCs w:val="14"/>
          <w:color w:val="auto"/>
        </w:rPr>
      </w:pPr>
      <w:r>
        <w:rPr>
          <w:rFonts w:ascii="Arial" w:cs="Arial" w:eastAsia="Arial" w:hAnsi="Arial"/>
          <w:sz w:val="14"/>
          <w:szCs w:val="14"/>
          <w:color w:val="auto"/>
        </w:rPr>
        <w:t>Mr. Breber has more than 75 points but less than 90 points, which results in pro-rata vesting of all unvested standard LTIP grants that have met the minimum holding requirement. Mr. Breber’s stock options vest based on the number of whole months from the grant date to December 31, 2021; vesting of 11/36 of his 2019 and 2020 grants is accelerated. Vested options may be exercised through December 31, 2026, or the 10th anniversary of the grant date, if earlier. Mr. Breber’s performance shares vest based on the number of whole months from the performance period start date to December 31, 2021, or 24/36 of his 2020 grant. Mr. Breber’s RSUs vest based on the number of whole months from the grant date to December 31, 2021, or 23/60 of his 2020 grant, and 35/60 of his 2019 grant, 47/60 of his 2018 grant and 59/60 of his 2017 grant, less any RSUs previously released under the grants.</w:t>
      </w:r>
    </w:p>
    <w:p>
      <w:pPr>
        <w:spacing w:after="0" w:line="6"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4"/>
          <w:szCs w:val="14"/>
          <w:b w:val="1"/>
          <w:bCs w:val="1"/>
          <w:color w:val="auto"/>
        </w:rPr>
        <w:t>Valuation of performance shares, RSUs and stock options</w:t>
      </w:r>
    </w:p>
    <w:p>
      <w:pPr>
        <w:spacing w:after="0" w:line="41" w:lineRule="exact"/>
        <w:rPr>
          <w:rFonts w:ascii="Arial" w:cs="Arial" w:eastAsia="Arial" w:hAnsi="Arial"/>
          <w:sz w:val="14"/>
          <w:szCs w:val="14"/>
          <w:color w:val="auto"/>
        </w:rPr>
      </w:pPr>
    </w:p>
    <w:p>
      <w:pPr>
        <w:ind w:left="540" w:right="40"/>
        <w:spacing w:after="0" w:line="252" w:lineRule="auto"/>
        <w:rPr>
          <w:rFonts w:ascii="Arial" w:cs="Arial" w:eastAsia="Arial" w:hAnsi="Arial"/>
          <w:sz w:val="14"/>
          <w:szCs w:val="14"/>
          <w:color w:val="auto"/>
        </w:rPr>
      </w:pPr>
      <w:r>
        <w:rPr>
          <w:rFonts w:ascii="Arial" w:cs="Arial" w:eastAsia="Arial" w:hAnsi="Arial"/>
          <w:sz w:val="14"/>
          <w:szCs w:val="14"/>
          <w:color w:val="auto"/>
        </w:rPr>
        <w:t>Performance share values for the 2020 grants are calculated based on $117.35, the December 31, 2021 closing price of Chevron common stock, and a performance modifier of 100%. Refer to footnote 2 of the “Option Exercises and Stock Vested in Fiscal Year 2021” table for a description of how we calculate the payout value of performance shares, as well as a summary of the amounts paid in February 2022 for the 2019 performance share grants. The modifier for the 2020 grant depends on Chevron’s TSR for the three-year performance period relative to the S&amp;P 500 Total Return Index and the TSR for our peer group of major oil competitors (BP, ExxonMobil, Shell and TotalEnergies), and ranges from 0 to 200% in increments of 40%.</w:t>
      </w:r>
    </w:p>
    <w:p>
      <w:pPr>
        <w:spacing w:after="0" w:line="5"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4"/>
          <w:szCs w:val="14"/>
          <w:color w:val="auto"/>
        </w:rPr>
        <w:t>Restricted stock unit values are calculated based on $117.35, the December 31, 2021 closing price of Chevron common stock.</w:t>
      </w:r>
    </w:p>
    <w:p>
      <w:pPr>
        <w:spacing w:after="0" w:line="41" w:lineRule="exact"/>
        <w:rPr>
          <w:rFonts w:ascii="Arial" w:cs="Arial" w:eastAsia="Arial" w:hAnsi="Arial"/>
          <w:sz w:val="14"/>
          <w:szCs w:val="14"/>
          <w:color w:val="auto"/>
        </w:rPr>
      </w:pPr>
    </w:p>
    <w:p>
      <w:pPr>
        <w:jc w:val="both"/>
        <w:ind w:left="540"/>
        <w:spacing w:after="0" w:line="261" w:lineRule="auto"/>
        <w:rPr>
          <w:rFonts w:ascii="Arial" w:cs="Arial" w:eastAsia="Arial" w:hAnsi="Arial"/>
          <w:sz w:val="14"/>
          <w:szCs w:val="14"/>
          <w:color w:val="auto"/>
        </w:rPr>
      </w:pPr>
      <w:r>
        <w:rPr>
          <w:rFonts w:ascii="Arial" w:cs="Arial" w:eastAsia="Arial" w:hAnsi="Arial"/>
          <w:sz w:val="14"/>
          <w:szCs w:val="14"/>
          <w:color w:val="auto"/>
        </w:rPr>
        <w:t>Stock option values are calculated based on the difference between $117.35, the December 31, 2021 closing price of Chevron common stock, and the option exercise price as reported in the “Outstanding Equity Awards at 2021 Fiscal Year-End” table in this Proxy Statement, multiplied by the deemed vested stock options. The value of previously vested stock options is calculated in a similar manner.</w:t>
      </w:r>
    </w:p>
    <w:p>
      <w:pPr>
        <w:spacing w:after="0" w:line="1" w:lineRule="exact"/>
        <w:rPr>
          <w:rFonts w:ascii="Arial" w:cs="Arial" w:eastAsia="Arial" w:hAnsi="Arial"/>
          <w:sz w:val="14"/>
          <w:szCs w:val="14"/>
          <w:color w:val="auto"/>
        </w:rPr>
      </w:pPr>
    </w:p>
    <w:p>
      <w:pPr>
        <w:ind w:left="540" w:right="180" w:hanging="424"/>
        <w:spacing w:after="0" w:line="261" w:lineRule="auto"/>
        <w:tabs>
          <w:tab w:leader="none" w:pos="5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Mr. Wirth will be provided with post-retirement office and administrative support services during his lifetime. The estimated aggregate incremental cost of these benefits is approximately $40,000 per year, which represents the estimated compensation and benefit cost for administrative support personnel, allocated based on 25% of the time dedicated to providing such services and no incremental cost for utilizing vacant office space at Chevron’s headquarters.</w:t>
      </w:r>
    </w:p>
    <w:p>
      <w:pPr>
        <w:spacing w:after="0" w:line="1" w:lineRule="exact"/>
        <w:rPr>
          <w:rFonts w:ascii="Arial" w:cs="Arial" w:eastAsia="Arial" w:hAnsi="Arial"/>
          <w:sz w:val="14"/>
          <w:szCs w:val="14"/>
          <w:color w:val="auto"/>
        </w:rPr>
      </w:pPr>
    </w:p>
    <w:p>
      <w:pPr>
        <w:ind w:left="540" w:right="60"/>
        <w:spacing w:after="0" w:line="271" w:lineRule="auto"/>
        <w:rPr>
          <w:rFonts w:ascii="Arial" w:cs="Arial" w:eastAsia="Arial" w:hAnsi="Arial"/>
          <w:sz w:val="14"/>
          <w:szCs w:val="14"/>
          <w:color w:val="auto"/>
        </w:rPr>
      </w:pPr>
      <w:r>
        <w:rPr>
          <w:rFonts w:ascii="Arial" w:cs="Arial" w:eastAsia="Arial" w:hAnsi="Arial"/>
          <w:sz w:val="14"/>
          <w:szCs w:val="14"/>
          <w:color w:val="auto"/>
        </w:rPr>
        <w:t>Our NEOs are eligible to receive early retirement benefits from the CRP and the RRP upon separation from service. Their distribution elections and the present value of accumulated benefits are disclosed in the “Pension Benefits Table” in this Proxy Statement.</w:t>
      </w:r>
    </w:p>
    <w:p>
      <w:pPr>
        <w:ind w:left="540" w:right="360"/>
        <w:spacing w:after="0" w:line="285" w:lineRule="auto"/>
        <w:rPr>
          <w:rFonts w:ascii="Arial" w:cs="Arial" w:eastAsia="Arial" w:hAnsi="Arial"/>
          <w:sz w:val="14"/>
          <w:szCs w:val="14"/>
          <w:color w:val="auto"/>
        </w:rPr>
      </w:pPr>
      <w:r>
        <w:rPr>
          <w:rFonts w:ascii="Arial" w:cs="Arial" w:eastAsia="Arial" w:hAnsi="Arial"/>
          <w:sz w:val="14"/>
          <w:szCs w:val="14"/>
          <w:color w:val="auto"/>
        </w:rPr>
        <w:t>Our NEOs are also eligible to receive payment from the ESIP-RP and from the DCP upon separation from service. Their distribution elections and the aggregate plan balances as of December 31, 2021, are disclosed in the “Nonqualified Deferred Compensation Table” in this Proxy Statement.</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75</w:t>
      </w:r>
    </w:p>
    <w:p>
      <w:pPr>
        <w:sectPr>
          <w:pgSz w:w="11900" w:h="16838" w:orient="portrait"/>
          <w:cols w:equalWidth="0" w:num="1">
            <w:col w:w="11100"/>
          </w:cols>
          <w:pgMar w:left="320" w:top="455" w:right="47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0B2D71"/>
        </w:rPr>
        <w:t>Equity compensation plan information</w:t>
      </w:r>
    </w:p>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provides certain information as of December 31, 2021, with respect to Chevron’s equity compensation plans.</w:t>
      </w:r>
    </w:p>
    <w:p>
      <w:pPr>
        <w:spacing w:after="0" w:line="141" w:lineRule="exact"/>
        <w:rPr>
          <w:sz w:val="20"/>
          <w:szCs w:val="20"/>
          <w:color w:val="auto"/>
        </w:rPr>
      </w:pPr>
    </w:p>
    <w:tbl>
      <w:tblPr>
        <w:tblLayout w:type="fixed"/>
        <w:tblInd w:w="170" w:type="dxa"/>
        <w:tblCellMar>
          <w:top w:w="0" w:type="dxa"/>
          <w:left w:w="0" w:type="dxa"/>
          <w:bottom w:w="0" w:type="dxa"/>
          <w:right w:w="0" w:type="dxa"/>
        </w:tblCellMar>
      </w:tblPr>
      <w:tr>
        <w:trPr>
          <w:trHeight w:val="202"/>
        </w:trPr>
        <w:tc>
          <w:tcPr>
            <w:tcW w:w="3920" w:type="dxa"/>
            <w:vAlign w:val="bottom"/>
            <w:tcBorders>
              <w:left w:val="single" w:sz="8" w:color="7F7F7F"/>
            </w:tcBorders>
            <w:shd w:val="clear" w:color="auto" w:fill="0066B2"/>
          </w:tcPr>
          <w:p>
            <w:pPr>
              <w:spacing w:after="0"/>
              <w:rPr>
                <w:sz w:val="17"/>
                <w:szCs w:val="17"/>
                <w:color w:val="auto"/>
              </w:rPr>
            </w:pPr>
          </w:p>
        </w:tc>
        <w:tc>
          <w:tcPr>
            <w:tcW w:w="2360" w:type="dxa"/>
            <w:vAlign w:val="bottom"/>
            <w:shd w:val="clear" w:color="auto" w:fill="0066B2"/>
          </w:tcPr>
          <w:p>
            <w:pPr>
              <w:spacing w:after="0"/>
              <w:rPr>
                <w:sz w:val="17"/>
                <w:szCs w:val="17"/>
                <w:color w:val="auto"/>
              </w:rPr>
            </w:pPr>
          </w:p>
        </w:tc>
        <w:tc>
          <w:tcPr>
            <w:tcW w:w="360" w:type="dxa"/>
            <w:vAlign w:val="bottom"/>
            <w:shd w:val="clear" w:color="auto" w:fill="0066B2"/>
          </w:tcPr>
          <w:p>
            <w:pPr>
              <w:spacing w:after="0"/>
              <w:rPr>
                <w:sz w:val="17"/>
                <w:szCs w:val="17"/>
                <w:color w:val="auto"/>
              </w:rPr>
            </w:pPr>
          </w:p>
        </w:tc>
        <w:tc>
          <w:tcPr>
            <w:tcW w:w="1980" w:type="dxa"/>
            <w:vAlign w:val="bottom"/>
            <w:shd w:val="clear" w:color="auto" w:fill="0066B2"/>
          </w:tcPr>
          <w:p>
            <w:pPr>
              <w:spacing w:after="0"/>
              <w:rPr>
                <w:sz w:val="17"/>
                <w:szCs w:val="17"/>
                <w:color w:val="auto"/>
              </w:rPr>
            </w:pPr>
          </w:p>
        </w:tc>
        <w:tc>
          <w:tcPr>
            <w:tcW w:w="2340" w:type="dxa"/>
            <w:vAlign w:val="bottom"/>
            <w:tcBorders>
              <w:right w:val="single" w:sz="8" w:color="7F7F7F"/>
            </w:tcBorders>
            <w:shd w:val="clear" w:color="auto" w:fill="0066B2"/>
          </w:tcPr>
          <w:p>
            <w:pPr>
              <w:jc w:val="center"/>
              <w:spacing w:after="0"/>
              <w:rPr>
                <w:sz w:val="20"/>
                <w:szCs w:val="20"/>
                <w:color w:val="auto"/>
              </w:rPr>
            </w:pPr>
            <w:r>
              <w:rPr>
                <w:rFonts w:ascii="Arial" w:cs="Arial" w:eastAsia="Arial" w:hAnsi="Arial"/>
                <w:sz w:val="16"/>
                <w:szCs w:val="16"/>
                <w:b w:val="1"/>
                <w:bCs w:val="1"/>
                <w:color w:val="FFFFFF"/>
              </w:rPr>
              <w:t>Number of securities</w:t>
            </w:r>
          </w:p>
        </w:tc>
      </w:tr>
      <w:tr>
        <w:trPr>
          <w:trHeight w:val="189"/>
        </w:trPr>
        <w:tc>
          <w:tcPr>
            <w:tcW w:w="3920" w:type="dxa"/>
            <w:vAlign w:val="bottom"/>
            <w:tcBorders>
              <w:left w:val="single" w:sz="8" w:color="7F7F7F"/>
            </w:tcBorders>
            <w:shd w:val="clear" w:color="auto" w:fill="0066B2"/>
          </w:tcPr>
          <w:p>
            <w:pPr>
              <w:spacing w:after="0"/>
              <w:rPr>
                <w:sz w:val="16"/>
                <w:szCs w:val="16"/>
                <w:color w:val="auto"/>
              </w:rPr>
            </w:pPr>
          </w:p>
        </w:tc>
        <w:tc>
          <w:tcPr>
            <w:tcW w:w="2360" w:type="dxa"/>
            <w:vAlign w:val="bottom"/>
            <w:shd w:val="clear" w:color="auto" w:fill="0066B2"/>
          </w:tcPr>
          <w:p>
            <w:pPr>
              <w:spacing w:after="0"/>
              <w:rPr>
                <w:sz w:val="16"/>
                <w:szCs w:val="16"/>
                <w:color w:val="auto"/>
              </w:rPr>
            </w:pPr>
          </w:p>
        </w:tc>
        <w:tc>
          <w:tcPr>
            <w:tcW w:w="360" w:type="dxa"/>
            <w:vAlign w:val="bottom"/>
            <w:shd w:val="clear" w:color="auto" w:fill="0066B2"/>
          </w:tcPr>
          <w:p>
            <w:pPr>
              <w:spacing w:after="0"/>
              <w:rPr>
                <w:sz w:val="16"/>
                <w:szCs w:val="16"/>
                <w:color w:val="auto"/>
              </w:rPr>
            </w:pPr>
          </w:p>
        </w:tc>
        <w:tc>
          <w:tcPr>
            <w:tcW w:w="1980" w:type="dxa"/>
            <w:vAlign w:val="bottom"/>
            <w:shd w:val="clear" w:color="auto" w:fill="0066B2"/>
          </w:tcPr>
          <w:p>
            <w:pPr>
              <w:spacing w:after="0"/>
              <w:rPr>
                <w:sz w:val="16"/>
                <w:szCs w:val="16"/>
                <w:color w:val="auto"/>
              </w:rPr>
            </w:pPr>
          </w:p>
        </w:tc>
        <w:tc>
          <w:tcPr>
            <w:tcW w:w="2340" w:type="dxa"/>
            <w:vAlign w:val="bottom"/>
            <w:tcBorders>
              <w:right w:val="single" w:sz="8" w:color="7F7F7F"/>
            </w:tcBorders>
            <w:shd w:val="clear" w:color="auto" w:fill="0066B2"/>
          </w:tcPr>
          <w:p>
            <w:pPr>
              <w:jc w:val="center"/>
              <w:spacing w:after="0"/>
              <w:rPr>
                <w:sz w:val="20"/>
                <w:szCs w:val="20"/>
                <w:color w:val="auto"/>
              </w:rPr>
            </w:pPr>
            <w:r>
              <w:rPr>
                <w:rFonts w:ascii="Arial" w:cs="Arial" w:eastAsia="Arial" w:hAnsi="Arial"/>
                <w:sz w:val="16"/>
                <w:szCs w:val="16"/>
                <w:b w:val="1"/>
                <w:bCs w:val="1"/>
                <w:color w:val="FFFFFF"/>
              </w:rPr>
              <w:t>remaining available for</w:t>
            </w:r>
          </w:p>
        </w:tc>
      </w:tr>
      <w:tr>
        <w:trPr>
          <w:trHeight w:val="189"/>
        </w:trPr>
        <w:tc>
          <w:tcPr>
            <w:tcW w:w="3920" w:type="dxa"/>
            <w:vAlign w:val="bottom"/>
            <w:tcBorders>
              <w:left w:val="single" w:sz="8" w:color="7F7F7F"/>
            </w:tcBorders>
            <w:shd w:val="clear" w:color="auto" w:fill="0066B2"/>
          </w:tcPr>
          <w:p>
            <w:pPr>
              <w:spacing w:after="0"/>
              <w:rPr>
                <w:sz w:val="16"/>
                <w:szCs w:val="16"/>
                <w:color w:val="auto"/>
              </w:rPr>
            </w:pPr>
          </w:p>
        </w:tc>
        <w:tc>
          <w:tcPr>
            <w:tcW w:w="2360" w:type="dxa"/>
            <w:vAlign w:val="bottom"/>
            <w:shd w:val="clear" w:color="auto" w:fill="0066B2"/>
          </w:tcPr>
          <w:p>
            <w:pPr>
              <w:spacing w:after="0"/>
              <w:rPr>
                <w:sz w:val="16"/>
                <w:szCs w:val="16"/>
                <w:color w:val="auto"/>
              </w:rPr>
            </w:pPr>
          </w:p>
        </w:tc>
        <w:tc>
          <w:tcPr>
            <w:tcW w:w="360" w:type="dxa"/>
            <w:vAlign w:val="bottom"/>
            <w:shd w:val="clear" w:color="auto" w:fill="0066B2"/>
          </w:tcPr>
          <w:p>
            <w:pPr>
              <w:spacing w:after="0"/>
              <w:rPr>
                <w:sz w:val="16"/>
                <w:szCs w:val="16"/>
                <w:color w:val="auto"/>
              </w:rPr>
            </w:pPr>
          </w:p>
        </w:tc>
        <w:tc>
          <w:tcPr>
            <w:tcW w:w="1980" w:type="dxa"/>
            <w:vAlign w:val="bottom"/>
            <w:shd w:val="clear" w:color="auto" w:fill="0066B2"/>
          </w:tcPr>
          <w:p>
            <w:pPr>
              <w:spacing w:after="0"/>
              <w:rPr>
                <w:sz w:val="16"/>
                <w:szCs w:val="16"/>
                <w:color w:val="auto"/>
              </w:rPr>
            </w:pPr>
          </w:p>
        </w:tc>
        <w:tc>
          <w:tcPr>
            <w:tcW w:w="2340" w:type="dxa"/>
            <w:vAlign w:val="bottom"/>
            <w:tcBorders>
              <w:right w:val="single" w:sz="8" w:color="7F7F7F"/>
            </w:tcBorders>
            <w:shd w:val="clear" w:color="auto" w:fill="0066B2"/>
          </w:tcPr>
          <w:p>
            <w:pPr>
              <w:jc w:val="center"/>
              <w:spacing w:after="0"/>
              <w:rPr>
                <w:sz w:val="20"/>
                <w:szCs w:val="20"/>
                <w:color w:val="auto"/>
              </w:rPr>
            </w:pPr>
            <w:r>
              <w:rPr>
                <w:rFonts w:ascii="Arial" w:cs="Arial" w:eastAsia="Arial" w:hAnsi="Arial"/>
                <w:sz w:val="16"/>
                <w:szCs w:val="16"/>
                <w:b w:val="1"/>
                <w:bCs w:val="1"/>
                <w:color w:val="FFFFFF"/>
              </w:rPr>
              <w:t>future</w:t>
            </w:r>
          </w:p>
        </w:tc>
      </w:tr>
      <w:tr>
        <w:trPr>
          <w:trHeight w:val="189"/>
        </w:trPr>
        <w:tc>
          <w:tcPr>
            <w:tcW w:w="3920" w:type="dxa"/>
            <w:vAlign w:val="bottom"/>
            <w:tcBorders>
              <w:left w:val="single" w:sz="8" w:color="7F7F7F"/>
            </w:tcBorders>
            <w:shd w:val="clear" w:color="auto" w:fill="0066B2"/>
          </w:tcPr>
          <w:p>
            <w:pPr>
              <w:spacing w:after="0"/>
              <w:rPr>
                <w:sz w:val="16"/>
                <w:szCs w:val="16"/>
                <w:color w:val="auto"/>
              </w:rPr>
            </w:pPr>
          </w:p>
        </w:tc>
        <w:tc>
          <w:tcPr>
            <w:tcW w:w="2360" w:type="dxa"/>
            <w:vAlign w:val="bottom"/>
            <w:shd w:val="clear" w:color="auto" w:fill="0066B2"/>
          </w:tcPr>
          <w:p>
            <w:pPr>
              <w:spacing w:after="0"/>
              <w:rPr>
                <w:sz w:val="16"/>
                <w:szCs w:val="16"/>
                <w:color w:val="auto"/>
              </w:rPr>
            </w:pPr>
          </w:p>
        </w:tc>
        <w:tc>
          <w:tcPr>
            <w:tcW w:w="360" w:type="dxa"/>
            <w:vAlign w:val="bottom"/>
            <w:shd w:val="clear" w:color="auto" w:fill="0066B2"/>
          </w:tcPr>
          <w:p>
            <w:pPr>
              <w:spacing w:after="0"/>
              <w:rPr>
                <w:sz w:val="16"/>
                <w:szCs w:val="16"/>
                <w:color w:val="auto"/>
              </w:rPr>
            </w:pPr>
          </w:p>
        </w:tc>
        <w:tc>
          <w:tcPr>
            <w:tcW w:w="1980" w:type="dxa"/>
            <w:vAlign w:val="bottom"/>
            <w:shd w:val="clear" w:color="auto" w:fill="0066B2"/>
          </w:tcPr>
          <w:p>
            <w:pPr>
              <w:spacing w:after="0"/>
              <w:rPr>
                <w:sz w:val="16"/>
                <w:szCs w:val="16"/>
                <w:color w:val="auto"/>
              </w:rPr>
            </w:pPr>
          </w:p>
        </w:tc>
        <w:tc>
          <w:tcPr>
            <w:tcW w:w="2340" w:type="dxa"/>
            <w:vAlign w:val="bottom"/>
            <w:tcBorders>
              <w:right w:val="single" w:sz="8" w:color="7F7F7F"/>
            </w:tcBorders>
            <w:shd w:val="clear" w:color="auto" w:fill="0066B2"/>
          </w:tcPr>
          <w:p>
            <w:pPr>
              <w:jc w:val="center"/>
              <w:spacing w:after="0"/>
              <w:rPr>
                <w:sz w:val="20"/>
                <w:szCs w:val="20"/>
                <w:color w:val="auto"/>
              </w:rPr>
            </w:pPr>
            <w:r>
              <w:rPr>
                <w:rFonts w:ascii="Arial" w:cs="Arial" w:eastAsia="Arial" w:hAnsi="Arial"/>
                <w:sz w:val="16"/>
                <w:szCs w:val="16"/>
                <w:b w:val="1"/>
                <w:bCs w:val="1"/>
                <w:color w:val="FFFFFF"/>
              </w:rPr>
              <w:t>issuance under equity</w:t>
            </w:r>
          </w:p>
        </w:tc>
      </w:tr>
      <w:tr>
        <w:trPr>
          <w:trHeight w:val="189"/>
        </w:trPr>
        <w:tc>
          <w:tcPr>
            <w:tcW w:w="3920" w:type="dxa"/>
            <w:vAlign w:val="bottom"/>
            <w:tcBorders>
              <w:left w:val="single" w:sz="8" w:color="7F7F7F"/>
            </w:tcBorders>
            <w:shd w:val="clear" w:color="auto" w:fill="0066B2"/>
          </w:tcPr>
          <w:p>
            <w:pPr>
              <w:spacing w:after="0"/>
              <w:rPr>
                <w:sz w:val="16"/>
                <w:szCs w:val="16"/>
                <w:color w:val="auto"/>
              </w:rPr>
            </w:pPr>
          </w:p>
        </w:tc>
        <w:tc>
          <w:tcPr>
            <w:tcW w:w="2360" w:type="dxa"/>
            <w:vAlign w:val="bottom"/>
            <w:shd w:val="clear" w:color="auto" w:fill="0066B2"/>
          </w:tcPr>
          <w:p>
            <w:pPr>
              <w:jc w:val="center"/>
              <w:spacing w:after="0"/>
              <w:rPr>
                <w:sz w:val="20"/>
                <w:szCs w:val="20"/>
                <w:color w:val="auto"/>
              </w:rPr>
            </w:pPr>
            <w:r>
              <w:rPr>
                <w:rFonts w:ascii="Arial" w:cs="Arial" w:eastAsia="Arial" w:hAnsi="Arial"/>
                <w:sz w:val="16"/>
                <w:szCs w:val="16"/>
                <w:b w:val="1"/>
                <w:bCs w:val="1"/>
                <w:color w:val="FFFFFF"/>
              </w:rPr>
              <w:t>Number of securities to</w:t>
            </w:r>
          </w:p>
        </w:tc>
        <w:tc>
          <w:tcPr>
            <w:tcW w:w="360" w:type="dxa"/>
            <w:vAlign w:val="bottom"/>
            <w:shd w:val="clear" w:color="auto" w:fill="0066B2"/>
          </w:tcPr>
          <w:p>
            <w:pPr>
              <w:spacing w:after="0"/>
              <w:rPr>
                <w:sz w:val="16"/>
                <w:szCs w:val="16"/>
                <w:color w:val="auto"/>
              </w:rPr>
            </w:pPr>
          </w:p>
        </w:tc>
        <w:tc>
          <w:tcPr>
            <w:tcW w:w="1980" w:type="dxa"/>
            <w:vAlign w:val="bottom"/>
            <w:shd w:val="clear" w:color="auto" w:fill="0066B2"/>
          </w:tcPr>
          <w:p>
            <w:pPr>
              <w:jc w:val="center"/>
              <w:ind w:right="240"/>
              <w:spacing w:after="0"/>
              <w:rPr>
                <w:sz w:val="20"/>
                <w:szCs w:val="20"/>
                <w:color w:val="auto"/>
              </w:rPr>
            </w:pPr>
            <w:r>
              <w:rPr>
                <w:rFonts w:ascii="Arial" w:cs="Arial" w:eastAsia="Arial" w:hAnsi="Arial"/>
                <w:sz w:val="16"/>
                <w:szCs w:val="16"/>
                <w:b w:val="1"/>
                <w:bCs w:val="1"/>
                <w:color w:val="FFFFFF"/>
              </w:rPr>
              <w:t>Weighted-average</w:t>
            </w:r>
          </w:p>
        </w:tc>
        <w:tc>
          <w:tcPr>
            <w:tcW w:w="2340" w:type="dxa"/>
            <w:vAlign w:val="bottom"/>
            <w:tcBorders>
              <w:right w:val="single" w:sz="8" w:color="7F7F7F"/>
            </w:tcBorders>
            <w:shd w:val="clear" w:color="auto" w:fill="0066B2"/>
          </w:tcPr>
          <w:p>
            <w:pPr>
              <w:jc w:val="center"/>
              <w:spacing w:after="0"/>
              <w:rPr>
                <w:sz w:val="20"/>
                <w:szCs w:val="20"/>
                <w:color w:val="auto"/>
              </w:rPr>
            </w:pPr>
            <w:r>
              <w:rPr>
                <w:rFonts w:ascii="Arial" w:cs="Arial" w:eastAsia="Arial" w:hAnsi="Arial"/>
                <w:sz w:val="16"/>
                <w:szCs w:val="16"/>
                <w:b w:val="1"/>
                <w:bCs w:val="1"/>
                <w:color w:val="FFFFFF"/>
              </w:rPr>
              <w:t>compensation plan</w:t>
            </w:r>
          </w:p>
        </w:tc>
      </w:tr>
      <w:tr>
        <w:trPr>
          <w:trHeight w:val="189"/>
        </w:trPr>
        <w:tc>
          <w:tcPr>
            <w:tcW w:w="3920" w:type="dxa"/>
            <w:vAlign w:val="bottom"/>
            <w:tcBorders>
              <w:left w:val="single" w:sz="8" w:color="7F7F7F"/>
            </w:tcBorders>
            <w:shd w:val="clear" w:color="auto" w:fill="0066B2"/>
          </w:tcPr>
          <w:p>
            <w:pPr>
              <w:spacing w:after="0"/>
              <w:rPr>
                <w:sz w:val="16"/>
                <w:szCs w:val="16"/>
                <w:color w:val="auto"/>
              </w:rPr>
            </w:pPr>
          </w:p>
        </w:tc>
        <w:tc>
          <w:tcPr>
            <w:tcW w:w="2360" w:type="dxa"/>
            <w:vAlign w:val="bottom"/>
            <w:shd w:val="clear" w:color="auto" w:fill="0066B2"/>
          </w:tcPr>
          <w:p>
            <w:pPr>
              <w:jc w:val="center"/>
              <w:spacing w:after="0"/>
              <w:rPr>
                <w:sz w:val="20"/>
                <w:szCs w:val="20"/>
                <w:color w:val="auto"/>
              </w:rPr>
            </w:pPr>
            <w:r>
              <w:rPr>
                <w:rFonts w:ascii="Arial" w:cs="Arial" w:eastAsia="Arial" w:hAnsi="Arial"/>
                <w:sz w:val="16"/>
                <w:szCs w:val="16"/>
                <w:b w:val="1"/>
                <w:bCs w:val="1"/>
                <w:color w:val="FFFFFF"/>
              </w:rPr>
              <w:t>be issued upon exercise</w:t>
            </w:r>
          </w:p>
        </w:tc>
        <w:tc>
          <w:tcPr>
            <w:tcW w:w="360" w:type="dxa"/>
            <w:vAlign w:val="bottom"/>
            <w:shd w:val="clear" w:color="auto" w:fill="0066B2"/>
          </w:tcPr>
          <w:p>
            <w:pPr>
              <w:spacing w:after="0"/>
              <w:rPr>
                <w:sz w:val="16"/>
                <w:szCs w:val="16"/>
                <w:color w:val="auto"/>
              </w:rPr>
            </w:pPr>
          </w:p>
        </w:tc>
        <w:tc>
          <w:tcPr>
            <w:tcW w:w="1980" w:type="dxa"/>
            <w:vAlign w:val="bottom"/>
            <w:shd w:val="clear" w:color="auto" w:fill="0066B2"/>
          </w:tcPr>
          <w:p>
            <w:pPr>
              <w:jc w:val="center"/>
              <w:ind w:right="260"/>
              <w:spacing w:after="0"/>
              <w:rPr>
                <w:sz w:val="20"/>
                <w:szCs w:val="20"/>
                <w:color w:val="auto"/>
              </w:rPr>
            </w:pPr>
            <w:r>
              <w:rPr>
                <w:rFonts w:ascii="Arial" w:cs="Arial" w:eastAsia="Arial" w:hAnsi="Arial"/>
                <w:sz w:val="16"/>
                <w:szCs w:val="16"/>
                <w:b w:val="1"/>
                <w:bCs w:val="1"/>
                <w:color w:val="FFFFFF"/>
              </w:rPr>
              <w:t>exercise price of</w:t>
            </w:r>
          </w:p>
        </w:tc>
        <w:tc>
          <w:tcPr>
            <w:tcW w:w="2340" w:type="dxa"/>
            <w:vAlign w:val="bottom"/>
            <w:tcBorders>
              <w:right w:val="single" w:sz="8" w:color="7F7F7F"/>
            </w:tcBorders>
            <w:shd w:val="clear" w:color="auto" w:fill="0066B2"/>
          </w:tcPr>
          <w:p>
            <w:pPr>
              <w:jc w:val="center"/>
              <w:spacing w:after="0"/>
              <w:rPr>
                <w:sz w:val="20"/>
                <w:szCs w:val="20"/>
                <w:color w:val="auto"/>
              </w:rPr>
            </w:pPr>
            <w:r>
              <w:rPr>
                <w:rFonts w:ascii="Arial" w:cs="Arial" w:eastAsia="Arial" w:hAnsi="Arial"/>
                <w:sz w:val="16"/>
                <w:szCs w:val="16"/>
                <w:b w:val="1"/>
                <w:bCs w:val="1"/>
                <w:color w:val="FFFFFF"/>
              </w:rPr>
              <w:t>(excluding securities</w:t>
            </w:r>
          </w:p>
        </w:tc>
      </w:tr>
      <w:tr>
        <w:trPr>
          <w:trHeight w:val="189"/>
        </w:trPr>
        <w:tc>
          <w:tcPr>
            <w:tcW w:w="3920" w:type="dxa"/>
            <w:vAlign w:val="bottom"/>
            <w:tcBorders>
              <w:left w:val="single" w:sz="8" w:color="7F7F7F"/>
            </w:tcBorders>
            <w:shd w:val="clear" w:color="auto" w:fill="0066B2"/>
          </w:tcPr>
          <w:p>
            <w:pPr>
              <w:spacing w:after="0"/>
              <w:rPr>
                <w:sz w:val="16"/>
                <w:szCs w:val="16"/>
                <w:color w:val="auto"/>
              </w:rPr>
            </w:pPr>
          </w:p>
        </w:tc>
        <w:tc>
          <w:tcPr>
            <w:tcW w:w="2360" w:type="dxa"/>
            <w:vAlign w:val="bottom"/>
            <w:shd w:val="clear" w:color="auto" w:fill="0066B2"/>
          </w:tcPr>
          <w:p>
            <w:pPr>
              <w:jc w:val="center"/>
              <w:spacing w:after="0"/>
              <w:rPr>
                <w:sz w:val="20"/>
                <w:szCs w:val="20"/>
                <w:color w:val="auto"/>
              </w:rPr>
            </w:pPr>
            <w:r>
              <w:rPr>
                <w:rFonts w:ascii="Arial" w:cs="Arial" w:eastAsia="Arial" w:hAnsi="Arial"/>
                <w:sz w:val="16"/>
                <w:szCs w:val="16"/>
                <w:b w:val="1"/>
                <w:bCs w:val="1"/>
                <w:color w:val="FFFFFF"/>
              </w:rPr>
              <w:t>of outstanding options,</w:t>
            </w:r>
          </w:p>
        </w:tc>
        <w:tc>
          <w:tcPr>
            <w:tcW w:w="360" w:type="dxa"/>
            <w:vAlign w:val="bottom"/>
            <w:shd w:val="clear" w:color="auto" w:fill="0066B2"/>
          </w:tcPr>
          <w:p>
            <w:pPr>
              <w:spacing w:after="0"/>
              <w:rPr>
                <w:sz w:val="16"/>
                <w:szCs w:val="16"/>
                <w:color w:val="auto"/>
              </w:rPr>
            </w:pPr>
          </w:p>
        </w:tc>
        <w:tc>
          <w:tcPr>
            <w:tcW w:w="1980" w:type="dxa"/>
            <w:vAlign w:val="bottom"/>
            <w:shd w:val="clear" w:color="auto" w:fill="0066B2"/>
          </w:tcPr>
          <w:p>
            <w:pPr>
              <w:jc w:val="center"/>
              <w:ind w:right="260"/>
              <w:spacing w:after="0"/>
              <w:rPr>
                <w:sz w:val="20"/>
                <w:szCs w:val="20"/>
                <w:color w:val="auto"/>
              </w:rPr>
            </w:pPr>
            <w:r>
              <w:rPr>
                <w:rFonts w:ascii="Arial" w:cs="Arial" w:eastAsia="Arial" w:hAnsi="Arial"/>
                <w:sz w:val="16"/>
                <w:szCs w:val="16"/>
                <w:b w:val="1"/>
                <w:bCs w:val="1"/>
                <w:color w:val="FFFFFF"/>
              </w:rPr>
              <w:t>outstanding options,</w:t>
            </w:r>
          </w:p>
        </w:tc>
        <w:tc>
          <w:tcPr>
            <w:tcW w:w="2340" w:type="dxa"/>
            <w:vAlign w:val="bottom"/>
            <w:tcBorders>
              <w:right w:val="single" w:sz="8" w:color="7F7F7F"/>
            </w:tcBorders>
            <w:shd w:val="clear" w:color="auto" w:fill="0066B2"/>
          </w:tcPr>
          <w:p>
            <w:pPr>
              <w:jc w:val="center"/>
              <w:spacing w:after="0"/>
              <w:rPr>
                <w:sz w:val="20"/>
                <w:szCs w:val="20"/>
                <w:color w:val="auto"/>
              </w:rPr>
            </w:pPr>
            <w:r>
              <w:rPr>
                <w:rFonts w:ascii="Arial" w:cs="Arial" w:eastAsia="Arial" w:hAnsi="Arial"/>
                <w:sz w:val="16"/>
                <w:szCs w:val="16"/>
                <w:b w:val="1"/>
                <w:bCs w:val="1"/>
                <w:color w:val="FFFFFF"/>
              </w:rPr>
              <w:t>reflected in column (a))</w:t>
            </w:r>
          </w:p>
        </w:tc>
      </w:tr>
      <w:tr>
        <w:trPr>
          <w:trHeight w:val="244"/>
        </w:trPr>
        <w:tc>
          <w:tcPr>
            <w:tcW w:w="3920" w:type="dxa"/>
            <w:vAlign w:val="bottom"/>
            <w:tcBorders>
              <w:left w:val="single" w:sz="8" w:color="7F7F7F"/>
            </w:tcBorders>
            <w:shd w:val="clear" w:color="auto" w:fill="0066B2"/>
          </w:tcPr>
          <w:p>
            <w:pPr>
              <w:ind w:left="140"/>
              <w:spacing w:after="0" w:line="244" w:lineRule="exact"/>
              <w:rPr>
                <w:sz w:val="20"/>
                <w:szCs w:val="20"/>
                <w:color w:val="auto"/>
              </w:rPr>
            </w:pPr>
            <w:r>
              <w:rPr>
                <w:rFonts w:ascii="Arial" w:cs="Arial" w:eastAsia="Arial" w:hAnsi="Arial"/>
                <w:sz w:val="16"/>
                <w:szCs w:val="16"/>
                <w:b w:val="1"/>
                <w:bCs w:val="1"/>
                <w:color w:val="FFFFFF"/>
              </w:rPr>
              <w:t>Plan category</w:t>
            </w:r>
            <w:r>
              <w:rPr>
                <w:rFonts w:ascii="Arial" w:cs="Arial" w:eastAsia="Arial" w:hAnsi="Arial"/>
                <w:sz w:val="27"/>
                <w:szCs w:val="27"/>
                <w:b w:val="1"/>
                <w:bCs w:val="1"/>
                <w:color w:val="FFFFFF"/>
                <w:vertAlign w:val="superscript"/>
              </w:rPr>
              <w:t>(1)</w:t>
            </w:r>
          </w:p>
        </w:tc>
        <w:tc>
          <w:tcPr>
            <w:tcW w:w="2360" w:type="dxa"/>
            <w:vAlign w:val="bottom"/>
            <w:shd w:val="clear" w:color="auto" w:fill="0066B2"/>
          </w:tcPr>
          <w:p>
            <w:pPr>
              <w:jc w:val="center"/>
              <w:spacing w:after="0"/>
              <w:rPr>
                <w:sz w:val="20"/>
                <w:szCs w:val="20"/>
                <w:color w:val="auto"/>
              </w:rPr>
            </w:pPr>
            <w:r>
              <w:rPr>
                <w:rFonts w:ascii="Arial" w:cs="Arial" w:eastAsia="Arial" w:hAnsi="Arial"/>
                <w:sz w:val="16"/>
                <w:szCs w:val="16"/>
                <w:b w:val="1"/>
                <w:bCs w:val="1"/>
                <w:color w:val="FFFFFF"/>
              </w:rPr>
              <w:t>warrants, and rights (a)</w:t>
            </w:r>
          </w:p>
        </w:tc>
        <w:tc>
          <w:tcPr>
            <w:tcW w:w="2340" w:type="dxa"/>
            <w:vAlign w:val="bottom"/>
            <w:gridSpan w:val="2"/>
            <w:shd w:val="clear" w:color="auto" w:fill="0066B2"/>
          </w:tcPr>
          <w:p>
            <w:pPr>
              <w:jc w:val="center"/>
              <w:spacing w:after="0"/>
              <w:rPr>
                <w:sz w:val="20"/>
                <w:szCs w:val="20"/>
                <w:color w:val="auto"/>
              </w:rPr>
            </w:pPr>
            <w:r>
              <w:rPr>
                <w:rFonts w:ascii="Arial" w:cs="Arial" w:eastAsia="Arial" w:hAnsi="Arial"/>
                <w:sz w:val="16"/>
                <w:szCs w:val="16"/>
                <w:b w:val="1"/>
                <w:bCs w:val="1"/>
                <w:color w:val="FFFFFF"/>
              </w:rPr>
              <w:t>warrants, and rights (b)</w:t>
            </w:r>
          </w:p>
        </w:tc>
        <w:tc>
          <w:tcPr>
            <w:tcW w:w="2340" w:type="dxa"/>
            <w:vAlign w:val="bottom"/>
            <w:tcBorders>
              <w:right w:val="single" w:sz="8" w:color="7F7F7F"/>
            </w:tcBorders>
            <w:shd w:val="clear" w:color="auto" w:fill="0066B2"/>
          </w:tcPr>
          <w:p>
            <w:pPr>
              <w:jc w:val="center"/>
              <w:spacing w:after="0"/>
              <w:rPr>
                <w:sz w:val="20"/>
                <w:szCs w:val="20"/>
                <w:color w:val="auto"/>
              </w:rPr>
            </w:pPr>
            <w:r>
              <w:rPr>
                <w:rFonts w:ascii="Arial" w:cs="Arial" w:eastAsia="Arial" w:hAnsi="Arial"/>
                <w:sz w:val="16"/>
                <w:szCs w:val="16"/>
                <w:b w:val="1"/>
                <w:bCs w:val="1"/>
                <w:color w:val="FFFFFF"/>
              </w:rPr>
              <w:t>(c)</w:t>
            </w:r>
          </w:p>
        </w:tc>
      </w:tr>
      <w:tr>
        <w:trPr>
          <w:trHeight w:val="201"/>
        </w:trPr>
        <w:tc>
          <w:tcPr>
            <w:tcW w:w="3920" w:type="dxa"/>
            <w:vAlign w:val="bottom"/>
            <w:tcBorders>
              <w:left w:val="single" w:sz="8" w:color="7F7F7F"/>
            </w:tcBorders>
            <w:shd w:val="clear" w:color="auto" w:fill="D8D8D8"/>
          </w:tcPr>
          <w:p>
            <w:pPr>
              <w:ind w:left="140"/>
              <w:spacing w:after="0"/>
              <w:rPr>
                <w:sz w:val="20"/>
                <w:szCs w:val="20"/>
                <w:color w:val="auto"/>
              </w:rPr>
            </w:pPr>
            <w:r>
              <w:rPr>
                <w:rFonts w:ascii="Arial" w:cs="Arial" w:eastAsia="Arial" w:hAnsi="Arial"/>
                <w:sz w:val="16"/>
                <w:szCs w:val="16"/>
                <w:color w:val="auto"/>
              </w:rPr>
              <w:t>Equity compensation plans approved by security</w:t>
            </w:r>
          </w:p>
        </w:tc>
        <w:tc>
          <w:tcPr>
            <w:tcW w:w="2360" w:type="dxa"/>
            <w:vAlign w:val="bottom"/>
            <w:shd w:val="clear" w:color="auto" w:fill="D8D8D8"/>
          </w:tcPr>
          <w:p>
            <w:pPr>
              <w:spacing w:after="0"/>
              <w:rPr>
                <w:sz w:val="17"/>
                <w:szCs w:val="17"/>
                <w:color w:val="auto"/>
              </w:rPr>
            </w:pPr>
          </w:p>
        </w:tc>
        <w:tc>
          <w:tcPr>
            <w:tcW w:w="360" w:type="dxa"/>
            <w:vAlign w:val="bottom"/>
            <w:shd w:val="clear" w:color="auto" w:fill="D8D8D8"/>
          </w:tcPr>
          <w:p>
            <w:pPr>
              <w:spacing w:after="0"/>
              <w:rPr>
                <w:sz w:val="17"/>
                <w:szCs w:val="17"/>
                <w:color w:val="auto"/>
              </w:rPr>
            </w:pPr>
          </w:p>
        </w:tc>
        <w:tc>
          <w:tcPr>
            <w:tcW w:w="1980" w:type="dxa"/>
            <w:vAlign w:val="bottom"/>
            <w:shd w:val="clear" w:color="auto" w:fill="D8D8D8"/>
          </w:tcPr>
          <w:p>
            <w:pPr>
              <w:spacing w:after="0"/>
              <w:rPr>
                <w:sz w:val="17"/>
                <w:szCs w:val="17"/>
                <w:color w:val="auto"/>
              </w:rPr>
            </w:pPr>
          </w:p>
        </w:tc>
        <w:tc>
          <w:tcPr>
            <w:tcW w:w="2340" w:type="dxa"/>
            <w:vAlign w:val="bottom"/>
            <w:tcBorders>
              <w:right w:val="single" w:sz="8" w:color="7F7F7F"/>
            </w:tcBorders>
            <w:shd w:val="clear" w:color="auto" w:fill="D8D8D8"/>
          </w:tcPr>
          <w:p>
            <w:pPr>
              <w:spacing w:after="0"/>
              <w:rPr>
                <w:sz w:val="17"/>
                <w:szCs w:val="17"/>
                <w:color w:val="auto"/>
              </w:rPr>
            </w:pPr>
          </w:p>
        </w:tc>
      </w:tr>
      <w:tr>
        <w:trPr>
          <w:trHeight w:val="231"/>
        </w:trPr>
        <w:tc>
          <w:tcPr>
            <w:tcW w:w="3920" w:type="dxa"/>
            <w:vAlign w:val="bottom"/>
            <w:tcBorders>
              <w:left w:val="single" w:sz="8" w:color="7F7F7F"/>
            </w:tcBorders>
            <w:shd w:val="clear" w:color="auto" w:fill="D8D8D8"/>
          </w:tcPr>
          <w:p>
            <w:pPr>
              <w:ind w:left="140"/>
              <w:spacing w:after="0" w:line="231" w:lineRule="exact"/>
              <w:rPr>
                <w:sz w:val="20"/>
                <w:szCs w:val="20"/>
                <w:color w:val="auto"/>
              </w:rPr>
            </w:pPr>
            <w:r>
              <w:rPr>
                <w:rFonts w:ascii="Arial" w:cs="Arial" w:eastAsia="Arial" w:hAnsi="Arial"/>
                <w:sz w:val="16"/>
                <w:szCs w:val="16"/>
                <w:color w:val="auto"/>
              </w:rPr>
              <w:t>holders</w:t>
            </w:r>
            <w:r>
              <w:rPr>
                <w:rFonts w:ascii="Arial" w:cs="Arial" w:eastAsia="Arial" w:hAnsi="Arial"/>
                <w:sz w:val="26"/>
                <w:szCs w:val="26"/>
                <w:color w:val="auto"/>
                <w:vertAlign w:val="superscript"/>
              </w:rPr>
              <w:t>(2)</w:t>
            </w:r>
          </w:p>
        </w:tc>
        <w:tc>
          <w:tcPr>
            <w:tcW w:w="2360" w:type="dxa"/>
            <w:vAlign w:val="bottom"/>
            <w:shd w:val="clear" w:color="auto" w:fill="D8D8D8"/>
          </w:tcPr>
          <w:p>
            <w:pPr>
              <w:jc w:val="right"/>
              <w:ind w:right="160"/>
              <w:spacing w:after="0" w:line="231" w:lineRule="exact"/>
              <w:rPr>
                <w:sz w:val="20"/>
                <w:szCs w:val="20"/>
                <w:color w:val="auto"/>
              </w:rPr>
            </w:pPr>
            <w:r>
              <w:rPr>
                <w:rFonts w:ascii="Arial" w:cs="Arial" w:eastAsia="Arial" w:hAnsi="Arial"/>
                <w:sz w:val="16"/>
                <w:szCs w:val="16"/>
                <w:color w:val="auto"/>
              </w:rPr>
              <w:t>76,649,725</w:t>
            </w:r>
            <w:r>
              <w:rPr>
                <w:rFonts w:ascii="Arial" w:cs="Arial" w:eastAsia="Arial" w:hAnsi="Arial"/>
                <w:sz w:val="26"/>
                <w:szCs w:val="26"/>
                <w:color w:val="auto"/>
                <w:vertAlign w:val="superscript"/>
              </w:rPr>
              <w:t>(3)</w:t>
            </w:r>
          </w:p>
        </w:tc>
        <w:tc>
          <w:tcPr>
            <w:tcW w:w="3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980" w:type="dxa"/>
            <w:vAlign w:val="bottom"/>
            <w:shd w:val="clear" w:color="auto" w:fill="D8D8D8"/>
          </w:tcPr>
          <w:p>
            <w:pPr>
              <w:jc w:val="right"/>
              <w:ind w:right="220"/>
              <w:spacing w:after="0" w:line="231" w:lineRule="exact"/>
              <w:rPr>
                <w:sz w:val="20"/>
                <w:szCs w:val="20"/>
                <w:color w:val="auto"/>
              </w:rPr>
            </w:pPr>
            <w:r>
              <w:rPr>
                <w:rFonts w:ascii="Arial" w:cs="Arial" w:eastAsia="Arial" w:hAnsi="Arial"/>
                <w:sz w:val="16"/>
                <w:szCs w:val="16"/>
                <w:color w:val="auto"/>
              </w:rPr>
              <w:t>104.41</w:t>
            </w:r>
            <w:r>
              <w:rPr>
                <w:rFonts w:ascii="Arial" w:cs="Arial" w:eastAsia="Arial" w:hAnsi="Arial"/>
                <w:sz w:val="26"/>
                <w:szCs w:val="26"/>
                <w:color w:val="auto"/>
                <w:vertAlign w:val="superscript"/>
              </w:rPr>
              <w:t>(4)</w:t>
            </w:r>
          </w:p>
        </w:tc>
        <w:tc>
          <w:tcPr>
            <w:tcW w:w="2340" w:type="dxa"/>
            <w:vAlign w:val="bottom"/>
            <w:tcBorders>
              <w:right w:val="single" w:sz="8" w:color="7F7F7F"/>
            </w:tcBorders>
            <w:shd w:val="clear" w:color="auto" w:fill="D8D8D8"/>
          </w:tcPr>
          <w:p>
            <w:pPr>
              <w:jc w:val="right"/>
              <w:ind w:right="279"/>
              <w:spacing w:after="0" w:line="231" w:lineRule="exact"/>
              <w:rPr>
                <w:sz w:val="20"/>
                <w:szCs w:val="20"/>
                <w:color w:val="auto"/>
              </w:rPr>
            </w:pPr>
            <w:r>
              <w:rPr>
                <w:rFonts w:ascii="Arial" w:cs="Arial" w:eastAsia="Arial" w:hAnsi="Arial"/>
                <w:sz w:val="16"/>
                <w:szCs w:val="16"/>
                <w:color w:val="auto"/>
              </w:rPr>
              <w:t>66,532,937</w:t>
            </w:r>
            <w:r>
              <w:rPr>
                <w:rFonts w:ascii="Arial" w:cs="Arial" w:eastAsia="Arial" w:hAnsi="Arial"/>
                <w:sz w:val="26"/>
                <w:szCs w:val="26"/>
                <w:color w:val="auto"/>
                <w:vertAlign w:val="superscript"/>
              </w:rPr>
              <w:t>(5)</w:t>
            </w:r>
          </w:p>
        </w:tc>
      </w:tr>
      <w:tr>
        <w:trPr>
          <w:trHeight w:val="201"/>
        </w:trPr>
        <w:tc>
          <w:tcPr>
            <w:tcW w:w="3920" w:type="dxa"/>
            <w:vAlign w:val="bottom"/>
            <w:tcBorders>
              <w:left w:val="single" w:sz="8" w:color="7F7F7F"/>
            </w:tcBorders>
          </w:tcPr>
          <w:p>
            <w:pPr>
              <w:ind w:left="140"/>
              <w:spacing w:after="0"/>
              <w:rPr>
                <w:sz w:val="20"/>
                <w:szCs w:val="20"/>
                <w:color w:val="auto"/>
              </w:rPr>
            </w:pPr>
            <w:r>
              <w:rPr>
                <w:rFonts w:ascii="Arial" w:cs="Arial" w:eastAsia="Arial" w:hAnsi="Arial"/>
                <w:sz w:val="16"/>
                <w:szCs w:val="16"/>
                <w:color w:val="auto"/>
              </w:rPr>
              <w:t>Equity compensation plans not approved by security</w:t>
            </w:r>
          </w:p>
        </w:tc>
        <w:tc>
          <w:tcPr>
            <w:tcW w:w="2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340" w:type="dxa"/>
            <w:vAlign w:val="bottom"/>
            <w:tcBorders>
              <w:right w:val="single" w:sz="8" w:color="7F7F7F"/>
            </w:tcBorders>
          </w:tcPr>
          <w:p>
            <w:pPr>
              <w:spacing w:after="0"/>
              <w:rPr>
                <w:sz w:val="17"/>
                <w:szCs w:val="17"/>
                <w:color w:val="auto"/>
              </w:rPr>
            </w:pPr>
          </w:p>
        </w:tc>
      </w:tr>
      <w:tr>
        <w:trPr>
          <w:trHeight w:val="231"/>
        </w:trPr>
        <w:tc>
          <w:tcPr>
            <w:tcW w:w="3920" w:type="dxa"/>
            <w:vAlign w:val="bottom"/>
            <w:tcBorders>
              <w:left w:val="single" w:sz="8" w:color="7F7F7F"/>
              <w:bottom w:val="single" w:sz="8" w:color="7F7F7F"/>
            </w:tcBorders>
          </w:tcPr>
          <w:p>
            <w:pPr>
              <w:ind w:left="140"/>
              <w:spacing w:after="0" w:line="231" w:lineRule="exact"/>
              <w:rPr>
                <w:sz w:val="20"/>
                <w:szCs w:val="20"/>
                <w:color w:val="auto"/>
              </w:rPr>
            </w:pPr>
            <w:r>
              <w:rPr>
                <w:rFonts w:ascii="Arial" w:cs="Arial" w:eastAsia="Arial" w:hAnsi="Arial"/>
                <w:sz w:val="16"/>
                <w:szCs w:val="16"/>
                <w:color w:val="auto"/>
              </w:rPr>
              <w:t>holders</w:t>
            </w:r>
            <w:r>
              <w:rPr>
                <w:rFonts w:ascii="Arial" w:cs="Arial" w:eastAsia="Arial" w:hAnsi="Arial"/>
                <w:sz w:val="26"/>
                <w:szCs w:val="26"/>
                <w:color w:val="auto"/>
                <w:vertAlign w:val="superscript"/>
              </w:rPr>
              <w:t>(6)</w:t>
            </w:r>
          </w:p>
        </w:tc>
        <w:tc>
          <w:tcPr>
            <w:tcW w:w="2360" w:type="dxa"/>
            <w:vAlign w:val="bottom"/>
            <w:tcBorders>
              <w:bottom w:val="single" w:sz="8" w:color="7F7F7F"/>
            </w:tcBorders>
          </w:tcPr>
          <w:p>
            <w:pPr>
              <w:jc w:val="right"/>
              <w:ind w:right="160"/>
              <w:spacing w:after="0" w:line="231" w:lineRule="exact"/>
              <w:rPr>
                <w:sz w:val="20"/>
                <w:szCs w:val="20"/>
                <w:color w:val="auto"/>
              </w:rPr>
            </w:pPr>
            <w:r>
              <w:rPr>
                <w:rFonts w:ascii="Arial" w:cs="Arial" w:eastAsia="Arial" w:hAnsi="Arial"/>
                <w:sz w:val="16"/>
                <w:szCs w:val="16"/>
                <w:color w:val="auto"/>
              </w:rPr>
              <w:t>221,316</w:t>
            </w:r>
            <w:r>
              <w:rPr>
                <w:rFonts w:ascii="Arial" w:cs="Arial" w:eastAsia="Arial" w:hAnsi="Arial"/>
                <w:sz w:val="26"/>
                <w:szCs w:val="26"/>
                <w:color w:val="auto"/>
                <w:vertAlign w:val="superscript"/>
              </w:rPr>
              <w:t>(7)</w:t>
            </w:r>
          </w:p>
        </w:tc>
        <w:tc>
          <w:tcPr>
            <w:tcW w:w="360" w:type="dxa"/>
            <w:vAlign w:val="bottom"/>
            <w:tcBorders>
              <w:bottom w:val="single" w:sz="8" w:color="7F7F7F"/>
            </w:tcBorders>
          </w:tcPr>
          <w:p>
            <w:pPr>
              <w:spacing w:after="0"/>
              <w:rPr>
                <w:sz w:val="20"/>
                <w:szCs w:val="20"/>
                <w:color w:val="auto"/>
              </w:rPr>
            </w:pPr>
          </w:p>
        </w:tc>
        <w:tc>
          <w:tcPr>
            <w:tcW w:w="1980" w:type="dxa"/>
            <w:vAlign w:val="bottom"/>
            <w:tcBorders>
              <w:bottom w:val="single" w:sz="8" w:color="7F7F7F"/>
            </w:tcBorders>
          </w:tcPr>
          <w:p>
            <w:pPr>
              <w:jc w:val="right"/>
              <w:ind w:right="220"/>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(8)</w:t>
            </w:r>
          </w:p>
        </w:tc>
        <w:tc>
          <w:tcPr>
            <w:tcW w:w="2340" w:type="dxa"/>
            <w:vAlign w:val="bottom"/>
            <w:tcBorders>
              <w:bottom w:val="single" w:sz="8" w:color="7F7F7F"/>
              <w:right w:val="single" w:sz="8" w:color="7F7F7F"/>
            </w:tcBorders>
          </w:tcPr>
          <w:p>
            <w:pPr>
              <w:jc w:val="right"/>
              <w:ind w:right="279"/>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(9)</w:t>
            </w:r>
          </w:p>
        </w:tc>
      </w:tr>
      <w:tr>
        <w:trPr>
          <w:trHeight w:val="223"/>
        </w:trPr>
        <w:tc>
          <w:tcPr>
            <w:tcW w:w="3920" w:type="dxa"/>
            <w:vAlign w:val="bottom"/>
            <w:tcBorders>
              <w:left w:val="single" w:sz="8" w:color="7F7F7F"/>
              <w:bottom w:val="single" w:sz="8" w:color="7F7F7F"/>
            </w:tcBorders>
            <w:shd w:val="clear" w:color="auto" w:fill="D8D8D8"/>
          </w:tcPr>
          <w:p>
            <w:pPr>
              <w:ind w:left="140"/>
              <w:spacing w:after="0"/>
              <w:rPr>
                <w:sz w:val="20"/>
                <w:szCs w:val="20"/>
                <w:color w:val="auto"/>
              </w:rPr>
            </w:pPr>
            <w:r>
              <w:rPr>
                <w:rFonts w:ascii="Arial" w:cs="Arial" w:eastAsia="Arial" w:hAnsi="Arial"/>
                <w:sz w:val="16"/>
                <w:szCs w:val="16"/>
                <w:b w:val="1"/>
                <w:bCs w:val="1"/>
                <w:color w:val="auto"/>
              </w:rPr>
              <w:t>Total</w:t>
            </w:r>
          </w:p>
        </w:tc>
        <w:tc>
          <w:tcPr>
            <w:tcW w:w="2360" w:type="dxa"/>
            <w:vAlign w:val="bottom"/>
            <w:tcBorders>
              <w:bottom w:val="single" w:sz="8" w:color="7F7F7F"/>
            </w:tcBorders>
            <w:shd w:val="clear" w:color="auto" w:fill="D8D8D8"/>
          </w:tcPr>
          <w:p>
            <w:pPr>
              <w:jc w:val="right"/>
              <w:ind w:right="320"/>
              <w:spacing w:after="0"/>
              <w:rPr>
                <w:sz w:val="20"/>
                <w:szCs w:val="20"/>
                <w:color w:val="auto"/>
              </w:rPr>
            </w:pPr>
            <w:r>
              <w:rPr>
                <w:rFonts w:ascii="Arial" w:cs="Arial" w:eastAsia="Arial" w:hAnsi="Arial"/>
                <w:sz w:val="16"/>
                <w:szCs w:val="16"/>
                <w:color w:val="auto"/>
              </w:rPr>
              <w:t>76,871,041</w:t>
            </w:r>
          </w:p>
        </w:tc>
        <w:tc>
          <w:tcPr>
            <w:tcW w:w="360" w:type="dxa"/>
            <w:vAlign w:val="bottom"/>
            <w:tcBorders>
              <w:bottom w:val="single" w:sz="8" w:color="7F7F7F"/>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7F7F7F"/>
            </w:tcBorders>
            <w:shd w:val="clear" w:color="auto" w:fill="D8D8D8"/>
          </w:tcPr>
          <w:p>
            <w:pPr>
              <w:jc w:val="right"/>
              <w:ind w:right="220"/>
              <w:spacing w:after="0" w:line="223" w:lineRule="exact"/>
              <w:rPr>
                <w:sz w:val="20"/>
                <w:szCs w:val="20"/>
                <w:color w:val="auto"/>
              </w:rPr>
            </w:pPr>
            <w:r>
              <w:rPr>
                <w:rFonts w:ascii="Arial" w:cs="Arial" w:eastAsia="Arial" w:hAnsi="Arial"/>
                <w:sz w:val="15"/>
                <w:szCs w:val="15"/>
                <w:color w:val="auto"/>
              </w:rPr>
              <w:t>104.41</w:t>
            </w:r>
            <w:r>
              <w:rPr>
                <w:rFonts w:ascii="Arial" w:cs="Arial" w:eastAsia="Arial" w:hAnsi="Arial"/>
                <w:sz w:val="25"/>
                <w:szCs w:val="25"/>
                <w:color w:val="auto"/>
                <w:vertAlign w:val="superscript"/>
              </w:rPr>
              <w:t>(4)</w:t>
            </w:r>
          </w:p>
        </w:tc>
        <w:tc>
          <w:tcPr>
            <w:tcW w:w="2340" w:type="dxa"/>
            <w:vAlign w:val="bottom"/>
            <w:tcBorders>
              <w:bottom w:val="single" w:sz="8" w:color="7F7F7F"/>
              <w:right w:val="single" w:sz="8" w:color="7F7F7F"/>
            </w:tcBorders>
            <w:shd w:val="clear" w:color="auto" w:fill="D8D8D8"/>
          </w:tcPr>
          <w:p>
            <w:pPr>
              <w:jc w:val="right"/>
              <w:ind w:right="439"/>
              <w:spacing w:after="0"/>
              <w:rPr>
                <w:sz w:val="20"/>
                <w:szCs w:val="20"/>
                <w:color w:val="auto"/>
              </w:rPr>
            </w:pPr>
            <w:r>
              <w:rPr>
                <w:rFonts w:ascii="Arial" w:cs="Arial" w:eastAsia="Arial" w:hAnsi="Arial"/>
                <w:sz w:val="16"/>
                <w:szCs w:val="16"/>
                <w:color w:val="auto"/>
              </w:rPr>
              <w:t>66,532,937</w:t>
            </w:r>
          </w:p>
        </w:tc>
      </w:tr>
    </w:tbl>
    <w:p>
      <w:pPr>
        <w:spacing w:after="0" w:line="58" w:lineRule="exact"/>
        <w:rPr>
          <w:sz w:val="20"/>
          <w:szCs w:val="20"/>
          <w:color w:val="auto"/>
        </w:rPr>
      </w:pPr>
    </w:p>
    <w:p>
      <w:pPr>
        <w:ind w:left="540" w:right="40" w:hanging="424"/>
        <w:spacing w:after="0" w:line="250" w:lineRule="auto"/>
        <w:tabs>
          <w:tab w:leader="none" w:pos="5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table does not include information for employee benefit plans of Chevron and subsidiaries intended to meet the tax qualification requirements of section 401(a) of the Code and certain foreign employee benefit plans that are similar to section 401(a) plans or information for equity compensation plans assumed by Chevron in mergers and securities outstanding thereunder at December 31, 2021. The number of shares to be issued upon exercise of outstanding stock options, warrants, and rights under plans assumed in mergers and outstanding at December 31, 2021, was 1,075,206, and the weighted-average exercise price (excluding RSUs and other rights for which there is no exercise price) was $371.28. The weighted average remaining term of the stock options is 2.5 years. No further grants or awards can be made under these assumed plans.</w:t>
      </w:r>
    </w:p>
    <w:p>
      <w:pPr>
        <w:spacing w:after="0" w:line="33" w:lineRule="exact"/>
        <w:rPr>
          <w:rFonts w:ascii="Arial" w:cs="Arial" w:eastAsia="Arial" w:hAnsi="Arial"/>
          <w:sz w:val="14"/>
          <w:szCs w:val="14"/>
          <w:color w:val="auto"/>
        </w:rPr>
      </w:pPr>
    </w:p>
    <w:p>
      <w:pPr>
        <w:ind w:left="540" w:right="280" w:hanging="424"/>
        <w:spacing w:after="0" w:line="285" w:lineRule="auto"/>
        <w:tabs>
          <w:tab w:leader="none" w:pos="5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Consists of two plans: the LTIP and the NED Plan. Stock options and RSUs may be awarded under the LTIP, and shares may be issued under the subplans of the LTIP for certain non-U.S. locations. Restricted stock, RSUs, and retainer stock options may be awarded under the NED Plan.</w:t>
      </w:r>
    </w:p>
    <w:p>
      <w:pPr>
        <w:spacing w:after="0" w:line="9" w:lineRule="exact"/>
        <w:rPr>
          <w:rFonts w:ascii="Arial" w:cs="Arial" w:eastAsia="Arial" w:hAnsi="Arial"/>
          <w:sz w:val="14"/>
          <w:szCs w:val="14"/>
          <w:color w:val="auto"/>
        </w:rPr>
      </w:pPr>
    </w:p>
    <w:p>
      <w:pPr>
        <w:ind w:left="540" w:right="540" w:hanging="424"/>
        <w:spacing w:after="0" w:line="263" w:lineRule="auto"/>
        <w:tabs>
          <w:tab w:leader="none" w:pos="5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Consists of 76,329,797 shares subject to stock options (granted under the LTIP or the NED Plan), 58,114 shares subject to RSUs granted under the LTIP, and 261,814 shares subject to RSUs and stock units awarded prior to 2007 under the NED Plan. Does not include grants that are payable in cash only, such as performance shares, stock appreciation rights, and RSUs granted under the LTIP.</w:t>
      </w:r>
    </w:p>
    <w:p>
      <w:pPr>
        <w:spacing w:after="0" w:line="24" w:lineRule="exact"/>
        <w:rPr>
          <w:rFonts w:ascii="Arial" w:cs="Arial" w:eastAsia="Arial" w:hAnsi="Arial"/>
          <w:sz w:val="14"/>
          <w:szCs w:val="14"/>
          <w:color w:val="auto"/>
        </w:rPr>
      </w:pPr>
    </w:p>
    <w:p>
      <w:pPr>
        <w:ind w:left="540" w:right="320" w:hanging="424"/>
        <w:spacing w:after="0" w:line="285" w:lineRule="auto"/>
        <w:tabs>
          <w:tab w:leader="none" w:pos="5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price reflects the weighted average exercise price of stock options under both the LTIP and the NED Plan. The weighted average remaining term of the stock options is 4.19 years.</w:t>
      </w:r>
    </w:p>
    <w:p>
      <w:pPr>
        <w:spacing w:after="0" w:line="9" w:lineRule="exact"/>
        <w:rPr>
          <w:rFonts w:ascii="Arial" w:cs="Arial" w:eastAsia="Arial" w:hAnsi="Arial"/>
          <w:sz w:val="14"/>
          <w:szCs w:val="14"/>
          <w:color w:val="auto"/>
        </w:rPr>
      </w:pPr>
    </w:p>
    <w:p>
      <w:pPr>
        <w:ind w:left="540" w:hanging="424"/>
        <w:spacing w:after="0" w:line="250" w:lineRule="auto"/>
        <w:tabs>
          <w:tab w:leader="none" w:pos="5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An amended and restated LTIP was approved by the stockholders on May 29, 2013. The maximum number of shares that can be issued under the amended and restated LTIP is 260,000,000. The LTIP has 65,918,169 shares that remain available for issuance pursuant to awards. An aggregate of 4,717,874 shares issued under the employee stock purchase plans for non-U.S. locations was counted against the limit. Awards granted under the LTIP that are settled in cash or that are deferred under the DCP will not deplete the maximum number of shares that can be issued under the plan. The maximum number of shares that can be issued under the NED Plan is 1,600,000, pursuant to Amendment Number One to the NED Plan that was approved by stockholders on May 25, 2016. The NED Plan has 614,768 shares that remain available for issuance pursuant to awards.</w:t>
      </w:r>
    </w:p>
    <w:p>
      <w:pPr>
        <w:spacing w:after="0" w:line="33" w:lineRule="exact"/>
        <w:rPr>
          <w:rFonts w:ascii="Arial" w:cs="Arial" w:eastAsia="Arial" w:hAnsi="Arial"/>
          <w:sz w:val="14"/>
          <w:szCs w:val="14"/>
          <w:color w:val="auto"/>
        </w:rPr>
      </w:pPr>
    </w:p>
    <w:p>
      <w:pPr>
        <w:ind w:left="540" w:hanging="424"/>
        <w:spacing w:after="0"/>
        <w:tabs>
          <w:tab w:leader="none" w:pos="5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Consists of the DCP, which is described in the “Nonqualified Deferred Compensation Table” in this Proxy Statement.</w:t>
      </w:r>
    </w:p>
    <w:p>
      <w:pPr>
        <w:spacing w:after="0" w:line="68" w:lineRule="exact"/>
        <w:rPr>
          <w:rFonts w:ascii="Arial" w:cs="Arial" w:eastAsia="Arial" w:hAnsi="Arial"/>
          <w:sz w:val="14"/>
          <w:szCs w:val="14"/>
          <w:color w:val="auto"/>
        </w:rPr>
      </w:pPr>
    </w:p>
    <w:p>
      <w:pPr>
        <w:ind w:left="540" w:hanging="424"/>
        <w:spacing w:after="0"/>
        <w:tabs>
          <w:tab w:leader="none" w:pos="5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Reflects the number of Chevron Common Stock Fund units allocated to participant accounts in the DCP as of December 31, 2021.</w:t>
      </w:r>
    </w:p>
    <w:p>
      <w:pPr>
        <w:spacing w:after="0" w:line="68" w:lineRule="exact"/>
        <w:rPr>
          <w:rFonts w:ascii="Arial" w:cs="Arial" w:eastAsia="Arial" w:hAnsi="Arial"/>
          <w:sz w:val="14"/>
          <w:szCs w:val="14"/>
          <w:color w:val="auto"/>
        </w:rPr>
      </w:pPr>
    </w:p>
    <w:p>
      <w:pPr>
        <w:ind w:left="540" w:hanging="424"/>
        <w:spacing w:after="0"/>
        <w:tabs>
          <w:tab w:leader="none" w:pos="5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There is no exercise price for outstanding rights under the DCP.</w:t>
      </w:r>
    </w:p>
    <w:p>
      <w:pPr>
        <w:spacing w:after="0" w:line="68" w:lineRule="exact"/>
        <w:rPr>
          <w:rFonts w:ascii="Arial" w:cs="Arial" w:eastAsia="Arial" w:hAnsi="Arial"/>
          <w:sz w:val="14"/>
          <w:szCs w:val="14"/>
          <w:color w:val="auto"/>
        </w:rPr>
      </w:pPr>
    </w:p>
    <w:p>
      <w:pPr>
        <w:ind w:left="540" w:right="80" w:hanging="424"/>
        <w:spacing w:after="0" w:line="285" w:lineRule="auto"/>
        <w:tabs>
          <w:tab w:leader="none" w:pos="5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Current provisions of the DCP do not provide for a limitation on the number of shares available under the plan. The total actual distributions under the DCP in the last three years were 28,874 shares in 2021, 31,860 shares in 2020, and 46,976 shares in 2019.</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76</w:t>
      </w:r>
    </w:p>
    <w:p>
      <w:pPr>
        <w:sectPr>
          <w:pgSz w:w="11900" w:h="16838" w:orient="portrait"/>
          <w:cols w:equalWidth="0" w:num="1">
            <w:col w:w="11120"/>
          </w:cols>
          <w:pgMar w:left="320" w:top="455" w:right="4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0B2D71"/>
        </w:rPr>
        <w:t>CEO pay ratio</w:t>
      </w:r>
    </w:p>
    <w:p>
      <w:pPr>
        <w:spacing w:after="0" w:line="200" w:lineRule="exact"/>
        <w:rPr>
          <w:sz w:val="20"/>
          <w:szCs w:val="20"/>
          <w:color w:val="auto"/>
        </w:rPr>
      </w:pPr>
    </w:p>
    <w:p>
      <w:pPr>
        <w:spacing w:after="0" w:line="204" w:lineRule="exact"/>
        <w:rPr>
          <w:sz w:val="20"/>
          <w:szCs w:val="20"/>
          <w:color w:val="auto"/>
        </w:rPr>
      </w:pPr>
    </w:p>
    <w:p>
      <w:pPr>
        <w:ind w:left="120" w:right="440"/>
        <w:spacing w:after="0" w:line="243" w:lineRule="auto"/>
        <w:rPr>
          <w:sz w:val="20"/>
          <w:szCs w:val="20"/>
          <w:color w:val="auto"/>
        </w:rPr>
      </w:pPr>
      <w:r>
        <w:rPr>
          <w:rFonts w:ascii="Arial" w:cs="Arial" w:eastAsia="Arial" w:hAnsi="Arial"/>
          <w:sz w:val="16"/>
          <w:szCs w:val="16"/>
          <w:color w:val="auto"/>
        </w:rPr>
        <w:t xml:space="preserve">The ratio of the annual total compensation for the CEO to the annual total compensation of our median employee was </w:t>
      </w:r>
      <w:r>
        <w:rPr>
          <w:rFonts w:ascii="Arial" w:cs="Arial" w:eastAsia="Arial" w:hAnsi="Arial"/>
          <w:sz w:val="16"/>
          <w:szCs w:val="16"/>
          <w:b w:val="1"/>
          <w:bCs w:val="1"/>
          <w:color w:val="auto"/>
        </w:rPr>
        <w:t>123:1</w:t>
      </w:r>
      <w:r>
        <w:rPr>
          <w:rFonts w:ascii="Arial" w:cs="Arial" w:eastAsia="Arial" w:hAnsi="Arial"/>
          <w:sz w:val="16"/>
          <w:szCs w:val="16"/>
          <w:color w:val="auto"/>
        </w:rPr>
        <w:t xml:space="preserve"> for 2021, calculated by dividing our CEO 2021 annual total compensation of $22,610,285 by the 2021 annual total compensation of our median employee of $183,531</w:t>
      </w:r>
      <w:r>
        <w:rPr>
          <w:rFonts w:ascii="Arial" w:cs="Arial" w:eastAsia="Arial" w:hAnsi="Arial"/>
          <w:sz w:val="27"/>
          <w:szCs w:val="27"/>
          <w:color w:val="auto"/>
          <w:vertAlign w:val="superscript"/>
        </w:rPr>
        <w:t>1</w:t>
      </w:r>
      <w:r>
        <w:rPr>
          <w:rFonts w:ascii="Arial" w:cs="Arial" w:eastAsia="Arial" w:hAnsi="Arial"/>
          <w:sz w:val="16"/>
          <w:szCs w:val="16"/>
          <w:color w:val="auto"/>
        </w:rPr>
        <w:t>.</w:t>
      </w:r>
    </w:p>
    <w:p>
      <w:pPr>
        <w:spacing w:after="0" w:line="1" w:lineRule="exact"/>
        <w:rPr>
          <w:sz w:val="20"/>
          <w:szCs w:val="20"/>
          <w:color w:val="auto"/>
        </w:rPr>
      </w:pPr>
    </w:p>
    <w:p>
      <w:pPr>
        <w:ind w:left="120" w:right="100"/>
        <w:spacing w:after="0" w:line="254" w:lineRule="auto"/>
        <w:rPr>
          <w:sz w:val="20"/>
          <w:szCs w:val="20"/>
          <w:color w:val="auto"/>
        </w:rPr>
      </w:pPr>
      <w:r>
        <w:rPr>
          <w:rFonts w:ascii="Arial" w:cs="Arial" w:eastAsia="Arial" w:hAnsi="Arial"/>
          <w:sz w:val="16"/>
          <w:szCs w:val="16"/>
          <w:color w:val="auto"/>
        </w:rPr>
        <w:t>The SEC’s rules for identifying the median employee and calculating the pay ratio based on that employee’s annual total compensation allow companies to choose from a variety of methodologies, to apply certain exclusions, and to make reasonable estimates and assumptions that reflect their employee populations and compensation practices. As a result, the pay ratio reported by other companies may not be comparable with our pay ratio reported above.</w:t>
      </w:r>
    </w:p>
    <w:p>
      <w:pPr>
        <w:spacing w:after="0" w:line="264" w:lineRule="exact"/>
        <w:rPr>
          <w:sz w:val="20"/>
          <w:szCs w:val="20"/>
          <w:color w:val="auto"/>
        </w:rPr>
      </w:pPr>
    </w:p>
    <w:p>
      <w:pPr>
        <w:ind w:left="120" w:right="380"/>
        <w:spacing w:after="0" w:line="286" w:lineRule="auto"/>
        <w:rPr>
          <w:sz w:val="20"/>
          <w:szCs w:val="20"/>
          <w:color w:val="auto"/>
        </w:rPr>
      </w:pPr>
      <w:r>
        <w:rPr>
          <w:rFonts w:ascii="Arial" w:cs="Arial" w:eastAsia="Arial" w:hAnsi="Arial"/>
          <w:sz w:val="16"/>
          <w:szCs w:val="16"/>
          <w:color w:val="auto"/>
        </w:rPr>
        <w:t>Our CEO to median employee pay ratio is a reasonable estimate calculated in a manner that is consistent with SEC rules based on a combination of compensation data from global payroll and human resources records and using the methodology, assumptions, and estimates described below.</w:t>
      </w:r>
    </w:p>
    <w:p>
      <w:pPr>
        <w:spacing w:after="0" w:line="48"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auto"/>
        </w:rPr>
        <w:t>We identified the median employee using our employee population as of October 1, 2021, which included approximately 40,781 individuals located in 50 countries, of which 22,718 employees were on U.S. payroll and 18,063 were on non-U.S. payrolls. Utilizing the “de minimis exemption” as permitted by SEC rules, we excluded approximately 4.99% of the total employee population in the non-U.S. jurisdictions with small employee populations. As a result, we excluded 2,037 individuals in 30 non-U.S. countries. The excluded countries and their employee populations were as follows: Belgium (111), Cambodia (41), Cameroon (9), Congo (44), Cyprus (11), Egypt (51), El Salvador (90), Equatorial Guinea (69), Germany (16), Greece (11), Guatemala</w:t>
      </w:r>
    </w:p>
    <w:p>
      <w:pPr>
        <w:spacing w:after="0" w:line="3"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(46), Honduras (29), Hong Kong (73), India (8), Indonesia (114), Israel (302), Japan (135), Kazakhstan (154), Korea (11), Malaysia (185), Mexico (59), Myanmar (4), Netherlands (92), Norway (2), Pakistan (101), Panama (41), Russian Federation (31), Sri Lanka (74), United Arab Emirates (60), and Vietnam (63). As a result of these exclusions, the employee population used to identify the median employee comprised 38,744 individuals. We included employees from the following non-U.S. countries: Angola, Argentina, Australia, Bahrain, Bangladesh, Bermuda, Brazil, Canada, China, Colombia, France, Kuwait, Nigeria, Philippines, Singapore, Taiwan, Thailand, United Kingdom, United States of America, and Venezuela.</w:t>
      </w:r>
    </w:p>
    <w:p>
      <w:pPr>
        <w:spacing w:after="0" w:line="75"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We identified the median employee using 2021 total cash compensation as our consistently applied compensation measure, calculated for employees as the sum of (i) 2021 annual base salary determined as of October 1, 2021, and (ii) the actual annual cash bonus paid in the first quarter of 2021; provided, however, that for hourly employees who work for Chevron Stations Inc., their total cash compensation was instead based on actual wages and bonus paid during 2021. The compensation in non-U.S. currencies was converted to U.S. dollars using an average foreign exchange rate for the month of October 2021.</w:t>
      </w:r>
    </w:p>
    <w:p>
      <w:pPr>
        <w:spacing w:after="0" w:line="72"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Our pay philosophy is to pay our workforce competitively and equitably; we offer competitive pay packages across all geographies based on industry-specific compensation in the local market, job responsibilities and individual performance. In general, our compensation programs are applied consistently across the workforce, and compensation targets are set using a consistent methodology regardless of job function, with a higher percentage of pay-at-risk provided to executives. We believe both our CEO and our employee compensation packages are appropriately structured to attract and retain the talent needed to deliver on our business plan and to drive long-term stockholder value.</w:t>
      </w:r>
    </w:p>
    <w:p>
      <w:pPr>
        <w:spacing w:after="0" w:line="90" w:lineRule="exact"/>
        <w:rPr>
          <w:sz w:val="20"/>
          <w:szCs w:val="20"/>
          <w:color w:val="auto"/>
        </w:rPr>
      </w:pPr>
    </w:p>
    <w:p>
      <w:pPr>
        <w:ind w:left="540" w:hanging="424"/>
        <w:spacing w:after="0"/>
        <w:tabs>
          <w:tab w:leader="none" w:pos="5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annual total compensation of the median employee is calculated in the same manner as CEO annual total compensation in the Summary Compensation Table.</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77</w:t>
      </w:r>
    </w:p>
    <w:p>
      <w:pPr>
        <w:sectPr>
          <w:pgSz w:w="11900" w:h="16838" w:orient="portrait"/>
          <w:cols w:equalWidth="0" w:num="1">
            <w:col w:w="11120"/>
          </w:cols>
          <w:pgMar w:left="320" w:top="455" w:right="4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0B2D71"/>
        </w:rPr>
        <w:t>Stock ownership information</w:t>
      </w: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0B2D71"/>
        </w:rPr>
        <w:t>Security ownership of certain beneficial owners and management</w:t>
      </w:r>
    </w:p>
    <w:p>
      <w:pPr>
        <w:spacing w:after="0" w:line="242" w:lineRule="exact"/>
        <w:rPr>
          <w:sz w:val="20"/>
          <w:szCs w:val="20"/>
          <w:color w:val="auto"/>
        </w:rPr>
      </w:pPr>
    </w:p>
    <w:p>
      <w:pPr>
        <w:ind w:left="120" w:right="140"/>
        <w:spacing w:after="0" w:line="266" w:lineRule="auto"/>
        <w:rPr>
          <w:sz w:val="20"/>
          <w:szCs w:val="20"/>
          <w:color w:val="auto"/>
        </w:rPr>
      </w:pPr>
      <w:r>
        <w:rPr>
          <w:rFonts w:ascii="Arial" w:cs="Arial" w:eastAsia="Arial" w:hAnsi="Arial"/>
          <w:sz w:val="16"/>
          <w:szCs w:val="16"/>
          <w:color w:val="auto"/>
        </w:rPr>
        <w:t>The following table shows the ownership interest in Chevron common stock as of March 15, 2022 (unless otherwise noted), for (i) holders of more than 5% of our outstanding common stock; (ii) each non-employee Director; (iii) each NEO; and (iv) all current non-employee Directors and executive officers as a group. As of that date, there were 1,964,769,367 shares of Chevron common stock outstanding.</w:t>
      </w:r>
    </w:p>
    <w:p>
      <w:pPr>
        <w:spacing w:after="0" w:line="212" w:lineRule="exact"/>
        <w:rPr>
          <w:sz w:val="20"/>
          <w:szCs w:val="20"/>
          <w:color w:val="auto"/>
        </w:rPr>
      </w:pPr>
    </w:p>
    <w:tbl>
      <w:tblPr>
        <w:tblLayout w:type="fixed"/>
        <w:tblInd w:w="170" w:type="dxa"/>
        <w:tblCellMar>
          <w:top w:w="0" w:type="dxa"/>
          <w:left w:w="0" w:type="dxa"/>
          <w:bottom w:w="0" w:type="dxa"/>
          <w:right w:w="0" w:type="dxa"/>
        </w:tblCellMar>
      </w:tblPr>
      <w:tr>
        <w:trPr>
          <w:trHeight w:val="229"/>
        </w:trPr>
        <w:tc>
          <w:tcPr>
            <w:tcW w:w="4920" w:type="dxa"/>
            <w:vAlign w:val="bottom"/>
            <w:tcBorders>
              <w:left w:val="single" w:sz="8" w:color="7F7F7F"/>
            </w:tcBorders>
            <w:shd w:val="clear" w:color="auto" w:fill="0066B2"/>
          </w:tcPr>
          <w:p>
            <w:pPr>
              <w:ind w:left="140"/>
              <w:spacing w:after="0"/>
              <w:rPr>
                <w:sz w:val="20"/>
                <w:szCs w:val="20"/>
                <w:color w:val="auto"/>
              </w:rPr>
            </w:pPr>
            <w:r>
              <w:rPr>
                <w:rFonts w:ascii="Arial" w:cs="Arial" w:eastAsia="Arial" w:hAnsi="Arial"/>
                <w:sz w:val="16"/>
                <w:szCs w:val="16"/>
                <w:b w:val="1"/>
                <w:bCs w:val="1"/>
                <w:color w:val="FFFFFF"/>
              </w:rPr>
              <w:t>Name</w:t>
            </w:r>
          </w:p>
        </w:tc>
        <w:tc>
          <w:tcPr>
            <w:tcW w:w="1840" w:type="dxa"/>
            <w:vAlign w:val="bottom"/>
            <w:shd w:val="clear" w:color="auto" w:fill="0066B2"/>
          </w:tcPr>
          <w:p>
            <w:pPr>
              <w:jc w:val="right"/>
              <w:ind w:right="103"/>
              <w:spacing w:after="0"/>
              <w:rPr>
                <w:sz w:val="20"/>
                <w:szCs w:val="20"/>
                <w:color w:val="auto"/>
              </w:rPr>
            </w:pPr>
            <w:r>
              <w:rPr>
                <w:rFonts w:ascii="Arial" w:cs="Arial" w:eastAsia="Arial" w:hAnsi="Arial"/>
                <w:sz w:val="16"/>
                <w:szCs w:val="16"/>
                <w:b w:val="1"/>
                <w:bCs w:val="1"/>
                <w:color w:val="FFFFFF"/>
              </w:rPr>
              <w:t>Shares beneficially</w:t>
            </w:r>
          </w:p>
        </w:tc>
        <w:tc>
          <w:tcPr>
            <w:tcW w:w="1540" w:type="dxa"/>
            <w:vAlign w:val="bottom"/>
            <w:shd w:val="clear" w:color="auto" w:fill="0066B2"/>
          </w:tcPr>
          <w:p>
            <w:pPr>
              <w:spacing w:after="0"/>
              <w:rPr>
                <w:sz w:val="19"/>
                <w:szCs w:val="19"/>
                <w:color w:val="auto"/>
              </w:rPr>
            </w:pPr>
          </w:p>
        </w:tc>
        <w:tc>
          <w:tcPr>
            <w:tcW w:w="1300" w:type="dxa"/>
            <w:vAlign w:val="bottom"/>
            <w:shd w:val="clear" w:color="auto" w:fill="0066B2"/>
          </w:tcPr>
          <w:p>
            <w:pPr>
              <w:spacing w:after="0"/>
              <w:rPr>
                <w:sz w:val="19"/>
                <w:szCs w:val="19"/>
                <w:color w:val="auto"/>
              </w:rPr>
            </w:pPr>
          </w:p>
        </w:tc>
        <w:tc>
          <w:tcPr>
            <w:tcW w:w="1360" w:type="dxa"/>
            <w:vAlign w:val="bottom"/>
            <w:tcBorders>
              <w:right w:val="single" w:sz="8" w:color="7F7F7F"/>
            </w:tcBorders>
            <w:shd w:val="clear" w:color="auto" w:fill="0066B2"/>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920" w:type="dxa"/>
            <w:vAlign w:val="bottom"/>
            <w:tcBorders>
              <w:left w:val="single" w:sz="8" w:color="7F7F7F"/>
            </w:tcBorders>
            <w:shd w:val="clear" w:color="auto" w:fill="0066B2"/>
          </w:tcPr>
          <w:p>
            <w:pPr>
              <w:ind w:left="140"/>
              <w:spacing w:after="0"/>
              <w:rPr>
                <w:sz w:val="20"/>
                <w:szCs w:val="20"/>
                <w:color w:val="auto"/>
              </w:rPr>
            </w:pPr>
            <w:r>
              <w:rPr>
                <w:rFonts w:ascii="Arial" w:cs="Arial" w:eastAsia="Arial" w:hAnsi="Arial"/>
                <w:sz w:val="16"/>
                <w:szCs w:val="16"/>
                <w:b w:val="1"/>
                <w:bCs w:val="1"/>
                <w:color w:val="FFFFFF"/>
              </w:rPr>
              <w:t>(“+” denotes a non-employee Director)</w:t>
            </w:r>
          </w:p>
        </w:tc>
        <w:tc>
          <w:tcPr>
            <w:tcW w:w="1840" w:type="dxa"/>
            <w:vAlign w:val="bottom"/>
            <w:shd w:val="clear" w:color="auto" w:fill="0066B2"/>
          </w:tcPr>
          <w:p>
            <w:pPr>
              <w:jc w:val="right"/>
              <w:ind w:right="483"/>
              <w:spacing w:after="0" w:line="244" w:lineRule="exact"/>
              <w:rPr>
                <w:sz w:val="20"/>
                <w:szCs w:val="20"/>
                <w:color w:val="auto"/>
              </w:rPr>
            </w:pPr>
            <w:r>
              <w:rPr>
                <w:rFonts w:ascii="Arial" w:cs="Arial" w:eastAsia="Arial" w:hAnsi="Arial"/>
                <w:sz w:val="16"/>
                <w:szCs w:val="16"/>
                <w:b w:val="1"/>
                <w:bCs w:val="1"/>
                <w:color w:val="FFFFFF"/>
              </w:rPr>
              <w:t>owned</w:t>
            </w:r>
            <w:r>
              <w:rPr>
                <w:rFonts w:ascii="Arial" w:cs="Arial" w:eastAsia="Arial" w:hAnsi="Arial"/>
                <w:sz w:val="27"/>
                <w:szCs w:val="27"/>
                <w:b w:val="1"/>
                <w:bCs w:val="1"/>
                <w:color w:val="FFFFFF"/>
                <w:vertAlign w:val="superscript"/>
              </w:rPr>
              <w:t>(1)</w:t>
            </w:r>
          </w:p>
        </w:tc>
        <w:tc>
          <w:tcPr>
            <w:tcW w:w="1540" w:type="dxa"/>
            <w:vAlign w:val="bottom"/>
            <w:shd w:val="clear" w:color="auto" w:fill="0066B2"/>
          </w:tcPr>
          <w:p>
            <w:pPr>
              <w:jc w:val="right"/>
              <w:ind w:right="283"/>
              <w:spacing w:after="0" w:line="244" w:lineRule="exact"/>
              <w:rPr>
                <w:sz w:val="20"/>
                <w:szCs w:val="20"/>
                <w:color w:val="auto"/>
              </w:rPr>
            </w:pPr>
            <w:r>
              <w:rPr>
                <w:rFonts w:ascii="Arial" w:cs="Arial" w:eastAsia="Arial" w:hAnsi="Arial"/>
                <w:sz w:val="16"/>
                <w:szCs w:val="16"/>
                <w:b w:val="1"/>
                <w:bCs w:val="1"/>
                <w:color w:val="FFFFFF"/>
              </w:rPr>
              <w:t>Stock units</w:t>
            </w:r>
            <w:r>
              <w:rPr>
                <w:rFonts w:ascii="Arial" w:cs="Arial" w:eastAsia="Arial" w:hAnsi="Arial"/>
                <w:sz w:val="27"/>
                <w:szCs w:val="27"/>
                <w:b w:val="1"/>
                <w:bCs w:val="1"/>
                <w:color w:val="FFFFFF"/>
                <w:vertAlign w:val="superscript"/>
              </w:rPr>
              <w:t>(2)</w:t>
            </w:r>
          </w:p>
        </w:tc>
        <w:tc>
          <w:tcPr>
            <w:tcW w:w="1300" w:type="dxa"/>
            <w:vAlign w:val="bottom"/>
            <w:shd w:val="clear" w:color="auto" w:fill="0066B2"/>
          </w:tcPr>
          <w:p>
            <w:pPr>
              <w:jc w:val="right"/>
              <w:ind w:right="463"/>
              <w:spacing w:after="0"/>
              <w:rPr>
                <w:sz w:val="20"/>
                <w:szCs w:val="20"/>
                <w:color w:val="auto"/>
              </w:rPr>
            </w:pPr>
            <w:r>
              <w:rPr>
                <w:rFonts w:ascii="Arial" w:cs="Arial" w:eastAsia="Arial" w:hAnsi="Arial"/>
                <w:sz w:val="16"/>
                <w:szCs w:val="16"/>
                <w:b w:val="1"/>
                <w:bCs w:val="1"/>
                <w:color w:val="FFFFFF"/>
              </w:rPr>
              <w:t>Total</w:t>
            </w:r>
          </w:p>
        </w:tc>
        <w:tc>
          <w:tcPr>
            <w:tcW w:w="1360" w:type="dxa"/>
            <w:vAlign w:val="bottom"/>
            <w:tcBorders>
              <w:right w:val="single" w:sz="8" w:color="7F7F7F"/>
            </w:tcBorders>
            <w:shd w:val="clear" w:color="auto" w:fill="0066B2"/>
          </w:tcPr>
          <w:p>
            <w:pPr>
              <w:jc w:val="right"/>
              <w:spacing w:after="0"/>
              <w:rPr>
                <w:sz w:val="20"/>
                <w:szCs w:val="20"/>
                <w:color w:val="auto"/>
              </w:rPr>
            </w:pPr>
            <w:r>
              <w:rPr>
                <w:rFonts w:ascii="Arial" w:cs="Arial" w:eastAsia="Arial" w:hAnsi="Arial"/>
                <w:sz w:val="16"/>
                <w:szCs w:val="16"/>
                <w:b w:val="1"/>
                <w:bCs w:val="1"/>
                <w:color w:val="FFFFFF"/>
              </w:rPr>
              <w:t>Percent of class</w:t>
            </w:r>
          </w:p>
        </w:tc>
        <w:tc>
          <w:tcPr>
            <w:tcW w:w="0" w:type="dxa"/>
            <w:vAlign w:val="bottom"/>
          </w:tcPr>
          <w:p>
            <w:pPr>
              <w:spacing w:after="0"/>
              <w:rPr>
                <w:sz w:val="1"/>
                <w:szCs w:val="1"/>
                <w:color w:val="auto"/>
              </w:rPr>
            </w:pPr>
          </w:p>
        </w:tc>
      </w:tr>
      <w:tr>
        <w:trPr>
          <w:trHeight w:val="243"/>
        </w:trPr>
        <w:tc>
          <w:tcPr>
            <w:tcW w:w="4920" w:type="dxa"/>
            <w:vAlign w:val="bottom"/>
            <w:tcBorders>
              <w:left w:val="single" w:sz="8" w:color="7F7F7F"/>
            </w:tcBorders>
            <w:shd w:val="clear" w:color="auto" w:fill="D8D8D8"/>
          </w:tcPr>
          <w:p>
            <w:pPr>
              <w:ind w:left="140"/>
              <w:spacing w:after="0"/>
              <w:rPr>
                <w:sz w:val="20"/>
                <w:szCs w:val="20"/>
                <w:color w:val="auto"/>
              </w:rPr>
            </w:pPr>
            <w:r>
              <w:rPr>
                <w:rFonts w:ascii="Arial" w:cs="Arial" w:eastAsia="Arial" w:hAnsi="Arial"/>
                <w:sz w:val="15"/>
                <w:szCs w:val="15"/>
                <w:color w:val="auto"/>
              </w:rPr>
              <w:t>BlackRock, Inc.</w:t>
            </w:r>
            <w:r>
              <w:rPr>
                <w:rFonts w:ascii="Arial" w:cs="Arial" w:eastAsia="Arial" w:hAnsi="Arial"/>
                <w:sz w:val="13"/>
                <w:szCs w:val="13"/>
                <w:color w:val="auto"/>
              </w:rPr>
              <w:t>(3)</w:t>
            </w:r>
          </w:p>
        </w:tc>
        <w:tc>
          <w:tcPr>
            <w:tcW w:w="1840" w:type="dxa"/>
            <w:vAlign w:val="bottom"/>
            <w:shd w:val="clear" w:color="auto" w:fill="D8D8D8"/>
          </w:tcPr>
          <w:p>
            <w:pPr>
              <w:jc w:val="right"/>
              <w:ind w:right="223"/>
              <w:spacing w:after="0"/>
              <w:rPr>
                <w:sz w:val="20"/>
                <w:szCs w:val="20"/>
                <w:color w:val="auto"/>
              </w:rPr>
            </w:pPr>
            <w:r>
              <w:rPr>
                <w:rFonts w:ascii="Arial" w:cs="Arial" w:eastAsia="Arial" w:hAnsi="Arial"/>
                <w:sz w:val="15"/>
                <w:szCs w:val="15"/>
                <w:color w:val="auto"/>
              </w:rPr>
              <w:t>126,043,765</w:t>
            </w:r>
          </w:p>
        </w:tc>
        <w:tc>
          <w:tcPr>
            <w:tcW w:w="1540" w:type="dxa"/>
            <w:vAlign w:val="bottom"/>
            <w:shd w:val="clear" w:color="auto" w:fill="D8D8D8"/>
          </w:tcPr>
          <w:p>
            <w:pPr>
              <w:jc w:val="right"/>
              <w:ind w:right="343"/>
              <w:spacing w:after="0"/>
              <w:rPr>
                <w:sz w:val="20"/>
                <w:szCs w:val="20"/>
                <w:color w:val="auto"/>
              </w:rPr>
            </w:pPr>
            <w:r>
              <w:rPr>
                <w:rFonts w:ascii="Arial" w:cs="Arial" w:eastAsia="Arial" w:hAnsi="Arial"/>
                <w:sz w:val="15"/>
                <w:szCs w:val="15"/>
                <w:color w:val="auto"/>
              </w:rPr>
              <w:t>–</w:t>
            </w:r>
          </w:p>
        </w:tc>
        <w:tc>
          <w:tcPr>
            <w:tcW w:w="1300" w:type="dxa"/>
            <w:vAlign w:val="bottom"/>
            <w:shd w:val="clear" w:color="auto" w:fill="D8D8D8"/>
          </w:tcPr>
          <w:p>
            <w:pPr>
              <w:jc w:val="right"/>
              <w:ind w:right="23"/>
              <w:spacing w:after="0"/>
              <w:rPr>
                <w:sz w:val="20"/>
                <w:szCs w:val="20"/>
                <w:color w:val="auto"/>
              </w:rPr>
            </w:pPr>
            <w:r>
              <w:rPr>
                <w:rFonts w:ascii="Arial" w:cs="Arial" w:eastAsia="Arial" w:hAnsi="Arial"/>
                <w:sz w:val="15"/>
                <w:szCs w:val="15"/>
                <w:color w:val="auto"/>
              </w:rPr>
              <w:t>126,043,765</w:t>
            </w:r>
          </w:p>
        </w:tc>
        <w:tc>
          <w:tcPr>
            <w:tcW w:w="1360" w:type="dxa"/>
            <w:vAlign w:val="bottom"/>
            <w:tcBorders>
              <w:right w:val="single" w:sz="8" w:color="7F7F7F"/>
            </w:tcBorders>
            <w:shd w:val="clear" w:color="auto" w:fill="D8D8D8"/>
          </w:tcPr>
          <w:p>
            <w:pPr>
              <w:jc w:val="right"/>
              <w:spacing w:after="0"/>
              <w:rPr>
                <w:sz w:val="20"/>
                <w:szCs w:val="20"/>
                <w:color w:val="auto"/>
              </w:rPr>
            </w:pPr>
            <w:r>
              <w:rPr>
                <w:rFonts w:ascii="Arial" w:cs="Arial" w:eastAsia="Arial" w:hAnsi="Arial"/>
                <w:sz w:val="15"/>
                <w:szCs w:val="15"/>
                <w:color w:val="auto"/>
              </w:rPr>
              <w:t>6.50%</w:t>
            </w:r>
          </w:p>
        </w:tc>
        <w:tc>
          <w:tcPr>
            <w:tcW w:w="0" w:type="dxa"/>
            <w:vAlign w:val="bottom"/>
          </w:tcPr>
          <w:p>
            <w:pPr>
              <w:spacing w:after="0"/>
              <w:rPr>
                <w:sz w:val="1"/>
                <w:szCs w:val="1"/>
                <w:color w:val="auto"/>
              </w:rPr>
            </w:pPr>
          </w:p>
        </w:tc>
      </w:tr>
      <w:tr>
        <w:trPr>
          <w:trHeight w:val="240"/>
        </w:trPr>
        <w:tc>
          <w:tcPr>
            <w:tcW w:w="4920" w:type="dxa"/>
            <w:vAlign w:val="bottom"/>
            <w:tcBorders>
              <w:left w:val="single" w:sz="8" w:color="7F7F7F"/>
            </w:tcBorders>
          </w:tcPr>
          <w:p>
            <w:pPr>
              <w:ind w:left="140"/>
              <w:spacing w:after="0"/>
              <w:rPr>
                <w:sz w:val="20"/>
                <w:szCs w:val="20"/>
                <w:color w:val="auto"/>
              </w:rPr>
            </w:pPr>
            <w:r>
              <w:rPr>
                <w:rFonts w:ascii="Arial" w:cs="Arial" w:eastAsia="Arial" w:hAnsi="Arial"/>
                <w:sz w:val="15"/>
                <w:szCs w:val="15"/>
                <w:color w:val="auto"/>
              </w:rPr>
              <w:t>State Street Corporation</w:t>
            </w:r>
            <w:r>
              <w:rPr>
                <w:rFonts w:ascii="Arial" w:cs="Arial" w:eastAsia="Arial" w:hAnsi="Arial"/>
                <w:sz w:val="13"/>
                <w:szCs w:val="13"/>
                <w:color w:val="auto"/>
              </w:rPr>
              <w:t>(4)</w:t>
            </w:r>
          </w:p>
        </w:tc>
        <w:tc>
          <w:tcPr>
            <w:tcW w:w="1840" w:type="dxa"/>
            <w:vAlign w:val="bottom"/>
          </w:tcPr>
          <w:p>
            <w:pPr>
              <w:jc w:val="right"/>
              <w:ind w:right="223"/>
              <w:spacing w:after="0"/>
              <w:rPr>
                <w:sz w:val="20"/>
                <w:szCs w:val="20"/>
                <w:color w:val="auto"/>
              </w:rPr>
            </w:pPr>
            <w:r>
              <w:rPr>
                <w:rFonts w:ascii="Arial" w:cs="Arial" w:eastAsia="Arial" w:hAnsi="Arial"/>
                <w:sz w:val="15"/>
                <w:szCs w:val="15"/>
                <w:color w:val="auto"/>
              </w:rPr>
              <w:t>138,919,878</w:t>
            </w:r>
          </w:p>
        </w:tc>
        <w:tc>
          <w:tcPr>
            <w:tcW w:w="154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23"/>
              <w:spacing w:after="0"/>
              <w:rPr>
                <w:sz w:val="20"/>
                <w:szCs w:val="20"/>
                <w:color w:val="auto"/>
              </w:rPr>
            </w:pPr>
            <w:r>
              <w:rPr>
                <w:rFonts w:ascii="Arial" w:cs="Arial" w:eastAsia="Arial" w:hAnsi="Arial"/>
                <w:sz w:val="15"/>
                <w:szCs w:val="15"/>
                <w:color w:val="auto"/>
              </w:rPr>
              <w:t>138,919,878</w:t>
            </w:r>
          </w:p>
        </w:tc>
        <w:tc>
          <w:tcPr>
            <w:tcW w:w="1360" w:type="dxa"/>
            <w:vAlign w:val="bottom"/>
            <w:tcBorders>
              <w:right w:val="single" w:sz="8" w:color="7F7F7F"/>
            </w:tcBorders>
          </w:tcPr>
          <w:p>
            <w:pPr>
              <w:jc w:val="right"/>
              <w:spacing w:after="0"/>
              <w:rPr>
                <w:sz w:val="20"/>
                <w:szCs w:val="20"/>
                <w:color w:val="auto"/>
              </w:rPr>
            </w:pPr>
            <w:r>
              <w:rPr>
                <w:rFonts w:ascii="Arial" w:cs="Arial" w:eastAsia="Arial" w:hAnsi="Arial"/>
                <w:sz w:val="15"/>
                <w:szCs w:val="15"/>
                <w:color w:val="auto"/>
              </w:rPr>
              <w:t>7.21%</w:t>
            </w:r>
          </w:p>
        </w:tc>
        <w:tc>
          <w:tcPr>
            <w:tcW w:w="0" w:type="dxa"/>
            <w:vAlign w:val="bottom"/>
          </w:tcPr>
          <w:p>
            <w:pPr>
              <w:spacing w:after="0"/>
              <w:rPr>
                <w:sz w:val="1"/>
                <w:szCs w:val="1"/>
                <w:color w:val="auto"/>
              </w:rPr>
            </w:pPr>
          </w:p>
        </w:tc>
      </w:tr>
      <w:tr>
        <w:trPr>
          <w:trHeight w:val="246"/>
        </w:trPr>
        <w:tc>
          <w:tcPr>
            <w:tcW w:w="4920" w:type="dxa"/>
            <w:vAlign w:val="bottom"/>
            <w:tcBorders>
              <w:left w:val="single" w:sz="8" w:color="7F7F7F"/>
            </w:tcBorders>
            <w:shd w:val="clear" w:color="auto" w:fill="D8D8D8"/>
          </w:tcPr>
          <w:p>
            <w:pPr>
              <w:ind w:left="140"/>
              <w:spacing w:after="0"/>
              <w:rPr>
                <w:sz w:val="20"/>
                <w:szCs w:val="20"/>
                <w:color w:val="auto"/>
              </w:rPr>
            </w:pPr>
            <w:r>
              <w:rPr>
                <w:rFonts w:ascii="Arial" w:cs="Arial" w:eastAsia="Arial" w:hAnsi="Arial"/>
                <w:sz w:val="15"/>
                <w:szCs w:val="15"/>
                <w:color w:val="auto"/>
              </w:rPr>
              <w:t>The Vanguard Group</w:t>
            </w:r>
            <w:r>
              <w:rPr>
                <w:rFonts w:ascii="Arial" w:cs="Arial" w:eastAsia="Arial" w:hAnsi="Arial"/>
                <w:sz w:val="13"/>
                <w:szCs w:val="13"/>
                <w:color w:val="auto"/>
              </w:rPr>
              <w:t>(5)</w:t>
            </w:r>
          </w:p>
        </w:tc>
        <w:tc>
          <w:tcPr>
            <w:tcW w:w="1840" w:type="dxa"/>
            <w:vAlign w:val="bottom"/>
            <w:shd w:val="clear" w:color="auto" w:fill="D8D8D8"/>
          </w:tcPr>
          <w:p>
            <w:pPr>
              <w:jc w:val="right"/>
              <w:ind w:right="223"/>
              <w:spacing w:after="0"/>
              <w:rPr>
                <w:sz w:val="20"/>
                <w:szCs w:val="20"/>
                <w:color w:val="auto"/>
              </w:rPr>
            </w:pPr>
            <w:r>
              <w:rPr>
                <w:rFonts w:ascii="Arial" w:cs="Arial" w:eastAsia="Arial" w:hAnsi="Arial"/>
                <w:sz w:val="15"/>
                <w:szCs w:val="15"/>
                <w:color w:val="auto"/>
              </w:rPr>
              <w:t>163,400,131</w:t>
            </w:r>
          </w:p>
        </w:tc>
        <w:tc>
          <w:tcPr>
            <w:tcW w:w="1540" w:type="dxa"/>
            <w:vAlign w:val="bottom"/>
            <w:shd w:val="clear" w:color="auto" w:fill="D8D8D8"/>
          </w:tcPr>
          <w:p>
            <w:pPr>
              <w:jc w:val="right"/>
              <w:ind w:right="343"/>
              <w:spacing w:after="0"/>
              <w:rPr>
                <w:sz w:val="20"/>
                <w:szCs w:val="20"/>
                <w:color w:val="auto"/>
              </w:rPr>
            </w:pPr>
            <w:r>
              <w:rPr>
                <w:rFonts w:ascii="Arial" w:cs="Arial" w:eastAsia="Arial" w:hAnsi="Arial"/>
                <w:sz w:val="15"/>
                <w:szCs w:val="15"/>
                <w:color w:val="auto"/>
              </w:rPr>
              <w:t>–</w:t>
            </w:r>
          </w:p>
        </w:tc>
        <w:tc>
          <w:tcPr>
            <w:tcW w:w="1300" w:type="dxa"/>
            <w:vAlign w:val="bottom"/>
            <w:shd w:val="clear" w:color="auto" w:fill="D8D8D8"/>
          </w:tcPr>
          <w:p>
            <w:pPr>
              <w:jc w:val="right"/>
              <w:ind w:right="23"/>
              <w:spacing w:after="0"/>
              <w:rPr>
                <w:sz w:val="20"/>
                <w:szCs w:val="20"/>
                <w:color w:val="auto"/>
              </w:rPr>
            </w:pPr>
            <w:r>
              <w:rPr>
                <w:rFonts w:ascii="Arial" w:cs="Arial" w:eastAsia="Arial" w:hAnsi="Arial"/>
                <w:sz w:val="15"/>
                <w:szCs w:val="15"/>
                <w:color w:val="auto"/>
              </w:rPr>
              <w:t>163,400,131</w:t>
            </w:r>
          </w:p>
        </w:tc>
        <w:tc>
          <w:tcPr>
            <w:tcW w:w="1360" w:type="dxa"/>
            <w:vAlign w:val="bottom"/>
            <w:tcBorders>
              <w:right w:val="single" w:sz="8" w:color="7F7F7F"/>
            </w:tcBorders>
            <w:shd w:val="clear" w:color="auto" w:fill="D8D8D8"/>
          </w:tcPr>
          <w:p>
            <w:pPr>
              <w:jc w:val="right"/>
              <w:spacing w:after="0"/>
              <w:rPr>
                <w:sz w:val="20"/>
                <w:szCs w:val="20"/>
                <w:color w:val="auto"/>
              </w:rPr>
            </w:pPr>
            <w:r>
              <w:rPr>
                <w:rFonts w:ascii="Arial" w:cs="Arial" w:eastAsia="Arial" w:hAnsi="Arial"/>
                <w:sz w:val="15"/>
                <w:szCs w:val="15"/>
                <w:color w:val="auto"/>
              </w:rPr>
              <w:t>8.48%</w:t>
            </w:r>
          </w:p>
        </w:tc>
        <w:tc>
          <w:tcPr>
            <w:tcW w:w="0" w:type="dxa"/>
            <w:vAlign w:val="bottom"/>
          </w:tcPr>
          <w:p>
            <w:pPr>
              <w:spacing w:after="0"/>
              <w:rPr>
                <w:sz w:val="1"/>
                <w:szCs w:val="1"/>
                <w:color w:val="auto"/>
              </w:rPr>
            </w:pPr>
          </w:p>
        </w:tc>
      </w:tr>
      <w:tr>
        <w:trPr>
          <w:trHeight w:val="240"/>
        </w:trPr>
        <w:tc>
          <w:tcPr>
            <w:tcW w:w="4920" w:type="dxa"/>
            <w:vAlign w:val="bottom"/>
            <w:tcBorders>
              <w:left w:val="single" w:sz="8" w:color="7F7F7F"/>
            </w:tcBorders>
          </w:tcPr>
          <w:p>
            <w:pPr>
              <w:ind w:left="140"/>
              <w:spacing w:after="0"/>
              <w:rPr>
                <w:sz w:val="20"/>
                <w:szCs w:val="20"/>
                <w:color w:val="auto"/>
              </w:rPr>
            </w:pPr>
            <w:r>
              <w:rPr>
                <w:rFonts w:ascii="Arial" w:cs="Arial" w:eastAsia="Arial" w:hAnsi="Arial"/>
                <w:sz w:val="15"/>
                <w:szCs w:val="15"/>
                <w:color w:val="auto"/>
              </w:rPr>
              <w:t>Wanda M. Austin+</w:t>
            </w:r>
          </w:p>
        </w:tc>
        <w:tc>
          <w:tcPr>
            <w:tcW w:w="1840" w:type="dxa"/>
            <w:vAlign w:val="bottom"/>
          </w:tcPr>
          <w:p>
            <w:pPr>
              <w:jc w:val="right"/>
              <w:ind w:right="223"/>
              <w:spacing w:after="0"/>
              <w:rPr>
                <w:sz w:val="20"/>
                <w:szCs w:val="20"/>
                <w:color w:val="auto"/>
              </w:rPr>
            </w:pPr>
            <w:r>
              <w:rPr>
                <w:rFonts w:ascii="Arial" w:cs="Arial" w:eastAsia="Arial" w:hAnsi="Arial"/>
                <w:sz w:val="15"/>
                <w:szCs w:val="15"/>
                <w:color w:val="auto"/>
              </w:rPr>
              <w:t>33,454</w:t>
            </w:r>
          </w:p>
        </w:tc>
        <w:tc>
          <w:tcPr>
            <w:tcW w:w="1540" w:type="dxa"/>
            <w:vAlign w:val="bottom"/>
          </w:tcPr>
          <w:p>
            <w:pPr>
              <w:jc w:val="right"/>
              <w:ind w:right="343"/>
              <w:spacing w:after="0"/>
              <w:rPr>
                <w:sz w:val="20"/>
                <w:szCs w:val="20"/>
                <w:color w:val="auto"/>
              </w:rPr>
            </w:pPr>
            <w:r>
              <w:rPr>
                <w:rFonts w:ascii="Arial" w:cs="Arial" w:eastAsia="Arial" w:hAnsi="Arial"/>
                <w:sz w:val="15"/>
                <w:szCs w:val="15"/>
                <w:color w:val="auto"/>
              </w:rPr>
              <w:t>2,239</w:t>
            </w:r>
          </w:p>
        </w:tc>
        <w:tc>
          <w:tcPr>
            <w:tcW w:w="1300" w:type="dxa"/>
            <w:vAlign w:val="bottom"/>
          </w:tcPr>
          <w:p>
            <w:pPr>
              <w:jc w:val="right"/>
              <w:ind w:right="23"/>
              <w:spacing w:after="0"/>
              <w:rPr>
                <w:sz w:val="20"/>
                <w:szCs w:val="20"/>
                <w:color w:val="auto"/>
              </w:rPr>
            </w:pPr>
            <w:r>
              <w:rPr>
                <w:rFonts w:ascii="Arial" w:cs="Arial" w:eastAsia="Arial" w:hAnsi="Arial"/>
                <w:sz w:val="15"/>
                <w:szCs w:val="15"/>
                <w:color w:val="auto"/>
              </w:rPr>
              <w:t>35,693</w:t>
            </w:r>
          </w:p>
        </w:tc>
        <w:tc>
          <w:tcPr>
            <w:tcW w:w="1360" w:type="dxa"/>
            <w:vAlign w:val="bottom"/>
            <w:tcBorders>
              <w:right w:val="single" w:sz="8" w:color="7F7F7F"/>
            </w:tcBorders>
          </w:tcPr>
          <w:p>
            <w:pPr>
              <w:jc w:val="right"/>
              <w:ind w:right="1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6"/>
        </w:trPr>
        <w:tc>
          <w:tcPr>
            <w:tcW w:w="4920" w:type="dxa"/>
            <w:vAlign w:val="bottom"/>
            <w:tcBorders>
              <w:left w:val="single" w:sz="8" w:color="7F7F7F"/>
            </w:tcBorders>
            <w:shd w:val="clear" w:color="auto" w:fill="D8D8D8"/>
          </w:tcPr>
          <w:p>
            <w:pPr>
              <w:ind w:left="140"/>
              <w:spacing w:after="0"/>
              <w:rPr>
                <w:sz w:val="20"/>
                <w:szCs w:val="20"/>
                <w:color w:val="auto"/>
              </w:rPr>
            </w:pPr>
            <w:r>
              <w:rPr>
                <w:rFonts w:ascii="Arial" w:cs="Arial" w:eastAsia="Arial" w:hAnsi="Arial"/>
                <w:sz w:val="15"/>
                <w:szCs w:val="15"/>
                <w:color w:val="auto"/>
              </w:rPr>
              <w:t>Pierre R. Breber</w:t>
            </w:r>
          </w:p>
        </w:tc>
        <w:tc>
          <w:tcPr>
            <w:tcW w:w="1840" w:type="dxa"/>
            <w:vAlign w:val="bottom"/>
            <w:shd w:val="clear" w:color="auto" w:fill="D8D8D8"/>
          </w:tcPr>
          <w:p>
            <w:pPr>
              <w:jc w:val="right"/>
              <w:ind w:right="223"/>
              <w:spacing w:after="0"/>
              <w:rPr>
                <w:sz w:val="20"/>
                <w:szCs w:val="20"/>
                <w:color w:val="auto"/>
              </w:rPr>
            </w:pPr>
            <w:r>
              <w:rPr>
                <w:rFonts w:ascii="Arial" w:cs="Arial" w:eastAsia="Arial" w:hAnsi="Arial"/>
                <w:sz w:val="15"/>
                <w:szCs w:val="15"/>
                <w:color w:val="auto"/>
              </w:rPr>
              <w:t>793,008</w:t>
            </w:r>
          </w:p>
        </w:tc>
        <w:tc>
          <w:tcPr>
            <w:tcW w:w="1540" w:type="dxa"/>
            <w:vAlign w:val="bottom"/>
            <w:shd w:val="clear" w:color="auto" w:fill="D8D8D8"/>
          </w:tcPr>
          <w:p>
            <w:pPr>
              <w:jc w:val="right"/>
              <w:ind w:right="343"/>
              <w:spacing w:after="0"/>
              <w:rPr>
                <w:sz w:val="20"/>
                <w:szCs w:val="20"/>
                <w:color w:val="auto"/>
              </w:rPr>
            </w:pPr>
            <w:r>
              <w:rPr>
                <w:rFonts w:ascii="Arial" w:cs="Arial" w:eastAsia="Arial" w:hAnsi="Arial"/>
                <w:sz w:val="15"/>
                <w:szCs w:val="15"/>
                <w:color w:val="auto"/>
              </w:rPr>
              <w:t>57,014</w:t>
            </w:r>
          </w:p>
        </w:tc>
        <w:tc>
          <w:tcPr>
            <w:tcW w:w="1300" w:type="dxa"/>
            <w:vAlign w:val="bottom"/>
            <w:shd w:val="clear" w:color="auto" w:fill="D8D8D8"/>
          </w:tcPr>
          <w:p>
            <w:pPr>
              <w:jc w:val="right"/>
              <w:ind w:right="23"/>
              <w:spacing w:after="0"/>
              <w:rPr>
                <w:sz w:val="20"/>
                <w:szCs w:val="20"/>
                <w:color w:val="auto"/>
              </w:rPr>
            </w:pPr>
            <w:r>
              <w:rPr>
                <w:rFonts w:ascii="Arial" w:cs="Arial" w:eastAsia="Arial" w:hAnsi="Arial"/>
                <w:sz w:val="15"/>
                <w:szCs w:val="15"/>
                <w:color w:val="auto"/>
              </w:rPr>
              <w:t>850,022</w:t>
            </w:r>
          </w:p>
        </w:tc>
        <w:tc>
          <w:tcPr>
            <w:tcW w:w="1360" w:type="dxa"/>
            <w:vAlign w:val="bottom"/>
            <w:tcBorders>
              <w:right w:val="single" w:sz="8" w:color="7F7F7F"/>
            </w:tcBorders>
            <w:shd w:val="clear" w:color="auto" w:fill="D8D8D8"/>
          </w:tcPr>
          <w:p>
            <w:pPr>
              <w:jc w:val="right"/>
              <w:ind w:right="1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0"/>
        </w:trPr>
        <w:tc>
          <w:tcPr>
            <w:tcW w:w="4920" w:type="dxa"/>
            <w:vAlign w:val="bottom"/>
            <w:tcBorders>
              <w:left w:val="single" w:sz="8" w:color="7F7F7F"/>
            </w:tcBorders>
          </w:tcPr>
          <w:p>
            <w:pPr>
              <w:ind w:left="140"/>
              <w:spacing w:after="0"/>
              <w:rPr>
                <w:sz w:val="20"/>
                <w:szCs w:val="20"/>
                <w:color w:val="auto"/>
              </w:rPr>
            </w:pPr>
            <w:r>
              <w:rPr>
                <w:rFonts w:ascii="Arial" w:cs="Arial" w:eastAsia="Arial" w:hAnsi="Arial"/>
                <w:sz w:val="15"/>
                <w:szCs w:val="15"/>
                <w:color w:val="auto"/>
              </w:rPr>
              <w:t>John B. Frank+</w:t>
            </w:r>
          </w:p>
        </w:tc>
        <w:tc>
          <w:tcPr>
            <w:tcW w:w="1840" w:type="dxa"/>
            <w:vAlign w:val="bottom"/>
          </w:tcPr>
          <w:p>
            <w:pPr>
              <w:jc w:val="right"/>
              <w:ind w:right="223"/>
              <w:spacing w:after="0"/>
              <w:rPr>
                <w:sz w:val="20"/>
                <w:szCs w:val="20"/>
                <w:color w:val="auto"/>
              </w:rPr>
            </w:pPr>
            <w:r>
              <w:rPr>
                <w:rFonts w:ascii="Arial" w:cs="Arial" w:eastAsia="Arial" w:hAnsi="Arial"/>
                <w:sz w:val="15"/>
                <w:szCs w:val="15"/>
                <w:color w:val="auto"/>
              </w:rPr>
              <w:t>17,063</w:t>
            </w:r>
          </w:p>
        </w:tc>
        <w:tc>
          <w:tcPr>
            <w:tcW w:w="1540" w:type="dxa"/>
            <w:vAlign w:val="bottom"/>
          </w:tcPr>
          <w:p>
            <w:pPr>
              <w:jc w:val="right"/>
              <w:ind w:right="343"/>
              <w:spacing w:after="0"/>
              <w:rPr>
                <w:sz w:val="20"/>
                <w:szCs w:val="20"/>
                <w:color w:val="auto"/>
              </w:rPr>
            </w:pPr>
            <w:r>
              <w:rPr>
                <w:rFonts w:ascii="Arial" w:cs="Arial" w:eastAsia="Arial" w:hAnsi="Arial"/>
                <w:sz w:val="15"/>
                <w:szCs w:val="15"/>
                <w:color w:val="auto"/>
              </w:rPr>
              <w:t>10,611</w:t>
            </w:r>
          </w:p>
        </w:tc>
        <w:tc>
          <w:tcPr>
            <w:tcW w:w="1300" w:type="dxa"/>
            <w:vAlign w:val="bottom"/>
          </w:tcPr>
          <w:p>
            <w:pPr>
              <w:jc w:val="right"/>
              <w:ind w:right="23"/>
              <w:spacing w:after="0"/>
              <w:rPr>
                <w:sz w:val="20"/>
                <w:szCs w:val="20"/>
                <w:color w:val="auto"/>
              </w:rPr>
            </w:pPr>
            <w:r>
              <w:rPr>
                <w:rFonts w:ascii="Arial" w:cs="Arial" w:eastAsia="Arial" w:hAnsi="Arial"/>
                <w:sz w:val="15"/>
                <w:szCs w:val="15"/>
                <w:color w:val="auto"/>
              </w:rPr>
              <w:t>27,674</w:t>
            </w:r>
          </w:p>
        </w:tc>
        <w:tc>
          <w:tcPr>
            <w:tcW w:w="1360" w:type="dxa"/>
            <w:vAlign w:val="bottom"/>
            <w:tcBorders>
              <w:right w:val="single" w:sz="8" w:color="7F7F7F"/>
            </w:tcBorders>
          </w:tcPr>
          <w:p>
            <w:pPr>
              <w:jc w:val="right"/>
              <w:ind w:right="1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6"/>
        </w:trPr>
        <w:tc>
          <w:tcPr>
            <w:tcW w:w="4920" w:type="dxa"/>
            <w:vAlign w:val="bottom"/>
            <w:tcBorders>
              <w:left w:val="single" w:sz="8" w:color="7F7F7F"/>
            </w:tcBorders>
            <w:shd w:val="clear" w:color="auto" w:fill="D8D8D8"/>
          </w:tcPr>
          <w:p>
            <w:pPr>
              <w:ind w:left="140"/>
              <w:spacing w:after="0"/>
              <w:rPr>
                <w:sz w:val="20"/>
                <w:szCs w:val="20"/>
                <w:color w:val="auto"/>
              </w:rPr>
            </w:pPr>
            <w:r>
              <w:rPr>
                <w:rFonts w:ascii="Arial" w:cs="Arial" w:eastAsia="Arial" w:hAnsi="Arial"/>
                <w:sz w:val="15"/>
                <w:szCs w:val="15"/>
                <w:color w:val="auto"/>
              </w:rPr>
              <w:t>Alice P. Gast+</w:t>
            </w:r>
          </w:p>
        </w:tc>
        <w:tc>
          <w:tcPr>
            <w:tcW w:w="1840" w:type="dxa"/>
            <w:vAlign w:val="bottom"/>
            <w:shd w:val="clear" w:color="auto" w:fill="D8D8D8"/>
          </w:tcPr>
          <w:p>
            <w:pPr>
              <w:jc w:val="right"/>
              <w:ind w:right="223"/>
              <w:spacing w:after="0"/>
              <w:rPr>
                <w:sz w:val="20"/>
                <w:szCs w:val="20"/>
                <w:color w:val="auto"/>
              </w:rPr>
            </w:pPr>
            <w:r>
              <w:rPr>
                <w:rFonts w:ascii="Arial" w:cs="Arial" w:eastAsia="Arial" w:hAnsi="Arial"/>
                <w:sz w:val="15"/>
                <w:szCs w:val="15"/>
                <w:color w:val="auto"/>
              </w:rPr>
              <w:t>2,706</w:t>
            </w:r>
          </w:p>
        </w:tc>
        <w:tc>
          <w:tcPr>
            <w:tcW w:w="1540" w:type="dxa"/>
            <w:vAlign w:val="bottom"/>
            <w:shd w:val="clear" w:color="auto" w:fill="D8D8D8"/>
          </w:tcPr>
          <w:p>
            <w:pPr>
              <w:jc w:val="right"/>
              <w:ind w:right="343"/>
              <w:spacing w:after="0"/>
              <w:rPr>
                <w:sz w:val="20"/>
                <w:szCs w:val="20"/>
                <w:color w:val="auto"/>
              </w:rPr>
            </w:pPr>
            <w:r>
              <w:rPr>
                <w:rFonts w:ascii="Arial" w:cs="Arial" w:eastAsia="Arial" w:hAnsi="Arial"/>
                <w:sz w:val="15"/>
                <w:szCs w:val="15"/>
                <w:color w:val="auto"/>
              </w:rPr>
              <w:t>20,306</w:t>
            </w:r>
          </w:p>
        </w:tc>
        <w:tc>
          <w:tcPr>
            <w:tcW w:w="1300" w:type="dxa"/>
            <w:vAlign w:val="bottom"/>
            <w:shd w:val="clear" w:color="auto" w:fill="D8D8D8"/>
          </w:tcPr>
          <w:p>
            <w:pPr>
              <w:jc w:val="right"/>
              <w:ind w:right="23"/>
              <w:spacing w:after="0"/>
              <w:rPr>
                <w:sz w:val="20"/>
                <w:szCs w:val="20"/>
                <w:color w:val="auto"/>
              </w:rPr>
            </w:pPr>
            <w:r>
              <w:rPr>
                <w:rFonts w:ascii="Arial" w:cs="Arial" w:eastAsia="Arial" w:hAnsi="Arial"/>
                <w:sz w:val="15"/>
                <w:szCs w:val="15"/>
                <w:color w:val="auto"/>
              </w:rPr>
              <w:t>23,012</w:t>
            </w:r>
          </w:p>
        </w:tc>
        <w:tc>
          <w:tcPr>
            <w:tcW w:w="1360" w:type="dxa"/>
            <w:vAlign w:val="bottom"/>
            <w:tcBorders>
              <w:right w:val="single" w:sz="8" w:color="7F7F7F"/>
            </w:tcBorders>
            <w:shd w:val="clear" w:color="auto" w:fill="D8D8D8"/>
          </w:tcPr>
          <w:p>
            <w:pPr>
              <w:jc w:val="right"/>
              <w:ind w:right="1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0"/>
        </w:trPr>
        <w:tc>
          <w:tcPr>
            <w:tcW w:w="4920" w:type="dxa"/>
            <w:vAlign w:val="bottom"/>
            <w:tcBorders>
              <w:left w:val="single" w:sz="8" w:color="7F7F7F"/>
            </w:tcBorders>
          </w:tcPr>
          <w:p>
            <w:pPr>
              <w:ind w:left="140"/>
              <w:spacing w:after="0"/>
              <w:rPr>
                <w:sz w:val="20"/>
                <w:szCs w:val="20"/>
                <w:color w:val="auto"/>
              </w:rPr>
            </w:pPr>
            <w:r>
              <w:rPr>
                <w:rFonts w:ascii="Arial" w:cs="Arial" w:eastAsia="Arial" w:hAnsi="Arial"/>
                <w:sz w:val="15"/>
                <w:szCs w:val="15"/>
                <w:color w:val="auto"/>
              </w:rPr>
              <w:t>Joseph C. Geagea</w:t>
            </w:r>
          </w:p>
        </w:tc>
        <w:tc>
          <w:tcPr>
            <w:tcW w:w="1840" w:type="dxa"/>
            <w:vAlign w:val="bottom"/>
          </w:tcPr>
          <w:p>
            <w:pPr>
              <w:jc w:val="right"/>
              <w:ind w:right="223"/>
              <w:spacing w:after="0"/>
              <w:rPr>
                <w:sz w:val="20"/>
                <w:szCs w:val="20"/>
                <w:color w:val="auto"/>
              </w:rPr>
            </w:pPr>
            <w:r>
              <w:rPr>
                <w:rFonts w:ascii="Arial" w:cs="Arial" w:eastAsia="Arial" w:hAnsi="Arial"/>
                <w:sz w:val="15"/>
                <w:szCs w:val="15"/>
                <w:color w:val="auto"/>
              </w:rPr>
              <w:t>806,041</w:t>
            </w:r>
          </w:p>
        </w:tc>
        <w:tc>
          <w:tcPr>
            <w:tcW w:w="154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23"/>
              <w:spacing w:after="0"/>
              <w:rPr>
                <w:sz w:val="20"/>
                <w:szCs w:val="20"/>
                <w:color w:val="auto"/>
              </w:rPr>
            </w:pPr>
            <w:r>
              <w:rPr>
                <w:rFonts w:ascii="Arial" w:cs="Arial" w:eastAsia="Arial" w:hAnsi="Arial"/>
                <w:sz w:val="15"/>
                <w:szCs w:val="15"/>
                <w:color w:val="auto"/>
              </w:rPr>
              <w:t>806,041</w:t>
            </w:r>
          </w:p>
        </w:tc>
        <w:tc>
          <w:tcPr>
            <w:tcW w:w="1360" w:type="dxa"/>
            <w:vAlign w:val="bottom"/>
            <w:tcBorders>
              <w:right w:val="single" w:sz="8" w:color="7F7F7F"/>
            </w:tcBorders>
          </w:tcPr>
          <w:p>
            <w:pPr>
              <w:jc w:val="right"/>
              <w:ind w:right="1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6"/>
        </w:trPr>
        <w:tc>
          <w:tcPr>
            <w:tcW w:w="4920" w:type="dxa"/>
            <w:vAlign w:val="bottom"/>
            <w:tcBorders>
              <w:left w:val="single" w:sz="8" w:color="7F7F7F"/>
            </w:tcBorders>
            <w:shd w:val="clear" w:color="auto" w:fill="D8D8D8"/>
          </w:tcPr>
          <w:p>
            <w:pPr>
              <w:ind w:left="140"/>
              <w:spacing w:after="0"/>
              <w:rPr>
                <w:sz w:val="20"/>
                <w:szCs w:val="20"/>
                <w:color w:val="auto"/>
              </w:rPr>
            </w:pPr>
            <w:r>
              <w:rPr>
                <w:rFonts w:ascii="Arial" w:cs="Arial" w:eastAsia="Arial" w:hAnsi="Arial"/>
                <w:sz w:val="15"/>
                <w:szCs w:val="15"/>
                <w:color w:val="auto"/>
              </w:rPr>
              <w:t>Enrique Hernandez, Jr.+</w:t>
            </w:r>
          </w:p>
        </w:tc>
        <w:tc>
          <w:tcPr>
            <w:tcW w:w="1840" w:type="dxa"/>
            <w:vAlign w:val="bottom"/>
            <w:shd w:val="clear" w:color="auto" w:fill="D8D8D8"/>
          </w:tcPr>
          <w:p>
            <w:pPr>
              <w:jc w:val="right"/>
              <w:ind w:right="223"/>
              <w:spacing w:after="0"/>
              <w:rPr>
                <w:sz w:val="20"/>
                <w:szCs w:val="20"/>
                <w:color w:val="auto"/>
              </w:rPr>
            </w:pPr>
            <w:r>
              <w:rPr>
                <w:rFonts w:ascii="Arial" w:cs="Arial" w:eastAsia="Arial" w:hAnsi="Arial"/>
                <w:sz w:val="15"/>
                <w:szCs w:val="15"/>
                <w:color w:val="auto"/>
              </w:rPr>
              <w:t>97,309</w:t>
            </w:r>
          </w:p>
        </w:tc>
        <w:tc>
          <w:tcPr>
            <w:tcW w:w="1540" w:type="dxa"/>
            <w:vAlign w:val="bottom"/>
            <w:shd w:val="clear" w:color="auto" w:fill="D8D8D8"/>
          </w:tcPr>
          <w:p>
            <w:pPr>
              <w:jc w:val="right"/>
              <w:ind w:right="343"/>
              <w:spacing w:after="0"/>
              <w:rPr>
                <w:sz w:val="20"/>
                <w:szCs w:val="20"/>
                <w:color w:val="auto"/>
              </w:rPr>
            </w:pPr>
            <w:r>
              <w:rPr>
                <w:rFonts w:ascii="Arial" w:cs="Arial" w:eastAsia="Arial" w:hAnsi="Arial"/>
                <w:sz w:val="15"/>
                <w:szCs w:val="15"/>
                <w:color w:val="auto"/>
              </w:rPr>
              <w:t>24,428</w:t>
            </w:r>
          </w:p>
        </w:tc>
        <w:tc>
          <w:tcPr>
            <w:tcW w:w="1300" w:type="dxa"/>
            <w:vAlign w:val="bottom"/>
            <w:shd w:val="clear" w:color="auto" w:fill="D8D8D8"/>
          </w:tcPr>
          <w:p>
            <w:pPr>
              <w:jc w:val="right"/>
              <w:ind w:right="23"/>
              <w:spacing w:after="0"/>
              <w:rPr>
                <w:sz w:val="20"/>
                <w:szCs w:val="20"/>
                <w:color w:val="auto"/>
              </w:rPr>
            </w:pPr>
            <w:r>
              <w:rPr>
                <w:rFonts w:ascii="Arial" w:cs="Arial" w:eastAsia="Arial" w:hAnsi="Arial"/>
                <w:sz w:val="15"/>
                <w:szCs w:val="15"/>
                <w:color w:val="auto"/>
              </w:rPr>
              <w:t>121,737</w:t>
            </w:r>
          </w:p>
        </w:tc>
        <w:tc>
          <w:tcPr>
            <w:tcW w:w="1360" w:type="dxa"/>
            <w:vAlign w:val="bottom"/>
            <w:tcBorders>
              <w:right w:val="single" w:sz="8" w:color="7F7F7F"/>
            </w:tcBorders>
            <w:shd w:val="clear" w:color="auto" w:fill="D8D8D8"/>
          </w:tcPr>
          <w:p>
            <w:pPr>
              <w:jc w:val="right"/>
              <w:ind w:right="1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0"/>
        </w:trPr>
        <w:tc>
          <w:tcPr>
            <w:tcW w:w="4920" w:type="dxa"/>
            <w:vAlign w:val="bottom"/>
            <w:tcBorders>
              <w:left w:val="single" w:sz="8" w:color="7F7F7F"/>
            </w:tcBorders>
          </w:tcPr>
          <w:p>
            <w:pPr>
              <w:ind w:left="140"/>
              <w:spacing w:after="0"/>
              <w:rPr>
                <w:sz w:val="20"/>
                <w:szCs w:val="20"/>
                <w:color w:val="auto"/>
              </w:rPr>
            </w:pPr>
            <w:r>
              <w:rPr>
                <w:rFonts w:ascii="Arial" w:cs="Arial" w:eastAsia="Arial" w:hAnsi="Arial"/>
                <w:sz w:val="15"/>
                <w:szCs w:val="15"/>
                <w:color w:val="auto"/>
              </w:rPr>
              <w:t>Marillyn A. Hewson+</w:t>
            </w:r>
          </w:p>
        </w:tc>
        <w:tc>
          <w:tcPr>
            <w:tcW w:w="1840" w:type="dxa"/>
            <w:vAlign w:val="bottom"/>
          </w:tcPr>
          <w:p>
            <w:pPr>
              <w:jc w:val="right"/>
              <w:ind w:right="223"/>
              <w:spacing w:after="0"/>
              <w:rPr>
                <w:sz w:val="20"/>
                <w:szCs w:val="20"/>
                <w:color w:val="auto"/>
              </w:rPr>
            </w:pPr>
            <w:r>
              <w:rPr>
                <w:rFonts w:ascii="Arial" w:cs="Arial" w:eastAsia="Arial" w:hAnsi="Arial"/>
                <w:sz w:val="15"/>
                <w:szCs w:val="15"/>
                <w:color w:val="auto"/>
              </w:rPr>
              <w:t>3,200</w:t>
            </w:r>
          </w:p>
        </w:tc>
        <w:tc>
          <w:tcPr>
            <w:tcW w:w="1540" w:type="dxa"/>
            <w:vAlign w:val="bottom"/>
          </w:tcPr>
          <w:p>
            <w:pPr>
              <w:jc w:val="right"/>
              <w:ind w:right="343"/>
              <w:spacing w:after="0"/>
              <w:rPr>
                <w:sz w:val="20"/>
                <w:szCs w:val="20"/>
                <w:color w:val="auto"/>
              </w:rPr>
            </w:pPr>
            <w:r>
              <w:rPr>
                <w:rFonts w:ascii="Arial" w:cs="Arial" w:eastAsia="Arial" w:hAnsi="Arial"/>
                <w:sz w:val="15"/>
                <w:szCs w:val="15"/>
                <w:color w:val="auto"/>
              </w:rPr>
              <w:t>4,814</w:t>
            </w:r>
          </w:p>
        </w:tc>
        <w:tc>
          <w:tcPr>
            <w:tcW w:w="1300" w:type="dxa"/>
            <w:vAlign w:val="bottom"/>
          </w:tcPr>
          <w:p>
            <w:pPr>
              <w:jc w:val="right"/>
              <w:ind w:right="23"/>
              <w:spacing w:after="0"/>
              <w:rPr>
                <w:sz w:val="20"/>
                <w:szCs w:val="20"/>
                <w:color w:val="auto"/>
              </w:rPr>
            </w:pPr>
            <w:r>
              <w:rPr>
                <w:rFonts w:ascii="Arial" w:cs="Arial" w:eastAsia="Arial" w:hAnsi="Arial"/>
                <w:sz w:val="15"/>
                <w:szCs w:val="15"/>
                <w:color w:val="auto"/>
              </w:rPr>
              <w:t>8,014</w:t>
            </w:r>
          </w:p>
        </w:tc>
        <w:tc>
          <w:tcPr>
            <w:tcW w:w="1360" w:type="dxa"/>
            <w:vAlign w:val="bottom"/>
            <w:tcBorders>
              <w:right w:val="single" w:sz="8" w:color="7F7F7F"/>
            </w:tcBorders>
          </w:tcPr>
          <w:p>
            <w:pPr>
              <w:jc w:val="right"/>
              <w:ind w:right="1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6"/>
        </w:trPr>
        <w:tc>
          <w:tcPr>
            <w:tcW w:w="4920" w:type="dxa"/>
            <w:vAlign w:val="bottom"/>
            <w:tcBorders>
              <w:left w:val="single" w:sz="8" w:color="7F7F7F"/>
            </w:tcBorders>
            <w:shd w:val="clear" w:color="auto" w:fill="D8D8D8"/>
          </w:tcPr>
          <w:p>
            <w:pPr>
              <w:ind w:left="140"/>
              <w:spacing w:after="0"/>
              <w:rPr>
                <w:sz w:val="20"/>
                <w:szCs w:val="20"/>
                <w:color w:val="auto"/>
              </w:rPr>
            </w:pPr>
            <w:r>
              <w:rPr>
                <w:rFonts w:ascii="Arial" w:cs="Arial" w:eastAsia="Arial" w:hAnsi="Arial"/>
                <w:sz w:val="15"/>
                <w:szCs w:val="15"/>
                <w:color w:val="auto"/>
              </w:rPr>
              <w:t>Jon M. Huntsman Jr.+</w:t>
            </w:r>
          </w:p>
        </w:tc>
        <w:tc>
          <w:tcPr>
            <w:tcW w:w="1840" w:type="dxa"/>
            <w:vAlign w:val="bottom"/>
            <w:shd w:val="clear" w:color="auto" w:fill="D8D8D8"/>
          </w:tcPr>
          <w:p>
            <w:pPr>
              <w:jc w:val="right"/>
              <w:ind w:right="223"/>
              <w:spacing w:after="0"/>
              <w:rPr>
                <w:sz w:val="20"/>
                <w:szCs w:val="20"/>
                <w:color w:val="auto"/>
              </w:rPr>
            </w:pPr>
            <w:r>
              <w:rPr>
                <w:rFonts w:ascii="Arial" w:cs="Arial" w:eastAsia="Arial" w:hAnsi="Arial"/>
                <w:sz w:val="15"/>
                <w:szCs w:val="15"/>
                <w:color w:val="auto"/>
              </w:rPr>
              <w:t>2,125</w:t>
            </w:r>
          </w:p>
        </w:tc>
        <w:tc>
          <w:tcPr>
            <w:tcW w:w="1540" w:type="dxa"/>
            <w:vAlign w:val="bottom"/>
            <w:shd w:val="clear" w:color="auto" w:fill="D8D8D8"/>
          </w:tcPr>
          <w:p>
            <w:pPr>
              <w:jc w:val="right"/>
              <w:ind w:right="343"/>
              <w:spacing w:after="0"/>
              <w:rPr>
                <w:sz w:val="20"/>
                <w:szCs w:val="20"/>
                <w:color w:val="auto"/>
              </w:rPr>
            </w:pPr>
            <w:r>
              <w:rPr>
                <w:rFonts w:ascii="Arial" w:cs="Arial" w:eastAsia="Arial" w:hAnsi="Arial"/>
                <w:sz w:val="15"/>
                <w:szCs w:val="15"/>
                <w:color w:val="auto"/>
              </w:rPr>
              <w:t>2,239</w:t>
            </w:r>
          </w:p>
        </w:tc>
        <w:tc>
          <w:tcPr>
            <w:tcW w:w="1300" w:type="dxa"/>
            <w:vAlign w:val="bottom"/>
            <w:shd w:val="clear" w:color="auto" w:fill="D8D8D8"/>
          </w:tcPr>
          <w:p>
            <w:pPr>
              <w:jc w:val="right"/>
              <w:ind w:right="23"/>
              <w:spacing w:after="0"/>
              <w:rPr>
                <w:sz w:val="20"/>
                <w:szCs w:val="20"/>
                <w:color w:val="auto"/>
              </w:rPr>
            </w:pPr>
            <w:r>
              <w:rPr>
                <w:rFonts w:ascii="Arial" w:cs="Arial" w:eastAsia="Arial" w:hAnsi="Arial"/>
                <w:sz w:val="15"/>
                <w:szCs w:val="15"/>
                <w:color w:val="auto"/>
              </w:rPr>
              <w:t>4,364</w:t>
            </w:r>
          </w:p>
        </w:tc>
        <w:tc>
          <w:tcPr>
            <w:tcW w:w="1360" w:type="dxa"/>
            <w:vAlign w:val="bottom"/>
            <w:tcBorders>
              <w:right w:val="single" w:sz="8" w:color="7F7F7F"/>
            </w:tcBorders>
            <w:shd w:val="clear" w:color="auto" w:fill="D8D8D8"/>
          </w:tcPr>
          <w:p>
            <w:pPr>
              <w:jc w:val="right"/>
              <w:ind w:right="1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0"/>
        </w:trPr>
        <w:tc>
          <w:tcPr>
            <w:tcW w:w="4920" w:type="dxa"/>
            <w:vAlign w:val="bottom"/>
            <w:tcBorders>
              <w:left w:val="single" w:sz="8" w:color="7F7F7F"/>
            </w:tcBorders>
          </w:tcPr>
          <w:p>
            <w:pPr>
              <w:ind w:left="140"/>
              <w:spacing w:after="0"/>
              <w:rPr>
                <w:sz w:val="20"/>
                <w:szCs w:val="20"/>
                <w:color w:val="auto"/>
              </w:rPr>
            </w:pPr>
            <w:r>
              <w:rPr>
                <w:rFonts w:ascii="Arial" w:cs="Arial" w:eastAsia="Arial" w:hAnsi="Arial"/>
                <w:sz w:val="15"/>
                <w:szCs w:val="15"/>
                <w:color w:val="auto"/>
              </w:rPr>
              <w:t>James W. Johnson</w:t>
            </w:r>
          </w:p>
        </w:tc>
        <w:tc>
          <w:tcPr>
            <w:tcW w:w="1840" w:type="dxa"/>
            <w:vAlign w:val="bottom"/>
          </w:tcPr>
          <w:p>
            <w:pPr>
              <w:jc w:val="right"/>
              <w:ind w:right="223"/>
              <w:spacing w:after="0"/>
              <w:rPr>
                <w:sz w:val="20"/>
                <w:szCs w:val="20"/>
                <w:color w:val="auto"/>
              </w:rPr>
            </w:pPr>
            <w:r>
              <w:rPr>
                <w:rFonts w:ascii="Arial" w:cs="Arial" w:eastAsia="Arial" w:hAnsi="Arial"/>
                <w:sz w:val="15"/>
                <w:szCs w:val="15"/>
                <w:color w:val="auto"/>
              </w:rPr>
              <w:t>920,800</w:t>
            </w:r>
          </w:p>
        </w:tc>
        <w:tc>
          <w:tcPr>
            <w:tcW w:w="1540" w:type="dxa"/>
            <w:vAlign w:val="bottom"/>
          </w:tcPr>
          <w:p>
            <w:pPr>
              <w:jc w:val="right"/>
              <w:ind w:right="343"/>
              <w:spacing w:after="0"/>
              <w:rPr>
                <w:sz w:val="20"/>
                <w:szCs w:val="20"/>
                <w:color w:val="auto"/>
              </w:rPr>
            </w:pPr>
            <w:r>
              <w:rPr>
                <w:rFonts w:ascii="Arial" w:cs="Arial" w:eastAsia="Arial" w:hAnsi="Arial"/>
                <w:sz w:val="15"/>
                <w:szCs w:val="15"/>
                <w:color w:val="auto"/>
              </w:rPr>
              <w:t>7,419</w:t>
            </w:r>
          </w:p>
        </w:tc>
        <w:tc>
          <w:tcPr>
            <w:tcW w:w="1300" w:type="dxa"/>
            <w:vAlign w:val="bottom"/>
          </w:tcPr>
          <w:p>
            <w:pPr>
              <w:jc w:val="right"/>
              <w:ind w:right="23"/>
              <w:spacing w:after="0"/>
              <w:rPr>
                <w:sz w:val="20"/>
                <w:szCs w:val="20"/>
                <w:color w:val="auto"/>
              </w:rPr>
            </w:pPr>
            <w:r>
              <w:rPr>
                <w:rFonts w:ascii="Arial" w:cs="Arial" w:eastAsia="Arial" w:hAnsi="Arial"/>
                <w:sz w:val="15"/>
                <w:szCs w:val="15"/>
                <w:color w:val="auto"/>
              </w:rPr>
              <w:t>928,219</w:t>
            </w:r>
          </w:p>
        </w:tc>
        <w:tc>
          <w:tcPr>
            <w:tcW w:w="1360" w:type="dxa"/>
            <w:vAlign w:val="bottom"/>
            <w:tcBorders>
              <w:right w:val="single" w:sz="8" w:color="7F7F7F"/>
            </w:tcBorders>
          </w:tcPr>
          <w:p>
            <w:pPr>
              <w:jc w:val="right"/>
              <w:ind w:right="1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6"/>
        </w:trPr>
        <w:tc>
          <w:tcPr>
            <w:tcW w:w="4920" w:type="dxa"/>
            <w:vAlign w:val="bottom"/>
            <w:tcBorders>
              <w:left w:val="single" w:sz="8" w:color="7F7F7F"/>
            </w:tcBorders>
            <w:shd w:val="clear" w:color="auto" w:fill="D8D8D8"/>
          </w:tcPr>
          <w:p>
            <w:pPr>
              <w:ind w:left="140"/>
              <w:spacing w:after="0"/>
              <w:rPr>
                <w:sz w:val="20"/>
                <w:szCs w:val="20"/>
                <w:color w:val="auto"/>
              </w:rPr>
            </w:pPr>
            <w:r>
              <w:rPr>
                <w:rFonts w:ascii="Arial" w:cs="Arial" w:eastAsia="Arial" w:hAnsi="Arial"/>
                <w:sz w:val="15"/>
                <w:szCs w:val="15"/>
                <w:color w:val="auto"/>
              </w:rPr>
              <w:t>Charles W. Moorman+</w:t>
            </w:r>
          </w:p>
        </w:tc>
        <w:tc>
          <w:tcPr>
            <w:tcW w:w="1840" w:type="dxa"/>
            <w:vAlign w:val="bottom"/>
            <w:shd w:val="clear" w:color="auto" w:fill="D8D8D8"/>
          </w:tcPr>
          <w:p>
            <w:pPr>
              <w:jc w:val="right"/>
              <w:ind w:right="223"/>
              <w:spacing w:after="0"/>
              <w:rPr>
                <w:sz w:val="20"/>
                <w:szCs w:val="20"/>
                <w:color w:val="auto"/>
              </w:rPr>
            </w:pPr>
            <w:r>
              <w:rPr>
                <w:rFonts w:ascii="Arial" w:cs="Arial" w:eastAsia="Arial" w:hAnsi="Arial"/>
                <w:sz w:val="15"/>
                <w:szCs w:val="15"/>
                <w:color w:val="auto"/>
              </w:rPr>
              <w:t>41,403</w:t>
            </w:r>
          </w:p>
        </w:tc>
        <w:tc>
          <w:tcPr>
            <w:tcW w:w="1540" w:type="dxa"/>
            <w:vAlign w:val="bottom"/>
            <w:shd w:val="clear" w:color="auto" w:fill="D8D8D8"/>
          </w:tcPr>
          <w:p>
            <w:pPr>
              <w:jc w:val="right"/>
              <w:ind w:right="343"/>
              <w:spacing w:after="0"/>
              <w:rPr>
                <w:sz w:val="20"/>
                <w:szCs w:val="20"/>
                <w:color w:val="auto"/>
              </w:rPr>
            </w:pPr>
            <w:r>
              <w:rPr>
                <w:rFonts w:ascii="Arial" w:cs="Arial" w:eastAsia="Arial" w:hAnsi="Arial"/>
                <w:sz w:val="15"/>
                <w:szCs w:val="15"/>
                <w:color w:val="auto"/>
              </w:rPr>
              <w:t>38,899</w:t>
            </w:r>
          </w:p>
        </w:tc>
        <w:tc>
          <w:tcPr>
            <w:tcW w:w="1300" w:type="dxa"/>
            <w:vAlign w:val="bottom"/>
            <w:shd w:val="clear" w:color="auto" w:fill="D8D8D8"/>
          </w:tcPr>
          <w:p>
            <w:pPr>
              <w:jc w:val="right"/>
              <w:ind w:right="23"/>
              <w:spacing w:after="0"/>
              <w:rPr>
                <w:sz w:val="20"/>
                <w:szCs w:val="20"/>
                <w:color w:val="auto"/>
              </w:rPr>
            </w:pPr>
            <w:r>
              <w:rPr>
                <w:rFonts w:ascii="Arial" w:cs="Arial" w:eastAsia="Arial" w:hAnsi="Arial"/>
                <w:sz w:val="15"/>
                <w:szCs w:val="15"/>
                <w:color w:val="auto"/>
              </w:rPr>
              <w:t>80,302</w:t>
            </w:r>
          </w:p>
        </w:tc>
        <w:tc>
          <w:tcPr>
            <w:tcW w:w="1360" w:type="dxa"/>
            <w:vAlign w:val="bottom"/>
            <w:tcBorders>
              <w:right w:val="single" w:sz="8" w:color="7F7F7F"/>
            </w:tcBorders>
            <w:shd w:val="clear" w:color="auto" w:fill="D8D8D8"/>
          </w:tcPr>
          <w:p>
            <w:pPr>
              <w:jc w:val="right"/>
              <w:ind w:right="1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0"/>
        </w:trPr>
        <w:tc>
          <w:tcPr>
            <w:tcW w:w="4920" w:type="dxa"/>
            <w:vAlign w:val="bottom"/>
            <w:tcBorders>
              <w:left w:val="single" w:sz="8" w:color="7F7F7F"/>
            </w:tcBorders>
          </w:tcPr>
          <w:p>
            <w:pPr>
              <w:ind w:left="140"/>
              <w:spacing w:after="0"/>
              <w:rPr>
                <w:sz w:val="20"/>
                <w:szCs w:val="20"/>
                <w:color w:val="auto"/>
              </w:rPr>
            </w:pPr>
            <w:r>
              <w:rPr>
                <w:rFonts w:ascii="Arial" w:cs="Arial" w:eastAsia="Arial" w:hAnsi="Arial"/>
                <w:sz w:val="15"/>
                <w:szCs w:val="15"/>
                <w:color w:val="auto"/>
              </w:rPr>
              <w:t>Dambisa F. Moyo+</w:t>
            </w:r>
          </w:p>
        </w:tc>
        <w:tc>
          <w:tcPr>
            <w:tcW w:w="1840" w:type="dxa"/>
            <w:vAlign w:val="bottom"/>
          </w:tcPr>
          <w:p>
            <w:pPr>
              <w:jc w:val="right"/>
              <w:ind w:right="223"/>
              <w:spacing w:after="0"/>
              <w:rPr>
                <w:sz w:val="20"/>
                <w:szCs w:val="20"/>
                <w:color w:val="auto"/>
              </w:rPr>
            </w:pPr>
            <w:r>
              <w:rPr>
                <w:rFonts w:ascii="Arial" w:cs="Arial" w:eastAsia="Arial" w:hAnsi="Arial"/>
                <w:sz w:val="15"/>
                <w:szCs w:val="15"/>
                <w:color w:val="auto"/>
              </w:rPr>
              <w:t>10,112</w:t>
            </w:r>
          </w:p>
        </w:tc>
        <w:tc>
          <w:tcPr>
            <w:tcW w:w="1540" w:type="dxa"/>
            <w:vAlign w:val="bottom"/>
          </w:tcPr>
          <w:p>
            <w:pPr>
              <w:jc w:val="right"/>
              <w:ind w:right="343"/>
              <w:spacing w:after="0"/>
              <w:rPr>
                <w:sz w:val="20"/>
                <w:szCs w:val="20"/>
                <w:color w:val="auto"/>
              </w:rPr>
            </w:pPr>
            <w:r>
              <w:rPr>
                <w:rFonts w:ascii="Arial" w:cs="Arial" w:eastAsia="Arial" w:hAnsi="Arial"/>
                <w:sz w:val="15"/>
                <w:szCs w:val="15"/>
                <w:color w:val="auto"/>
              </w:rPr>
              <w:t>2,239</w:t>
            </w:r>
          </w:p>
        </w:tc>
        <w:tc>
          <w:tcPr>
            <w:tcW w:w="1300" w:type="dxa"/>
            <w:vAlign w:val="bottom"/>
          </w:tcPr>
          <w:p>
            <w:pPr>
              <w:jc w:val="right"/>
              <w:ind w:right="23"/>
              <w:spacing w:after="0"/>
              <w:rPr>
                <w:sz w:val="20"/>
                <w:szCs w:val="20"/>
                <w:color w:val="auto"/>
              </w:rPr>
            </w:pPr>
            <w:r>
              <w:rPr>
                <w:rFonts w:ascii="Arial" w:cs="Arial" w:eastAsia="Arial" w:hAnsi="Arial"/>
                <w:sz w:val="15"/>
                <w:szCs w:val="15"/>
                <w:color w:val="auto"/>
              </w:rPr>
              <w:t>12,351</w:t>
            </w:r>
          </w:p>
        </w:tc>
        <w:tc>
          <w:tcPr>
            <w:tcW w:w="1360" w:type="dxa"/>
            <w:vAlign w:val="bottom"/>
            <w:tcBorders>
              <w:right w:val="single" w:sz="8" w:color="7F7F7F"/>
            </w:tcBorders>
          </w:tcPr>
          <w:p>
            <w:pPr>
              <w:jc w:val="right"/>
              <w:ind w:right="1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6"/>
        </w:trPr>
        <w:tc>
          <w:tcPr>
            <w:tcW w:w="4920" w:type="dxa"/>
            <w:vAlign w:val="bottom"/>
            <w:tcBorders>
              <w:left w:val="single" w:sz="8" w:color="7F7F7F"/>
            </w:tcBorders>
            <w:shd w:val="clear" w:color="auto" w:fill="D8D8D8"/>
          </w:tcPr>
          <w:p>
            <w:pPr>
              <w:ind w:left="140"/>
              <w:spacing w:after="0"/>
              <w:rPr>
                <w:sz w:val="20"/>
                <w:szCs w:val="20"/>
                <w:color w:val="auto"/>
              </w:rPr>
            </w:pPr>
            <w:r>
              <w:rPr>
                <w:rFonts w:ascii="Arial" w:cs="Arial" w:eastAsia="Arial" w:hAnsi="Arial"/>
                <w:sz w:val="15"/>
                <w:szCs w:val="15"/>
                <w:color w:val="auto"/>
              </w:rPr>
              <w:t>Mark A. Nelson</w:t>
            </w:r>
          </w:p>
        </w:tc>
        <w:tc>
          <w:tcPr>
            <w:tcW w:w="1840" w:type="dxa"/>
            <w:vAlign w:val="bottom"/>
            <w:shd w:val="clear" w:color="auto" w:fill="D8D8D8"/>
          </w:tcPr>
          <w:p>
            <w:pPr>
              <w:jc w:val="right"/>
              <w:ind w:right="223"/>
              <w:spacing w:after="0"/>
              <w:rPr>
                <w:sz w:val="20"/>
                <w:szCs w:val="20"/>
                <w:color w:val="auto"/>
              </w:rPr>
            </w:pPr>
            <w:r>
              <w:rPr>
                <w:rFonts w:ascii="Arial" w:cs="Arial" w:eastAsia="Arial" w:hAnsi="Arial"/>
                <w:sz w:val="15"/>
                <w:szCs w:val="15"/>
                <w:color w:val="auto"/>
              </w:rPr>
              <w:t>444,664</w:t>
            </w:r>
          </w:p>
        </w:tc>
        <w:tc>
          <w:tcPr>
            <w:tcW w:w="1540" w:type="dxa"/>
            <w:vAlign w:val="bottom"/>
            <w:shd w:val="clear" w:color="auto" w:fill="D8D8D8"/>
          </w:tcPr>
          <w:p>
            <w:pPr>
              <w:jc w:val="right"/>
              <w:ind w:right="343"/>
              <w:spacing w:after="0"/>
              <w:rPr>
                <w:sz w:val="20"/>
                <w:szCs w:val="20"/>
                <w:color w:val="auto"/>
              </w:rPr>
            </w:pPr>
            <w:r>
              <w:rPr>
                <w:rFonts w:ascii="Arial" w:cs="Arial" w:eastAsia="Arial" w:hAnsi="Arial"/>
                <w:sz w:val="15"/>
                <w:szCs w:val="15"/>
                <w:color w:val="auto"/>
              </w:rPr>
              <w:t>–</w:t>
            </w:r>
          </w:p>
        </w:tc>
        <w:tc>
          <w:tcPr>
            <w:tcW w:w="1300" w:type="dxa"/>
            <w:vAlign w:val="bottom"/>
            <w:shd w:val="clear" w:color="auto" w:fill="D8D8D8"/>
          </w:tcPr>
          <w:p>
            <w:pPr>
              <w:jc w:val="right"/>
              <w:ind w:right="23"/>
              <w:spacing w:after="0"/>
              <w:rPr>
                <w:sz w:val="20"/>
                <w:szCs w:val="20"/>
                <w:color w:val="auto"/>
              </w:rPr>
            </w:pPr>
            <w:r>
              <w:rPr>
                <w:rFonts w:ascii="Arial" w:cs="Arial" w:eastAsia="Arial" w:hAnsi="Arial"/>
                <w:sz w:val="15"/>
                <w:szCs w:val="15"/>
                <w:color w:val="auto"/>
              </w:rPr>
              <w:t>444,664</w:t>
            </w:r>
          </w:p>
        </w:tc>
        <w:tc>
          <w:tcPr>
            <w:tcW w:w="1360" w:type="dxa"/>
            <w:vAlign w:val="bottom"/>
            <w:tcBorders>
              <w:right w:val="single" w:sz="8" w:color="7F7F7F"/>
            </w:tcBorders>
            <w:shd w:val="clear" w:color="auto" w:fill="D8D8D8"/>
          </w:tcPr>
          <w:p>
            <w:pPr>
              <w:jc w:val="right"/>
              <w:ind w:right="1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0"/>
        </w:trPr>
        <w:tc>
          <w:tcPr>
            <w:tcW w:w="4920" w:type="dxa"/>
            <w:vAlign w:val="bottom"/>
            <w:tcBorders>
              <w:left w:val="single" w:sz="8" w:color="7F7F7F"/>
            </w:tcBorders>
          </w:tcPr>
          <w:p>
            <w:pPr>
              <w:ind w:left="140"/>
              <w:spacing w:after="0"/>
              <w:rPr>
                <w:sz w:val="20"/>
                <w:szCs w:val="20"/>
                <w:color w:val="auto"/>
              </w:rPr>
            </w:pPr>
            <w:r>
              <w:rPr>
                <w:rFonts w:ascii="Arial" w:cs="Arial" w:eastAsia="Arial" w:hAnsi="Arial"/>
                <w:sz w:val="15"/>
                <w:szCs w:val="15"/>
                <w:color w:val="auto"/>
              </w:rPr>
              <w:t>Debra Reed-Klages+</w:t>
            </w:r>
          </w:p>
        </w:tc>
        <w:tc>
          <w:tcPr>
            <w:tcW w:w="1840" w:type="dxa"/>
            <w:vAlign w:val="bottom"/>
          </w:tcPr>
          <w:p>
            <w:pPr>
              <w:jc w:val="right"/>
              <w:ind w:right="223"/>
              <w:spacing w:after="0"/>
              <w:rPr>
                <w:sz w:val="20"/>
                <w:szCs w:val="20"/>
                <w:color w:val="auto"/>
              </w:rPr>
            </w:pPr>
            <w:r>
              <w:rPr>
                <w:rFonts w:ascii="Arial" w:cs="Arial" w:eastAsia="Arial" w:hAnsi="Arial"/>
                <w:sz w:val="15"/>
                <w:szCs w:val="15"/>
                <w:color w:val="auto"/>
              </w:rPr>
              <w:t>4,275</w:t>
            </w:r>
          </w:p>
        </w:tc>
        <w:tc>
          <w:tcPr>
            <w:tcW w:w="1540" w:type="dxa"/>
            <w:vAlign w:val="bottom"/>
          </w:tcPr>
          <w:p>
            <w:pPr>
              <w:jc w:val="right"/>
              <w:ind w:right="343"/>
              <w:spacing w:after="0"/>
              <w:rPr>
                <w:sz w:val="20"/>
                <w:szCs w:val="20"/>
                <w:color w:val="auto"/>
              </w:rPr>
            </w:pPr>
            <w:r>
              <w:rPr>
                <w:rFonts w:ascii="Arial" w:cs="Arial" w:eastAsia="Arial" w:hAnsi="Arial"/>
                <w:sz w:val="15"/>
                <w:szCs w:val="15"/>
                <w:color w:val="auto"/>
              </w:rPr>
              <w:t>9,295</w:t>
            </w:r>
          </w:p>
        </w:tc>
        <w:tc>
          <w:tcPr>
            <w:tcW w:w="1300" w:type="dxa"/>
            <w:vAlign w:val="bottom"/>
          </w:tcPr>
          <w:p>
            <w:pPr>
              <w:jc w:val="right"/>
              <w:ind w:right="23"/>
              <w:spacing w:after="0"/>
              <w:rPr>
                <w:sz w:val="20"/>
                <w:szCs w:val="20"/>
                <w:color w:val="auto"/>
              </w:rPr>
            </w:pPr>
            <w:r>
              <w:rPr>
                <w:rFonts w:ascii="Arial" w:cs="Arial" w:eastAsia="Arial" w:hAnsi="Arial"/>
                <w:sz w:val="15"/>
                <w:szCs w:val="15"/>
                <w:color w:val="auto"/>
              </w:rPr>
              <w:t>13,570</w:t>
            </w:r>
          </w:p>
        </w:tc>
        <w:tc>
          <w:tcPr>
            <w:tcW w:w="1360" w:type="dxa"/>
            <w:vAlign w:val="bottom"/>
            <w:tcBorders>
              <w:right w:val="single" w:sz="8" w:color="7F7F7F"/>
            </w:tcBorders>
          </w:tcPr>
          <w:p>
            <w:pPr>
              <w:jc w:val="right"/>
              <w:ind w:right="1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6"/>
        </w:trPr>
        <w:tc>
          <w:tcPr>
            <w:tcW w:w="4920" w:type="dxa"/>
            <w:vAlign w:val="bottom"/>
            <w:tcBorders>
              <w:left w:val="single" w:sz="8" w:color="7F7F7F"/>
            </w:tcBorders>
            <w:shd w:val="clear" w:color="auto" w:fill="D8D8D8"/>
          </w:tcPr>
          <w:p>
            <w:pPr>
              <w:ind w:left="140"/>
              <w:spacing w:after="0"/>
              <w:rPr>
                <w:sz w:val="20"/>
                <w:szCs w:val="20"/>
                <w:color w:val="auto"/>
              </w:rPr>
            </w:pPr>
            <w:r>
              <w:rPr>
                <w:rFonts w:ascii="Arial" w:cs="Arial" w:eastAsia="Arial" w:hAnsi="Arial"/>
                <w:sz w:val="15"/>
                <w:szCs w:val="15"/>
                <w:color w:val="auto"/>
              </w:rPr>
              <w:t>Ronald D. Sugar+</w:t>
            </w:r>
          </w:p>
        </w:tc>
        <w:tc>
          <w:tcPr>
            <w:tcW w:w="1840" w:type="dxa"/>
            <w:vAlign w:val="bottom"/>
            <w:shd w:val="clear" w:color="auto" w:fill="D8D8D8"/>
          </w:tcPr>
          <w:p>
            <w:pPr>
              <w:jc w:val="right"/>
              <w:ind w:right="223"/>
              <w:spacing w:after="0"/>
              <w:rPr>
                <w:sz w:val="20"/>
                <w:szCs w:val="20"/>
                <w:color w:val="auto"/>
              </w:rPr>
            </w:pPr>
            <w:r>
              <w:rPr>
                <w:rFonts w:ascii="Arial" w:cs="Arial" w:eastAsia="Arial" w:hAnsi="Arial"/>
                <w:sz w:val="15"/>
                <w:szCs w:val="15"/>
                <w:color w:val="auto"/>
              </w:rPr>
              <w:t>2,976</w:t>
            </w:r>
          </w:p>
        </w:tc>
        <w:tc>
          <w:tcPr>
            <w:tcW w:w="1540" w:type="dxa"/>
            <w:vAlign w:val="bottom"/>
            <w:shd w:val="clear" w:color="auto" w:fill="D8D8D8"/>
          </w:tcPr>
          <w:p>
            <w:pPr>
              <w:jc w:val="right"/>
              <w:ind w:right="343"/>
              <w:spacing w:after="0"/>
              <w:rPr>
                <w:sz w:val="20"/>
                <w:szCs w:val="20"/>
                <w:color w:val="auto"/>
              </w:rPr>
            </w:pPr>
            <w:r>
              <w:rPr>
                <w:rFonts w:ascii="Arial" w:cs="Arial" w:eastAsia="Arial" w:hAnsi="Arial"/>
                <w:sz w:val="15"/>
                <w:szCs w:val="15"/>
                <w:color w:val="auto"/>
              </w:rPr>
              <w:t>71,955</w:t>
            </w:r>
          </w:p>
        </w:tc>
        <w:tc>
          <w:tcPr>
            <w:tcW w:w="1300" w:type="dxa"/>
            <w:vAlign w:val="bottom"/>
            <w:shd w:val="clear" w:color="auto" w:fill="D8D8D8"/>
          </w:tcPr>
          <w:p>
            <w:pPr>
              <w:jc w:val="right"/>
              <w:ind w:right="23"/>
              <w:spacing w:after="0"/>
              <w:rPr>
                <w:sz w:val="20"/>
                <w:szCs w:val="20"/>
                <w:color w:val="auto"/>
              </w:rPr>
            </w:pPr>
            <w:r>
              <w:rPr>
                <w:rFonts w:ascii="Arial" w:cs="Arial" w:eastAsia="Arial" w:hAnsi="Arial"/>
                <w:sz w:val="15"/>
                <w:szCs w:val="15"/>
                <w:color w:val="auto"/>
              </w:rPr>
              <w:t>74,931</w:t>
            </w:r>
          </w:p>
        </w:tc>
        <w:tc>
          <w:tcPr>
            <w:tcW w:w="1360" w:type="dxa"/>
            <w:vAlign w:val="bottom"/>
            <w:tcBorders>
              <w:right w:val="single" w:sz="8" w:color="7F7F7F"/>
            </w:tcBorders>
            <w:shd w:val="clear" w:color="auto" w:fill="D8D8D8"/>
          </w:tcPr>
          <w:p>
            <w:pPr>
              <w:jc w:val="right"/>
              <w:ind w:right="1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0"/>
        </w:trPr>
        <w:tc>
          <w:tcPr>
            <w:tcW w:w="4920" w:type="dxa"/>
            <w:vAlign w:val="bottom"/>
            <w:tcBorders>
              <w:left w:val="single" w:sz="8" w:color="7F7F7F"/>
            </w:tcBorders>
          </w:tcPr>
          <w:p>
            <w:pPr>
              <w:ind w:left="140"/>
              <w:spacing w:after="0"/>
              <w:rPr>
                <w:sz w:val="20"/>
                <w:szCs w:val="20"/>
                <w:color w:val="auto"/>
              </w:rPr>
            </w:pPr>
            <w:r>
              <w:rPr>
                <w:rFonts w:ascii="Arial" w:cs="Arial" w:eastAsia="Arial" w:hAnsi="Arial"/>
                <w:sz w:val="15"/>
                <w:szCs w:val="15"/>
                <w:color w:val="auto"/>
              </w:rPr>
              <w:t>D. James Umpleby III+</w:t>
            </w:r>
          </w:p>
        </w:tc>
        <w:tc>
          <w:tcPr>
            <w:tcW w:w="1840" w:type="dxa"/>
            <w:vAlign w:val="bottom"/>
          </w:tcPr>
          <w:p>
            <w:pPr>
              <w:jc w:val="right"/>
              <w:ind w:right="223"/>
              <w:spacing w:after="0"/>
              <w:rPr>
                <w:sz w:val="20"/>
                <w:szCs w:val="20"/>
                <w:color w:val="auto"/>
              </w:rPr>
            </w:pPr>
            <w:r>
              <w:rPr>
                <w:rFonts w:ascii="Arial" w:cs="Arial" w:eastAsia="Arial" w:hAnsi="Arial"/>
                <w:sz w:val="15"/>
                <w:szCs w:val="15"/>
                <w:color w:val="auto"/>
              </w:rPr>
              <w:t>7,015</w:t>
            </w:r>
          </w:p>
        </w:tc>
        <w:tc>
          <w:tcPr>
            <w:tcW w:w="1540" w:type="dxa"/>
            <w:vAlign w:val="bottom"/>
          </w:tcPr>
          <w:p>
            <w:pPr>
              <w:jc w:val="right"/>
              <w:ind w:right="343"/>
              <w:spacing w:after="0"/>
              <w:rPr>
                <w:sz w:val="20"/>
                <w:szCs w:val="20"/>
                <w:color w:val="auto"/>
              </w:rPr>
            </w:pPr>
            <w:r>
              <w:rPr>
                <w:rFonts w:ascii="Arial" w:cs="Arial" w:eastAsia="Arial" w:hAnsi="Arial"/>
                <w:sz w:val="15"/>
                <w:szCs w:val="15"/>
                <w:color w:val="auto"/>
              </w:rPr>
              <w:t>2,239</w:t>
            </w:r>
          </w:p>
        </w:tc>
        <w:tc>
          <w:tcPr>
            <w:tcW w:w="1300" w:type="dxa"/>
            <w:vAlign w:val="bottom"/>
          </w:tcPr>
          <w:p>
            <w:pPr>
              <w:jc w:val="right"/>
              <w:ind w:right="23"/>
              <w:spacing w:after="0"/>
              <w:rPr>
                <w:sz w:val="20"/>
                <w:szCs w:val="20"/>
                <w:color w:val="auto"/>
              </w:rPr>
            </w:pPr>
            <w:r>
              <w:rPr>
                <w:rFonts w:ascii="Arial" w:cs="Arial" w:eastAsia="Arial" w:hAnsi="Arial"/>
                <w:sz w:val="15"/>
                <w:szCs w:val="15"/>
                <w:color w:val="auto"/>
              </w:rPr>
              <w:t>9,254</w:t>
            </w:r>
          </w:p>
        </w:tc>
        <w:tc>
          <w:tcPr>
            <w:tcW w:w="1360" w:type="dxa"/>
            <w:vAlign w:val="bottom"/>
            <w:tcBorders>
              <w:right w:val="single" w:sz="8" w:color="7F7F7F"/>
            </w:tcBorders>
          </w:tcPr>
          <w:p>
            <w:pPr>
              <w:jc w:val="right"/>
              <w:ind w:right="1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6"/>
        </w:trPr>
        <w:tc>
          <w:tcPr>
            <w:tcW w:w="4920" w:type="dxa"/>
            <w:vAlign w:val="bottom"/>
            <w:tcBorders>
              <w:left w:val="single" w:sz="8" w:color="7F7F7F"/>
            </w:tcBorders>
            <w:shd w:val="clear" w:color="auto" w:fill="D8D8D8"/>
          </w:tcPr>
          <w:p>
            <w:pPr>
              <w:ind w:left="140"/>
              <w:spacing w:after="0"/>
              <w:rPr>
                <w:sz w:val="20"/>
                <w:szCs w:val="20"/>
                <w:color w:val="auto"/>
              </w:rPr>
            </w:pPr>
            <w:r>
              <w:rPr>
                <w:rFonts w:ascii="Arial" w:cs="Arial" w:eastAsia="Arial" w:hAnsi="Arial"/>
                <w:sz w:val="15"/>
                <w:szCs w:val="15"/>
                <w:color w:val="auto"/>
              </w:rPr>
              <w:t>Michael K. Wirth</w:t>
            </w:r>
          </w:p>
        </w:tc>
        <w:tc>
          <w:tcPr>
            <w:tcW w:w="1840" w:type="dxa"/>
            <w:vAlign w:val="bottom"/>
            <w:shd w:val="clear" w:color="auto" w:fill="D8D8D8"/>
          </w:tcPr>
          <w:p>
            <w:pPr>
              <w:jc w:val="right"/>
              <w:ind w:right="223"/>
              <w:spacing w:after="0"/>
              <w:rPr>
                <w:sz w:val="20"/>
                <w:szCs w:val="20"/>
                <w:color w:val="auto"/>
              </w:rPr>
            </w:pPr>
            <w:r>
              <w:rPr>
                <w:rFonts w:ascii="Arial" w:cs="Arial" w:eastAsia="Arial" w:hAnsi="Arial"/>
                <w:sz w:val="15"/>
                <w:szCs w:val="15"/>
                <w:color w:val="auto"/>
              </w:rPr>
              <w:t>1,813,152</w:t>
            </w:r>
          </w:p>
        </w:tc>
        <w:tc>
          <w:tcPr>
            <w:tcW w:w="1540" w:type="dxa"/>
            <w:vAlign w:val="bottom"/>
            <w:shd w:val="clear" w:color="auto" w:fill="D8D8D8"/>
          </w:tcPr>
          <w:p>
            <w:pPr>
              <w:jc w:val="right"/>
              <w:ind w:right="343"/>
              <w:spacing w:after="0"/>
              <w:rPr>
                <w:sz w:val="20"/>
                <w:szCs w:val="20"/>
                <w:color w:val="auto"/>
              </w:rPr>
            </w:pPr>
            <w:r>
              <w:rPr>
                <w:rFonts w:ascii="Arial" w:cs="Arial" w:eastAsia="Arial" w:hAnsi="Arial"/>
                <w:sz w:val="15"/>
                <w:szCs w:val="15"/>
                <w:color w:val="auto"/>
              </w:rPr>
              <w:t>7,261</w:t>
            </w:r>
          </w:p>
        </w:tc>
        <w:tc>
          <w:tcPr>
            <w:tcW w:w="1300" w:type="dxa"/>
            <w:vAlign w:val="bottom"/>
            <w:shd w:val="clear" w:color="auto" w:fill="D8D8D8"/>
          </w:tcPr>
          <w:p>
            <w:pPr>
              <w:jc w:val="right"/>
              <w:ind w:right="23"/>
              <w:spacing w:after="0"/>
              <w:rPr>
                <w:sz w:val="20"/>
                <w:szCs w:val="20"/>
                <w:color w:val="auto"/>
              </w:rPr>
            </w:pPr>
            <w:r>
              <w:rPr>
                <w:rFonts w:ascii="Arial" w:cs="Arial" w:eastAsia="Arial" w:hAnsi="Arial"/>
                <w:sz w:val="15"/>
                <w:szCs w:val="15"/>
                <w:color w:val="auto"/>
              </w:rPr>
              <w:t>1,820,413</w:t>
            </w:r>
          </w:p>
        </w:tc>
        <w:tc>
          <w:tcPr>
            <w:tcW w:w="1360" w:type="dxa"/>
            <w:vAlign w:val="bottom"/>
            <w:tcBorders>
              <w:right w:val="single" w:sz="8" w:color="7F7F7F"/>
            </w:tcBorders>
            <w:shd w:val="clear" w:color="auto" w:fill="D8D8D8"/>
          </w:tcPr>
          <w:p>
            <w:pPr>
              <w:jc w:val="right"/>
              <w:ind w:right="1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4920" w:type="dxa"/>
            <w:vAlign w:val="bottom"/>
            <w:tcBorders>
              <w:left w:val="single" w:sz="8" w:color="7F7F7F"/>
            </w:tcBorders>
          </w:tcPr>
          <w:p>
            <w:pPr>
              <w:ind w:left="140"/>
              <w:spacing w:after="0"/>
              <w:rPr>
                <w:sz w:val="20"/>
                <w:szCs w:val="20"/>
                <w:color w:val="auto"/>
              </w:rPr>
            </w:pPr>
            <w:r>
              <w:rPr>
                <w:rFonts w:ascii="Arial" w:cs="Arial" w:eastAsia="Arial" w:hAnsi="Arial"/>
                <w:sz w:val="15"/>
                <w:szCs w:val="15"/>
                <w:color w:val="auto"/>
              </w:rPr>
              <w:t>All current non-employee Directors and executive officers as a group</w:t>
            </w:r>
          </w:p>
        </w:tc>
        <w:tc>
          <w:tcPr>
            <w:tcW w:w="1840" w:type="dxa"/>
            <w:vAlign w:val="bottom"/>
            <w:vMerge w:val="restart"/>
          </w:tcPr>
          <w:p>
            <w:pPr>
              <w:jc w:val="right"/>
              <w:ind w:right="63"/>
              <w:spacing w:after="0"/>
              <w:rPr>
                <w:sz w:val="20"/>
                <w:szCs w:val="20"/>
                <w:color w:val="auto"/>
              </w:rPr>
            </w:pPr>
            <w:r>
              <w:rPr>
                <w:rFonts w:ascii="Arial" w:cs="Arial" w:eastAsia="Arial" w:hAnsi="Arial"/>
                <w:sz w:val="15"/>
                <w:szCs w:val="15"/>
                <w:color w:val="auto"/>
              </w:rPr>
              <w:t>5,999,787</w:t>
            </w:r>
            <w:r>
              <w:rPr>
                <w:rFonts w:ascii="Arial" w:cs="Arial" w:eastAsia="Arial" w:hAnsi="Arial"/>
                <w:sz w:val="13"/>
                <w:szCs w:val="13"/>
                <w:color w:val="auto"/>
              </w:rPr>
              <w:t>(6)</w:t>
            </w:r>
          </w:p>
        </w:tc>
        <w:tc>
          <w:tcPr>
            <w:tcW w:w="1540" w:type="dxa"/>
            <w:vAlign w:val="bottom"/>
            <w:vMerge w:val="restart"/>
          </w:tcPr>
          <w:p>
            <w:pPr>
              <w:jc w:val="right"/>
              <w:ind w:right="343"/>
              <w:spacing w:after="0"/>
              <w:rPr>
                <w:sz w:val="20"/>
                <w:szCs w:val="20"/>
                <w:color w:val="auto"/>
              </w:rPr>
            </w:pPr>
            <w:r>
              <w:rPr>
                <w:rFonts w:ascii="Arial" w:cs="Arial" w:eastAsia="Arial" w:hAnsi="Arial"/>
                <w:sz w:val="15"/>
                <w:szCs w:val="15"/>
                <w:color w:val="auto"/>
              </w:rPr>
              <w:t>260,958</w:t>
            </w:r>
          </w:p>
        </w:tc>
        <w:tc>
          <w:tcPr>
            <w:tcW w:w="1300" w:type="dxa"/>
            <w:vAlign w:val="bottom"/>
            <w:vMerge w:val="restart"/>
          </w:tcPr>
          <w:p>
            <w:pPr>
              <w:jc w:val="right"/>
              <w:ind w:right="23"/>
              <w:spacing w:after="0"/>
              <w:rPr>
                <w:sz w:val="20"/>
                <w:szCs w:val="20"/>
                <w:color w:val="auto"/>
              </w:rPr>
            </w:pPr>
            <w:r>
              <w:rPr>
                <w:rFonts w:ascii="Arial" w:cs="Arial" w:eastAsia="Arial" w:hAnsi="Arial"/>
                <w:sz w:val="15"/>
                <w:szCs w:val="15"/>
                <w:color w:val="auto"/>
              </w:rPr>
              <w:t>6,260,745</w:t>
            </w:r>
          </w:p>
        </w:tc>
        <w:tc>
          <w:tcPr>
            <w:tcW w:w="1360" w:type="dxa"/>
            <w:vAlign w:val="bottom"/>
            <w:tcBorders>
              <w:right w:val="single" w:sz="8" w:color="7F7F7F"/>
            </w:tcBorders>
            <w:vMerge w:val="restart"/>
          </w:tcPr>
          <w:p>
            <w:pPr>
              <w:jc w:val="right"/>
              <w:ind w:right="1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19"/>
        </w:trPr>
        <w:tc>
          <w:tcPr>
            <w:tcW w:w="4920" w:type="dxa"/>
            <w:vAlign w:val="bottom"/>
            <w:tcBorders>
              <w:left w:val="single" w:sz="8" w:color="7F7F7F"/>
            </w:tcBorders>
            <w:vMerge w:val="restart"/>
          </w:tcPr>
          <w:p>
            <w:pPr>
              <w:ind w:left="400"/>
              <w:spacing w:after="0"/>
              <w:rPr>
                <w:sz w:val="20"/>
                <w:szCs w:val="20"/>
                <w:color w:val="auto"/>
              </w:rPr>
            </w:pPr>
            <w:r>
              <w:rPr>
                <w:rFonts w:ascii="Arial" w:cs="Arial" w:eastAsia="Arial" w:hAnsi="Arial"/>
                <w:sz w:val="15"/>
                <w:szCs w:val="15"/>
                <w:color w:val="auto"/>
              </w:rPr>
              <w:t>(20 persons)</w:t>
            </w:r>
          </w:p>
        </w:tc>
        <w:tc>
          <w:tcPr>
            <w:tcW w:w="184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60" w:type="dxa"/>
            <w:vAlign w:val="bottom"/>
            <w:tcBorders>
              <w:right w:val="single" w:sz="8" w:color="7F7F7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4920" w:type="dxa"/>
            <w:vAlign w:val="bottom"/>
            <w:tcBorders>
              <w:left w:val="single" w:sz="8" w:color="7F7F7F"/>
              <w:bottom w:val="single" w:sz="8" w:color="7F7F7F"/>
            </w:tcBorders>
            <w:vMerge w:val="continue"/>
          </w:tcPr>
          <w:p>
            <w:pPr>
              <w:spacing w:after="0"/>
              <w:rPr>
                <w:sz w:val="7"/>
                <w:szCs w:val="7"/>
                <w:color w:val="auto"/>
              </w:rPr>
            </w:pPr>
          </w:p>
        </w:tc>
        <w:tc>
          <w:tcPr>
            <w:tcW w:w="1840" w:type="dxa"/>
            <w:vAlign w:val="bottom"/>
            <w:tcBorders>
              <w:bottom w:val="single" w:sz="8" w:color="7F7F7F"/>
            </w:tcBorders>
          </w:tcPr>
          <w:p>
            <w:pPr>
              <w:spacing w:after="0"/>
              <w:rPr>
                <w:sz w:val="7"/>
                <w:szCs w:val="7"/>
                <w:color w:val="auto"/>
              </w:rPr>
            </w:pPr>
          </w:p>
        </w:tc>
        <w:tc>
          <w:tcPr>
            <w:tcW w:w="1540" w:type="dxa"/>
            <w:vAlign w:val="bottom"/>
            <w:tcBorders>
              <w:bottom w:val="single" w:sz="8" w:color="7F7F7F"/>
            </w:tcBorders>
          </w:tcPr>
          <w:p>
            <w:pPr>
              <w:spacing w:after="0"/>
              <w:rPr>
                <w:sz w:val="7"/>
                <w:szCs w:val="7"/>
                <w:color w:val="auto"/>
              </w:rPr>
            </w:pPr>
          </w:p>
        </w:tc>
        <w:tc>
          <w:tcPr>
            <w:tcW w:w="1300" w:type="dxa"/>
            <w:vAlign w:val="bottom"/>
            <w:tcBorders>
              <w:bottom w:val="single" w:sz="8" w:color="7F7F7F"/>
            </w:tcBorders>
          </w:tcPr>
          <w:p>
            <w:pPr>
              <w:spacing w:after="0"/>
              <w:rPr>
                <w:sz w:val="7"/>
                <w:szCs w:val="7"/>
                <w:color w:val="auto"/>
              </w:rPr>
            </w:pPr>
          </w:p>
        </w:tc>
        <w:tc>
          <w:tcPr>
            <w:tcW w:w="1360" w:type="dxa"/>
            <w:vAlign w:val="bottom"/>
            <w:tcBorders>
              <w:bottom w:val="single" w:sz="8" w:color="7F7F7F"/>
              <w:right w:val="single" w:sz="8" w:color="7F7F7F"/>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540" w:hanging="424"/>
        <w:spacing w:after="0"/>
        <w:tabs>
          <w:tab w:leader="none" w:pos="5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82" w:lineRule="exact"/>
        <w:rPr>
          <w:sz w:val="20"/>
          <w:szCs w:val="20"/>
          <w:color w:val="auto"/>
        </w:rPr>
      </w:pPr>
    </w:p>
    <w:p>
      <w:pPr>
        <w:ind w:left="540" w:right="120" w:hanging="424"/>
        <w:spacing w:after="0" w:line="252" w:lineRule="auto"/>
        <w:tabs>
          <w:tab w:leader="none" w:pos="5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Amounts shown include shares that may be acquired upon exercise of stock options that are currently exercisable or will become exercisable within 60 days of March 15, 2022, as follows: 23,471 shares for Dr. Austin, 622,533 shares for Mr. Breber, 12,003 shares for Mr. Frank, 696,333 shares for Mr. Geagea, 79,190 shares for Mr. Hernandez, Jr., 742,066 shares for Mr. Johnson, 28,809 shares for Mr. Moorman, 304,433 shares for Mr. Nelson, 1,298,733 shares for Mr. Wirth, and 4,465,833 shares for all current non-employee Directors and executive officers as a group. For executive officers, the amounts shown include shares held in trust under the ESIP. For non-employee Directors, the amounts shown include shares of restricted stock awarded under the NED Plan.</w:t>
      </w:r>
    </w:p>
    <w:p>
      <w:pPr>
        <w:spacing w:after="0" w:line="45" w:lineRule="exact"/>
        <w:rPr>
          <w:rFonts w:ascii="Arial" w:cs="Arial" w:eastAsia="Arial" w:hAnsi="Arial"/>
          <w:sz w:val="14"/>
          <w:szCs w:val="14"/>
          <w:color w:val="auto"/>
        </w:rPr>
      </w:pPr>
    </w:p>
    <w:p>
      <w:pPr>
        <w:ind w:left="540" w:right="40" w:hanging="424"/>
        <w:spacing w:after="0" w:line="256" w:lineRule="auto"/>
        <w:tabs>
          <w:tab w:leader="none" w:pos="5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Stock units do not carry voting rights and may not be sold. They do, however, represent the equivalent of economic ownership of Chevron common stock, since the value of each unit is measured by the price of Chevron common stock. For non-employee Directors, these are stock units (awarded prior to 2007) and RSUs awarded under the NED Plan, as well as stock units representing deferral of the annual cash retainer that may ultimately be paid in shares of Chevron common stock. For executive officers, these include stock units deferred under the DCP that may ultimately be paid in shares of Chevron common stock.</w:t>
      </w:r>
    </w:p>
    <w:p>
      <w:pPr>
        <w:spacing w:after="0" w:line="42" w:lineRule="exact"/>
        <w:rPr>
          <w:rFonts w:ascii="Arial" w:cs="Arial" w:eastAsia="Arial" w:hAnsi="Arial"/>
          <w:sz w:val="14"/>
          <w:szCs w:val="14"/>
          <w:color w:val="auto"/>
        </w:rPr>
      </w:pPr>
    </w:p>
    <w:p>
      <w:pPr>
        <w:ind w:left="540" w:hanging="424"/>
        <w:spacing w:after="0" w:line="263" w:lineRule="auto"/>
        <w:tabs>
          <w:tab w:leader="none" w:pos="5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Based on information set forth in a Schedule 13G/A filed with the SEC on February 1, 2022, by BlackRock, Inc., 55 East 52nd Street, New York, NY 10055, BlackRock reports that as of December 31, 2021, it and its subsidiaries listed on Exhibit A of the Schedule 13G/A had sole voting power for 111,609,469 shares, sole dispositive power for 126,043,765 shares, and no shared voting and dispositive powers.</w:t>
      </w:r>
    </w:p>
    <w:p>
      <w:pPr>
        <w:spacing w:after="0" w:line="37" w:lineRule="exact"/>
        <w:rPr>
          <w:rFonts w:ascii="Arial" w:cs="Arial" w:eastAsia="Arial" w:hAnsi="Arial"/>
          <w:sz w:val="14"/>
          <w:szCs w:val="14"/>
          <w:color w:val="auto"/>
        </w:rPr>
      </w:pPr>
    </w:p>
    <w:p>
      <w:pPr>
        <w:ind w:left="540" w:right="120" w:hanging="424"/>
        <w:spacing w:after="0" w:line="263" w:lineRule="auto"/>
        <w:tabs>
          <w:tab w:leader="none" w:pos="5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Based on information set forth in a Schedule 13G/A filed with the SEC on February 14, 2022, by State Street Corporation, State Street Financial Center, 1 Lincoln Street, Boston, MA 02111, State Street reports that as of December 31, 2021, it and its subsidiaries listed on Exhibit 1 of the Schedule 13G/A had no sole voting and dispositive powers, shared voting power for 127,156,172 shares, and shared dispositive power for 138,896,127 shares.</w:t>
      </w:r>
    </w:p>
    <w:p>
      <w:pPr>
        <w:spacing w:after="0" w:line="37" w:lineRule="exact"/>
        <w:rPr>
          <w:rFonts w:ascii="Arial" w:cs="Arial" w:eastAsia="Arial" w:hAnsi="Arial"/>
          <w:sz w:val="14"/>
          <w:szCs w:val="14"/>
          <w:color w:val="auto"/>
        </w:rPr>
      </w:pPr>
    </w:p>
    <w:p>
      <w:pPr>
        <w:ind w:left="540" w:right="140" w:hanging="424"/>
        <w:spacing w:after="0" w:line="263" w:lineRule="auto"/>
        <w:tabs>
          <w:tab w:leader="none" w:pos="5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Based on information set forth in a Schedule 13G/A filed with the SEC on February 9, 2022, by The Vanguard Group–23-1945930, 100 Vanguard Blvd., Malvern, PA 19355, Vanguard reports that as of December 31, 2021, it had sole dispositive power for 155,746,220 shares, shared voting power for 2,912,138 shares, shared dispositive power for 7,653,911 shares, and no sole voting power.</w:t>
      </w:r>
    </w:p>
    <w:p>
      <w:pPr>
        <w:spacing w:after="0" w:line="37" w:lineRule="exact"/>
        <w:rPr>
          <w:rFonts w:ascii="Arial" w:cs="Arial" w:eastAsia="Arial" w:hAnsi="Arial"/>
          <w:sz w:val="14"/>
          <w:szCs w:val="14"/>
          <w:color w:val="auto"/>
        </w:rPr>
      </w:pPr>
    </w:p>
    <w:p>
      <w:pPr>
        <w:ind w:left="540" w:hanging="424"/>
        <w:spacing w:after="0"/>
        <w:tabs>
          <w:tab w:leader="none" w:pos="5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Includes 4,532 shares held by The Lindsey H. Pate 2019 Irrevocable Trust for which Mr. Pate disclaims beneficial ownership.</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78</w:t>
      </w:r>
    </w:p>
    <w:p>
      <w:pPr>
        <w:sectPr>
          <w:pgSz w:w="11900" w:h="16838" w:orient="portrait"/>
          <w:cols w:equalWidth="0" w:num="1">
            <w:col w:w="11120"/>
          </w:cols>
          <w:pgMar w:left="320" w:top="455" w:right="45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left="1240"/>
        <w:spacing w:after="0" w:line="283" w:lineRule="auto"/>
        <w:rPr>
          <w:sz w:val="20"/>
          <w:szCs w:val="20"/>
          <w:color w:val="auto"/>
        </w:rPr>
      </w:pPr>
      <w:r>
        <w:rPr>
          <w:rFonts w:ascii="Arial" w:cs="Arial" w:eastAsia="Arial" w:hAnsi="Arial"/>
          <w:sz w:val="32"/>
          <w:szCs w:val="32"/>
          <w:b w:val="1"/>
          <w:bCs w:val="1"/>
          <w:color w:val="0B2D71"/>
        </w:rPr>
        <w:t>Board proposal to ratify PricewaterhouseCoopers LLP as the independent registered public accounting firm for 2022</w:t>
      </w:r>
    </w:p>
    <w:p>
      <w:pPr>
        <w:spacing w:after="0" w:line="2"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0B2D71"/>
        </w:rPr>
        <w:t>(Item 2 on the proxy card)</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0B2D71"/>
        </w:rPr>
        <w:t>Auditor review and engagement</w:t>
      </w:r>
    </w:p>
    <w:p>
      <w:pPr>
        <w:sectPr>
          <w:pgSz w:w="11900" w:h="16838" w:orient="portrait"/>
          <w:cols w:equalWidth="0" w:num="1">
            <w:col w:w="11120"/>
          </w:cols>
          <w:pgMar w:left="320" w:top="455" w:right="459" w:bottom="1440" w:gutter="0" w:footer="0" w:header="0"/>
        </w:sectPr>
      </w:pPr>
    </w:p>
    <w:p>
      <w:pPr>
        <w:spacing w:after="0" w:line="377"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The Audit Committee is responsible for the appointment, compensation, retention, and oversight of the independent registered public accounting firm that audits Chevron’s financial statements and internal control over financial reporting. The Audit Committee has selected PricewaterhouseCoopers LLP (PwC) as Chevron’s independent registered public accounting firm for 2022, and your Board has endorsed this appointment.</w:t>
      </w:r>
    </w:p>
    <w:p>
      <w:pPr>
        <w:spacing w:after="0" w:line="73" w:lineRule="exact"/>
        <w:rPr>
          <w:sz w:val="20"/>
          <w:szCs w:val="20"/>
          <w:color w:val="auto"/>
        </w:rPr>
      </w:pPr>
    </w:p>
    <w:p>
      <w:pPr>
        <w:ind w:left="120" w:right="200"/>
        <w:spacing w:after="0" w:line="259" w:lineRule="auto"/>
        <w:rPr>
          <w:sz w:val="20"/>
          <w:szCs w:val="20"/>
          <w:color w:val="auto"/>
        </w:rPr>
      </w:pPr>
      <w:r>
        <w:rPr>
          <w:rFonts w:ascii="Arial" w:cs="Arial" w:eastAsia="Arial" w:hAnsi="Arial"/>
          <w:sz w:val="16"/>
          <w:szCs w:val="16"/>
          <w:color w:val="auto"/>
        </w:rPr>
        <w:t>The Audit Committee annually reviews PwC’s performance and independence in deciding whether to retain PwC or engage a different independent registered public accounting firm. In the course of these reviews, the Audit Committee considers, among other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3351530" cy="34118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51530" cy="34118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ind w:left="166" w:right="140"/>
        <w:spacing w:after="0" w:line="286" w:lineRule="auto"/>
        <w:rPr>
          <w:sz w:val="20"/>
          <w:szCs w:val="20"/>
          <w:color w:val="auto"/>
        </w:rPr>
      </w:pPr>
      <w:r>
        <w:rPr>
          <w:rFonts w:ascii="Arial" w:cs="Arial" w:eastAsia="Arial" w:hAnsi="Arial"/>
          <w:sz w:val="16"/>
          <w:szCs w:val="16"/>
          <w:color w:val="auto"/>
        </w:rPr>
        <w:t>global business and operations, accounting policies and practices, and internal control over financial reporting.</w:t>
      </w:r>
    </w:p>
    <w:p>
      <w:pPr>
        <w:spacing w:after="0" w:line="61" w:lineRule="exact"/>
        <w:rPr>
          <w:sz w:val="20"/>
          <w:szCs w:val="20"/>
          <w:color w:val="auto"/>
        </w:rPr>
      </w:pPr>
    </w:p>
    <w:p>
      <w:pPr>
        <w:ind w:left="166" w:right="240" w:hanging="166"/>
        <w:spacing w:after="0" w:line="259" w:lineRule="auto"/>
        <w:tabs>
          <w:tab w:leader="none" w:pos="166" w:val="left"/>
        </w:tabs>
        <w:numPr>
          <w:ilvl w:val="0"/>
          <w:numId w:val="116"/>
        </w:numPr>
        <w:rPr>
          <w:rFonts w:ascii="Arial" w:cs="Arial" w:eastAsia="Arial" w:hAnsi="Arial"/>
          <w:sz w:val="16"/>
          <w:szCs w:val="16"/>
          <w:color w:val="auto"/>
        </w:rPr>
      </w:pPr>
      <w:r>
        <w:rPr>
          <w:rFonts w:ascii="Arial" w:cs="Arial" w:eastAsia="Arial" w:hAnsi="Arial"/>
          <w:sz w:val="16"/>
          <w:szCs w:val="16"/>
          <w:b w:val="1"/>
          <w:bCs w:val="1"/>
          <w:color w:val="auto"/>
        </w:rPr>
        <w:t>Effective audit plans and efficient fee structures</w:t>
      </w:r>
      <w:r>
        <w:rPr>
          <w:rFonts w:ascii="Arial" w:cs="Arial" w:eastAsia="Arial" w:hAnsi="Arial"/>
          <w:sz w:val="16"/>
          <w:szCs w:val="16"/>
          <w:color w:val="auto"/>
        </w:rPr>
        <w:t>. PwC’s extensive</w:t>
      </w:r>
      <w:r>
        <w:rPr>
          <w:rFonts w:ascii="Arial" w:cs="Arial" w:eastAsia="Arial" w:hAnsi="Arial"/>
          <w:sz w:val="16"/>
          <w:szCs w:val="16"/>
          <w:b w:val="1"/>
          <w:bCs w:val="1"/>
          <w:color w:val="auto"/>
        </w:rPr>
        <w:t xml:space="preserve"> </w:t>
      </w:r>
      <w:r>
        <w:rPr>
          <w:rFonts w:ascii="Arial" w:cs="Arial" w:eastAsia="Arial" w:hAnsi="Arial"/>
          <w:sz w:val="16"/>
          <w:szCs w:val="16"/>
          <w:color w:val="auto"/>
        </w:rPr>
        <w:t>knowledge of Chevron’s business and control framework enables it to design effective audit plans that cover key risk areas while capturing cost efficiencies in audit scope and internal control testing.</w:t>
      </w:r>
    </w:p>
    <w:p>
      <w:pPr>
        <w:spacing w:after="0" w:line="83" w:lineRule="exact"/>
        <w:rPr>
          <w:rFonts w:ascii="Arial" w:cs="Arial" w:eastAsia="Arial" w:hAnsi="Arial"/>
          <w:sz w:val="16"/>
          <w:szCs w:val="16"/>
          <w:color w:val="auto"/>
        </w:rPr>
      </w:pPr>
    </w:p>
    <w:p>
      <w:pPr>
        <w:ind w:left="166" w:right="20" w:hanging="166"/>
        <w:spacing w:after="0" w:line="241" w:lineRule="auto"/>
        <w:tabs>
          <w:tab w:leader="none" w:pos="166" w:val="left"/>
        </w:tabs>
        <w:numPr>
          <w:ilvl w:val="0"/>
          <w:numId w:val="116"/>
        </w:numPr>
        <w:rPr>
          <w:rFonts w:ascii="Arial" w:cs="Arial" w:eastAsia="Arial" w:hAnsi="Arial"/>
          <w:sz w:val="16"/>
          <w:szCs w:val="16"/>
          <w:color w:val="auto"/>
        </w:rPr>
      </w:pPr>
      <w:r>
        <w:rPr>
          <w:rFonts w:ascii="Arial" w:cs="Arial" w:eastAsia="Arial" w:hAnsi="Arial"/>
          <w:sz w:val="16"/>
          <w:szCs w:val="16"/>
          <w:b w:val="1"/>
          <w:bCs w:val="1"/>
          <w:color w:val="auto"/>
        </w:rPr>
        <w:t xml:space="preserve">Maintaining continuity avoids disruption. </w:t>
      </w:r>
      <w:r>
        <w:rPr>
          <w:rFonts w:ascii="Arial" w:cs="Arial" w:eastAsia="Arial" w:hAnsi="Arial"/>
          <w:sz w:val="16"/>
          <w:szCs w:val="16"/>
          <w:color w:val="auto"/>
        </w:rPr>
        <w:t>Bringing on a new auditor,</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reasonable cause, would require extensive education and a significant period of time for the new auditor to reach a comparable level of knowledge and familiarity with Chevron’s business and control framework. Many of the efficiencies gained over the course of Chevron’s relationship with PwC could be lost.</w:t>
      </w:r>
    </w:p>
    <w:p>
      <w:pPr>
        <w:spacing w:after="0" w:line="1" w:lineRule="exact"/>
        <w:rPr>
          <w:sz w:val="20"/>
          <w:szCs w:val="20"/>
          <w:color w:val="auto"/>
        </w:rPr>
      </w:pPr>
    </w:p>
    <w:p>
      <w:pPr>
        <w:sectPr>
          <w:pgSz w:w="11900" w:h="16838" w:orient="portrait"/>
          <w:cols w:equalWidth="0" w:num="2">
            <w:col w:w="5320" w:space="414"/>
            <w:col w:w="5386"/>
          </w:cols>
          <w:pgMar w:left="320" w:top="455" w:right="459" w:bottom="1440" w:gutter="0" w:footer="0" w:header="0"/>
          <w:type w:val="continuous"/>
        </w:sectPr>
      </w:pPr>
    </w:p>
    <w:p>
      <w:pPr>
        <w:ind w:left="360" w:right="20" w:hanging="151"/>
        <w:spacing w:after="0" w:line="252" w:lineRule="auto"/>
        <w:tabs>
          <w:tab w:leader="none" w:pos="361"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quality and efficiency of PwC’s historical and recent audit plans and performance on the Chevron audit;</w:t>
      </w:r>
    </w:p>
    <w:p>
      <w:pPr>
        <w:spacing w:after="0" w:line="88" w:lineRule="exact"/>
        <w:rPr>
          <w:rFonts w:ascii="Arial" w:cs="Arial" w:eastAsia="Arial" w:hAnsi="Arial"/>
          <w:sz w:val="16"/>
          <w:szCs w:val="16"/>
          <w:color w:val="auto"/>
        </w:rPr>
      </w:pPr>
    </w:p>
    <w:p>
      <w:pPr>
        <w:ind w:left="360" w:right="100" w:hanging="151"/>
        <w:spacing w:after="0" w:line="259" w:lineRule="auto"/>
        <w:tabs>
          <w:tab w:leader="none" w:pos="36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PwC’s capability and expertise in handling the breadth and complexity of Chevron’s worldwide operations;</w:t>
      </w:r>
    </w:p>
    <w:p>
      <w:pPr>
        <w:spacing w:after="0" w:line="83" w:lineRule="exact"/>
        <w:rPr>
          <w:rFonts w:ascii="Arial" w:cs="Arial" w:eastAsia="Arial" w:hAnsi="Arial"/>
          <w:sz w:val="16"/>
          <w:szCs w:val="16"/>
          <w:color w:val="auto"/>
        </w:rPr>
      </w:pPr>
    </w:p>
    <w:p>
      <w:pPr>
        <w:ind w:left="360" w:right="80" w:hanging="151"/>
        <w:spacing w:after="0" w:line="254" w:lineRule="auto"/>
        <w:tabs>
          <w:tab w:leader="none" w:pos="36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PwC’s expertise in and knowledge of the global oil and gas industry and its network of partners and managers in Chevron’s key areas of global operation;</w:t>
      </w:r>
    </w:p>
    <w:p>
      <w:pPr>
        <w:spacing w:after="0" w:line="87" w:lineRule="exact"/>
        <w:rPr>
          <w:rFonts w:ascii="Arial" w:cs="Arial" w:eastAsia="Arial" w:hAnsi="Arial"/>
          <w:sz w:val="16"/>
          <w:szCs w:val="16"/>
          <w:color w:val="auto"/>
        </w:rPr>
      </w:pPr>
    </w:p>
    <w:p>
      <w:pPr>
        <w:ind w:left="360" w:hanging="151"/>
        <w:spacing w:after="0" w:line="254" w:lineRule="auto"/>
        <w:tabs>
          <w:tab w:leader="none" w:pos="361"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desired balance of PwC’s experience and fresh perspective occasioned by mandatory audit partner rotation and PwC’s periodic rotation of other audit management;</w:t>
      </w:r>
    </w:p>
    <w:p>
      <w:pPr>
        <w:spacing w:after="0" w:line="20" w:lineRule="exact"/>
        <w:rPr>
          <w:sz w:val="20"/>
          <w:szCs w:val="20"/>
          <w:color w:val="auto"/>
        </w:rPr>
      </w:pPr>
      <w:r>
        <w:rPr>
          <w:sz w:val="20"/>
          <w:szCs w:val="20"/>
          <w:color w:val="auto"/>
        </w:rPr>
        <w:br w:type="column"/>
      </w:r>
    </w:p>
    <w:p>
      <w:pPr>
        <w:ind w:left="151" w:right="80" w:hanging="151"/>
        <w:spacing w:after="0" w:line="250" w:lineRule="auto"/>
        <w:tabs>
          <w:tab w:leader="none" w:pos="154"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External data on audit quality and performance, including recent Public Company Accounting Oversight Board (“PCAOB”) reports on PwC and its peer firms;</w:t>
      </w:r>
    </w:p>
    <w:p>
      <w:pPr>
        <w:spacing w:after="0" w:line="89" w:lineRule="exact"/>
        <w:rPr>
          <w:rFonts w:ascii="Arial" w:cs="Arial" w:eastAsia="Arial" w:hAnsi="Arial"/>
          <w:sz w:val="16"/>
          <w:szCs w:val="16"/>
          <w:color w:val="auto"/>
        </w:rPr>
      </w:pPr>
    </w:p>
    <w:p>
      <w:pPr>
        <w:ind w:left="151" w:hanging="151"/>
        <w:spacing w:after="0" w:line="266" w:lineRule="auto"/>
        <w:tabs>
          <w:tab w:leader="none" w:pos="151"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appropriateness of PwC’s fees for audit and non-audit services;</w:t>
      </w:r>
    </w:p>
    <w:p>
      <w:pPr>
        <w:spacing w:after="0" w:line="76" w:lineRule="exact"/>
        <w:rPr>
          <w:rFonts w:ascii="Arial" w:cs="Arial" w:eastAsia="Arial" w:hAnsi="Arial"/>
          <w:sz w:val="16"/>
          <w:szCs w:val="16"/>
          <w:color w:val="auto"/>
        </w:rPr>
      </w:pPr>
    </w:p>
    <w:p>
      <w:pPr>
        <w:ind w:left="151" w:right="160" w:hanging="151"/>
        <w:spacing w:after="0" w:line="259" w:lineRule="auto"/>
        <w:tabs>
          <w:tab w:leader="none" w:pos="151"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quality and candor of PwC’s communications with the Audit Committee and management;</w:t>
      </w:r>
    </w:p>
    <w:p>
      <w:pPr>
        <w:spacing w:after="0" w:line="83" w:lineRule="exact"/>
        <w:rPr>
          <w:rFonts w:ascii="Arial" w:cs="Arial" w:eastAsia="Arial" w:hAnsi="Arial"/>
          <w:sz w:val="16"/>
          <w:szCs w:val="16"/>
          <w:color w:val="auto"/>
        </w:rPr>
      </w:pPr>
    </w:p>
    <w:p>
      <w:pPr>
        <w:ind w:left="151" w:hanging="151"/>
        <w:spacing w:after="0" w:line="262" w:lineRule="auto"/>
        <w:tabs>
          <w:tab w:leader="none" w:pos="154" w:val="left"/>
        </w:tabs>
        <w:numPr>
          <w:ilvl w:val="0"/>
          <w:numId w:val="118"/>
        </w:numPr>
        <w:rPr>
          <w:rFonts w:ascii="Arial" w:cs="Arial" w:eastAsia="Arial" w:hAnsi="Arial"/>
          <w:sz w:val="16"/>
          <w:szCs w:val="16"/>
          <w:color w:val="auto"/>
        </w:rPr>
      </w:pPr>
      <w:r>
        <w:rPr>
          <w:rFonts w:ascii="Arial" w:cs="Arial" w:eastAsia="Arial" w:hAnsi="Arial"/>
          <w:sz w:val="16"/>
          <w:szCs w:val="16"/>
          <w:color w:val="auto"/>
        </w:rPr>
        <w:t>PwC’s independence and objectivity in its performance of audit services; and</w:t>
      </w:r>
    </w:p>
    <w:p>
      <w:pPr>
        <w:spacing w:after="0" w:line="274" w:lineRule="exact"/>
        <w:rPr>
          <w:rFonts w:ascii="Arial" w:cs="Arial" w:eastAsia="Arial" w:hAnsi="Arial"/>
          <w:sz w:val="16"/>
          <w:szCs w:val="16"/>
          <w:color w:val="auto"/>
        </w:rPr>
      </w:pPr>
    </w:p>
    <w:p>
      <w:pPr>
        <w:ind w:left="151" w:hanging="151"/>
        <w:spacing w:after="0" w:line="252" w:lineRule="auto"/>
        <w:tabs>
          <w:tab w:leader="none" w:pos="154" w:val="left"/>
        </w:tabs>
        <w:numPr>
          <w:ilvl w:val="0"/>
          <w:numId w:val="118"/>
        </w:numPr>
        <w:rPr>
          <w:rFonts w:ascii="Arial" w:cs="Arial" w:eastAsia="Arial" w:hAnsi="Arial"/>
          <w:sz w:val="16"/>
          <w:szCs w:val="16"/>
          <w:color w:val="auto"/>
        </w:rPr>
      </w:pPr>
      <w:r>
        <w:rPr>
          <w:rFonts w:ascii="Arial" w:cs="Arial" w:eastAsia="Arial" w:hAnsi="Arial"/>
          <w:sz w:val="16"/>
          <w:szCs w:val="16"/>
          <w:color w:val="auto"/>
        </w:rPr>
        <w:t>PwC’s tenure as our independent registered public accounting firm, including the benefits of having a long-tenured auditor, in conjunction with controls and processes that help safeguard PwC’s independence.</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Audit Committee believes that any concerns with PwC’s tenure are mitigated by strong independence controls, specifically:</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Thorough Committee oversight.</w:t>
      </w:r>
      <w:r>
        <w:rPr>
          <w:rFonts w:ascii="Arial" w:cs="Arial" w:eastAsia="Arial" w:hAnsi="Arial"/>
          <w:sz w:val="16"/>
          <w:szCs w:val="16"/>
          <w:color w:val="auto"/>
        </w:rPr>
        <w:t xml:space="preserve"> The Audit Committee’s oversight</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includes frequent private meetings with PwC, a comprehensive annual</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evaluation by the Audit Committee in determining whether to engage</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PwC, and a Committee-directed process for selecting the lead</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engagement partner.</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Robust preapproval policies and procedures, limits on non-audit</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services and hiring policies. </w:t>
      </w:r>
      <w:r>
        <w:rPr>
          <w:rFonts w:ascii="Arial" w:cs="Arial" w:eastAsia="Arial" w:hAnsi="Arial"/>
          <w:sz w:val="16"/>
          <w:szCs w:val="16"/>
          <w:color w:val="auto"/>
        </w:rPr>
        <w:t>The Audit Committee must preapprove all</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audit and non-audit services, including the type of services to be</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provided and the estimated fees related to those services. Categories of</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permissible non-audit services are limited to those not affecting PwC’s</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independence or otherwise not barred by regulation. Further, the Audit</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Committee has adopted a policy regarding Chevron’s employment of</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former PwC employees to ensure that auditor independence is not</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impaired.</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Strong internal PwC independence, policies, and procedures.</w:t>
      </w:r>
      <w:r>
        <w:rPr>
          <w:rFonts w:ascii="Arial" w:cs="Arial" w:eastAsia="Arial" w:hAnsi="Arial"/>
          <w:sz w:val="16"/>
          <w:szCs w:val="16"/>
          <w:color w:val="auto"/>
        </w:rPr>
        <w:t xml:space="preserve"> PwC</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conducts periodic internal quality reviews of its audit work and rotates</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lead engagement partners after a maximum of five years and auxiliary</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engagement partners after a maximum of seven years. PwC also</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conducts mandatory annual training for all professional staff globally on</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independence requirements and procedures. In addition, hiring</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restrictions are in place for former PwC employees at Chevron.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Strong regulatory framework.</w:t>
      </w:r>
      <w:r>
        <w:rPr>
          <w:rFonts w:ascii="Arial" w:cs="Arial" w:eastAsia="Arial" w:hAnsi="Arial"/>
          <w:sz w:val="16"/>
          <w:szCs w:val="16"/>
          <w:color w:val="auto"/>
        </w:rPr>
        <w:t xml:space="preserve"> PwC is an independent registered</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public accounting firm and is subject to PCAOB inspections, “Big 4” peer</w:t>
      </w:r>
    </w:p>
    <w:p>
      <w:pPr>
        <w:ind w:left="160"/>
        <w:spacing w:after="0" w:line="199" w:lineRule="auto"/>
        <w:rPr>
          <w:sz w:val="20"/>
          <w:szCs w:val="20"/>
          <w:color w:val="auto"/>
        </w:rPr>
      </w:pPr>
      <w:r>
        <w:rPr>
          <w:rFonts w:ascii="Arial" w:cs="Arial" w:eastAsia="Arial" w:hAnsi="Arial"/>
          <w:sz w:val="9"/>
          <w:szCs w:val="9"/>
          <w:color w:val="auto"/>
        </w:rPr>
        <w:t>reviews, and PCAOB and SEC oversight.</w:t>
      </w:r>
    </w:p>
    <w:p>
      <w:pPr>
        <w:spacing w:after="0" w:line="1" w:lineRule="exact"/>
        <w:rPr>
          <w:sz w:val="20"/>
          <w:szCs w:val="20"/>
          <w:color w:val="auto"/>
        </w:rPr>
      </w:pPr>
    </w:p>
    <w:p>
      <w:pPr>
        <w:sectPr>
          <w:pgSz w:w="11900" w:h="16838" w:orient="portrait"/>
          <w:cols w:equalWidth="0" w:num="3">
            <w:col w:w="2660" w:space="249"/>
            <w:col w:w="2311" w:space="520"/>
            <w:col w:w="5380"/>
          </w:cols>
          <w:pgMar w:left="320" w:top="455" w:right="459" w:bottom="1440" w:gutter="0" w:footer="0" w:header="0"/>
          <w:type w:val="continuous"/>
        </w:sectPr>
      </w:pPr>
    </w:p>
    <w:p>
      <w:pPr>
        <w:ind w:left="120" w:right="80"/>
        <w:spacing w:after="0" w:line="256" w:lineRule="auto"/>
        <w:rPr>
          <w:sz w:val="20"/>
          <w:szCs w:val="20"/>
          <w:color w:val="auto"/>
        </w:rPr>
      </w:pPr>
      <w:r>
        <w:rPr>
          <w:rFonts w:ascii="Arial" w:cs="Arial" w:eastAsia="Arial" w:hAnsi="Arial"/>
          <w:sz w:val="16"/>
          <w:szCs w:val="16"/>
          <w:color w:val="auto"/>
        </w:rPr>
        <w:t>The Audit Committee believes that PwC’s tenure as Chevron’s independent registered public accounting firm confers distinct benefits, including:</w:t>
      </w:r>
    </w:p>
    <w:p>
      <w:pPr>
        <w:spacing w:after="0" w:line="84" w:lineRule="exact"/>
        <w:rPr>
          <w:sz w:val="20"/>
          <w:szCs w:val="20"/>
          <w:color w:val="auto"/>
        </w:rPr>
      </w:pPr>
    </w:p>
    <w:p>
      <w:pPr>
        <w:ind w:left="300" w:hanging="184"/>
        <w:spacing w:after="0" w:line="266" w:lineRule="auto"/>
        <w:tabs>
          <w:tab w:leader="none" w:pos="300" w:val="left"/>
        </w:tabs>
        <w:numPr>
          <w:ilvl w:val="0"/>
          <w:numId w:val="119"/>
        </w:numPr>
        <w:rPr>
          <w:rFonts w:ascii="Arial" w:cs="Arial" w:eastAsia="Arial" w:hAnsi="Arial"/>
          <w:sz w:val="16"/>
          <w:szCs w:val="16"/>
          <w:color w:val="auto"/>
        </w:rPr>
      </w:pPr>
      <w:r>
        <w:rPr>
          <w:rFonts w:ascii="Arial" w:cs="Arial" w:eastAsia="Arial" w:hAnsi="Arial"/>
          <w:sz w:val="16"/>
          <w:szCs w:val="16"/>
          <w:b w:val="1"/>
          <w:bCs w:val="1"/>
          <w:color w:val="auto"/>
        </w:rPr>
        <w:t xml:space="preserve">Enhanced audit quality. </w:t>
      </w:r>
      <w:r>
        <w:rPr>
          <w:rFonts w:ascii="Arial" w:cs="Arial" w:eastAsia="Arial" w:hAnsi="Arial"/>
          <w:sz w:val="16"/>
          <w:szCs w:val="16"/>
          <w:color w:val="auto"/>
        </w:rPr>
        <w:t>Through many years of experience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Chevron, PwC has gained significant institutional knowledge of and a deep expertise regarding Chevron’s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auto"/>
        </w:rPr>
        <w:t>Based on this evaluation, the Audit Committee believes that PwC is independent and that it is in the best interests of Chevron and its stockholders to retain PwC as Chevron’s independent registered public accounting firm for 2022.</w:t>
      </w:r>
    </w:p>
    <w:p>
      <w:pPr>
        <w:spacing w:after="0" w:line="490" w:lineRule="exact"/>
        <w:rPr>
          <w:sz w:val="20"/>
          <w:szCs w:val="20"/>
          <w:color w:val="auto"/>
        </w:rPr>
      </w:pPr>
    </w:p>
    <w:p>
      <w:pPr>
        <w:sectPr>
          <w:pgSz w:w="11900" w:h="16838" w:orient="portrait"/>
          <w:cols w:equalWidth="0" w:num="2">
            <w:col w:w="5240" w:space="500"/>
            <w:col w:w="5380"/>
          </w:cols>
          <w:pgMar w:left="320" w:top="455" w:right="459" w:bottom="1440" w:gutter="0" w:footer="0" w:header="0"/>
          <w:type w:val="continuous"/>
        </w:sectPr>
      </w:pPr>
    </w:p>
    <w:p>
      <w:pPr>
        <w:spacing w:after="0" w:line="48"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Chevron Corporation – 2022 Proxy Statement</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79</w:t>
      </w:r>
    </w:p>
    <w:p>
      <w:pPr>
        <w:sectPr>
          <w:pgSz w:w="11900" w:h="16838" w:orient="portrait"/>
          <w:cols w:equalWidth="0" w:num="1">
            <w:col w:w="11120"/>
          </w:cols>
          <w:pgMar w:left="320" w:top="455" w:right="459" w:bottom="1440" w:gutter="0" w:footer="0" w:header="0"/>
          <w:type w:val="continuous"/>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5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shd w:val="clear" w:color="auto" w:fill="0B2D71"/>
        </w:rPr>
        <w:t>Board proposal to ratify PricewaterhouseCoopers LLP as the independent registered public accounting firm for 2022</w:t>
      </w:r>
    </w:p>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0B2D71"/>
        </w:rPr>
        <w:t>PwC’s fees and services</w:t>
      </w:r>
    </w:p>
    <w:p>
      <w:pPr>
        <w:spacing w:after="0" w:line="134"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color w:val="auto"/>
        </w:rPr>
        <w:t>PwC audited Chevron’s consolidated financial statements and effectiveness of internal control over financial reporting during the years ended December 31, 2021 and 2020. During these periods, PwC provided both audit and non-audit services. Aggregate fees for professional services rendered to Chevron by PwC for the years ended December 31, 2021 and 2020, were as follows (millions of dollars):</w:t>
      </w:r>
    </w:p>
    <w:p>
      <w:pPr>
        <w:spacing w:after="0" w:line="212" w:lineRule="exact"/>
        <w:rPr>
          <w:sz w:val="20"/>
          <w:szCs w:val="20"/>
          <w:color w:val="auto"/>
        </w:rPr>
      </w:pPr>
    </w:p>
    <w:tbl>
      <w:tblPr>
        <w:tblLayout w:type="fixed"/>
        <w:tblInd w:w="130" w:type="dxa"/>
        <w:tblCellMar>
          <w:top w:w="0" w:type="dxa"/>
          <w:left w:w="0" w:type="dxa"/>
          <w:bottom w:w="0" w:type="dxa"/>
          <w:right w:w="0" w:type="dxa"/>
        </w:tblCellMar>
      </w:tblPr>
      <w:tr>
        <w:trPr>
          <w:trHeight w:val="263"/>
        </w:trPr>
        <w:tc>
          <w:tcPr>
            <w:tcW w:w="5300" w:type="dxa"/>
            <w:vAlign w:val="bottom"/>
            <w:tcBorders>
              <w:left w:val="single" w:sz="8" w:color="7F7F7F"/>
              <w:bottom w:val="single" w:sz="8" w:color="0066B2"/>
            </w:tcBorders>
            <w:shd w:val="clear" w:color="auto" w:fill="0066B2"/>
          </w:tcPr>
          <w:p>
            <w:pPr>
              <w:ind w:left="160"/>
              <w:spacing w:after="0"/>
              <w:rPr>
                <w:sz w:val="20"/>
                <w:szCs w:val="20"/>
                <w:color w:val="auto"/>
              </w:rPr>
            </w:pPr>
            <w:r>
              <w:rPr>
                <w:rFonts w:ascii="Arial" w:cs="Arial" w:eastAsia="Arial" w:hAnsi="Arial"/>
                <w:sz w:val="16"/>
                <w:szCs w:val="16"/>
                <w:b w:val="1"/>
                <w:bCs w:val="1"/>
                <w:color w:val="FFFFFF"/>
              </w:rPr>
              <w:t>Services provided</w:t>
            </w:r>
          </w:p>
        </w:tc>
        <w:tc>
          <w:tcPr>
            <w:tcW w:w="3840" w:type="dxa"/>
            <w:vAlign w:val="bottom"/>
            <w:tcBorders>
              <w:bottom w:val="single" w:sz="8" w:color="0066B2"/>
            </w:tcBorders>
            <w:shd w:val="clear" w:color="auto" w:fill="0066B2"/>
          </w:tcPr>
          <w:p>
            <w:pPr>
              <w:spacing w:after="0"/>
              <w:rPr>
                <w:sz w:val="22"/>
                <w:szCs w:val="22"/>
                <w:color w:val="auto"/>
              </w:rPr>
            </w:pPr>
          </w:p>
        </w:tc>
        <w:tc>
          <w:tcPr>
            <w:tcW w:w="800" w:type="dxa"/>
            <w:vAlign w:val="bottom"/>
            <w:tcBorders>
              <w:bottom w:val="single" w:sz="8" w:color="0066B2"/>
            </w:tcBorders>
            <w:shd w:val="clear" w:color="auto" w:fill="0066B2"/>
          </w:tcPr>
          <w:p>
            <w:pPr>
              <w:jc w:val="right"/>
              <w:ind w:right="339"/>
              <w:spacing w:after="0"/>
              <w:rPr>
                <w:sz w:val="20"/>
                <w:szCs w:val="20"/>
                <w:color w:val="auto"/>
              </w:rPr>
            </w:pPr>
            <w:r>
              <w:rPr>
                <w:rFonts w:ascii="Arial" w:cs="Arial" w:eastAsia="Arial" w:hAnsi="Arial"/>
                <w:sz w:val="16"/>
                <w:szCs w:val="16"/>
                <w:b w:val="1"/>
                <w:bCs w:val="1"/>
                <w:color w:val="FFFFFF"/>
              </w:rPr>
              <w:t>2021</w:t>
            </w:r>
          </w:p>
        </w:tc>
        <w:tc>
          <w:tcPr>
            <w:tcW w:w="400" w:type="dxa"/>
            <w:vAlign w:val="bottom"/>
            <w:tcBorders>
              <w:bottom w:val="single" w:sz="8" w:color="0066B2"/>
            </w:tcBorders>
            <w:shd w:val="clear" w:color="auto" w:fill="0066B2"/>
          </w:tcPr>
          <w:p>
            <w:pPr>
              <w:spacing w:after="0"/>
              <w:rPr>
                <w:sz w:val="22"/>
                <w:szCs w:val="22"/>
                <w:color w:val="auto"/>
              </w:rPr>
            </w:pPr>
          </w:p>
        </w:tc>
        <w:tc>
          <w:tcPr>
            <w:tcW w:w="700" w:type="dxa"/>
            <w:vAlign w:val="bottom"/>
            <w:tcBorders>
              <w:bottom w:val="single" w:sz="8" w:color="0066B2"/>
              <w:right w:val="single" w:sz="8" w:color="7F7F7F"/>
            </w:tcBorders>
            <w:shd w:val="clear" w:color="auto" w:fill="0066B2"/>
          </w:tcPr>
          <w:p>
            <w:pPr>
              <w:jc w:val="right"/>
              <w:ind w:right="239"/>
              <w:spacing w:after="0"/>
              <w:rPr>
                <w:sz w:val="20"/>
                <w:szCs w:val="20"/>
                <w:color w:val="auto"/>
              </w:rPr>
            </w:pPr>
            <w:r>
              <w:rPr>
                <w:rFonts w:ascii="Arial" w:cs="Arial" w:eastAsia="Arial" w:hAnsi="Arial"/>
                <w:sz w:val="16"/>
                <w:szCs w:val="16"/>
                <w:b w:val="1"/>
                <w:bCs w:val="1"/>
                <w:color w:val="FFFFFF"/>
              </w:rPr>
              <w:t>2020</w:t>
            </w:r>
          </w:p>
        </w:tc>
      </w:tr>
      <w:tr>
        <w:trPr>
          <w:trHeight w:val="250"/>
        </w:trPr>
        <w:tc>
          <w:tcPr>
            <w:tcW w:w="5300" w:type="dxa"/>
            <w:vAlign w:val="bottom"/>
            <w:tcBorders>
              <w:left w:val="single" w:sz="8" w:color="7F7F7F"/>
              <w:bottom w:val="single" w:sz="8" w:color="D8D8D8"/>
            </w:tcBorders>
            <w:shd w:val="clear" w:color="auto" w:fill="D8D8D8"/>
          </w:tcPr>
          <w:p>
            <w:pPr>
              <w:ind w:left="160"/>
              <w:spacing w:after="0"/>
              <w:rPr>
                <w:sz w:val="20"/>
                <w:szCs w:val="20"/>
                <w:color w:val="auto"/>
              </w:rPr>
            </w:pPr>
            <w:r>
              <w:rPr>
                <w:rFonts w:ascii="Arial" w:cs="Arial" w:eastAsia="Arial" w:hAnsi="Arial"/>
                <w:sz w:val="16"/>
                <w:szCs w:val="16"/>
                <w:color w:val="auto"/>
              </w:rPr>
              <w:t>Audit</w:t>
            </w:r>
          </w:p>
        </w:tc>
        <w:tc>
          <w:tcPr>
            <w:tcW w:w="38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D8D8D8"/>
            </w:tcBorders>
            <w:shd w:val="clear" w:color="auto" w:fill="D8D8D8"/>
          </w:tcPr>
          <w:p>
            <w:pPr>
              <w:jc w:val="right"/>
              <w:ind w:right="219"/>
              <w:spacing w:after="0"/>
              <w:rPr>
                <w:sz w:val="20"/>
                <w:szCs w:val="20"/>
                <w:color w:val="auto"/>
              </w:rPr>
            </w:pPr>
            <w:r>
              <w:rPr>
                <w:rFonts w:ascii="Arial" w:cs="Arial" w:eastAsia="Arial" w:hAnsi="Arial"/>
                <w:sz w:val="16"/>
                <w:szCs w:val="16"/>
                <w:color w:val="auto"/>
              </w:rPr>
              <w:t>28.0</w:t>
            </w:r>
          </w:p>
        </w:tc>
        <w:tc>
          <w:tcPr>
            <w:tcW w:w="40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D8D8D8"/>
              <w:right w:val="single" w:sz="8" w:color="7F7F7F"/>
            </w:tcBorders>
            <w:shd w:val="clear" w:color="auto" w:fill="D8D8D8"/>
          </w:tcPr>
          <w:p>
            <w:pPr>
              <w:jc w:val="right"/>
              <w:ind w:right="119"/>
              <w:spacing w:after="0"/>
              <w:rPr>
                <w:sz w:val="20"/>
                <w:szCs w:val="20"/>
                <w:color w:val="auto"/>
              </w:rPr>
            </w:pPr>
            <w:r>
              <w:rPr>
                <w:rFonts w:ascii="Arial" w:cs="Arial" w:eastAsia="Arial" w:hAnsi="Arial"/>
                <w:sz w:val="16"/>
                <w:szCs w:val="16"/>
                <w:color w:val="auto"/>
              </w:rPr>
              <w:t>28.3</w:t>
            </w:r>
          </w:p>
        </w:tc>
      </w:tr>
      <w:tr>
        <w:trPr>
          <w:trHeight w:val="241"/>
        </w:trPr>
        <w:tc>
          <w:tcPr>
            <w:tcW w:w="530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Audit Related</w:t>
            </w:r>
          </w:p>
        </w:tc>
        <w:tc>
          <w:tcPr>
            <w:tcW w:w="38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9"/>
              <w:spacing w:after="0"/>
              <w:rPr>
                <w:sz w:val="20"/>
                <w:szCs w:val="20"/>
                <w:color w:val="auto"/>
              </w:rPr>
            </w:pPr>
            <w:r>
              <w:rPr>
                <w:rFonts w:ascii="Arial" w:cs="Arial" w:eastAsia="Arial" w:hAnsi="Arial"/>
                <w:sz w:val="16"/>
                <w:szCs w:val="16"/>
                <w:color w:val="auto"/>
              </w:rPr>
              <w:t>0.6</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7F7F7F"/>
            </w:tcBorders>
          </w:tcPr>
          <w:p>
            <w:pPr>
              <w:jc w:val="right"/>
              <w:ind w:right="119"/>
              <w:spacing w:after="0"/>
              <w:rPr>
                <w:sz w:val="20"/>
                <w:szCs w:val="20"/>
                <w:color w:val="auto"/>
              </w:rPr>
            </w:pPr>
            <w:r>
              <w:rPr>
                <w:rFonts w:ascii="Arial" w:cs="Arial" w:eastAsia="Arial" w:hAnsi="Arial"/>
                <w:sz w:val="16"/>
                <w:szCs w:val="16"/>
                <w:color w:val="auto"/>
              </w:rPr>
              <w:t>1.0</w:t>
            </w:r>
          </w:p>
        </w:tc>
      </w:tr>
      <w:tr>
        <w:trPr>
          <w:trHeight w:val="29"/>
        </w:trPr>
        <w:tc>
          <w:tcPr>
            <w:tcW w:w="5300" w:type="dxa"/>
            <w:vAlign w:val="bottom"/>
            <w:tcBorders>
              <w:left w:val="single" w:sz="8" w:color="7F7F7F"/>
            </w:tcBorders>
          </w:tcPr>
          <w:p>
            <w:pPr>
              <w:spacing w:after="0"/>
              <w:rPr>
                <w:sz w:val="2"/>
                <w:szCs w:val="2"/>
                <w:color w:val="auto"/>
              </w:rPr>
            </w:pPr>
          </w:p>
        </w:tc>
        <w:tc>
          <w:tcPr>
            <w:tcW w:w="3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Borders>
              <w:right w:val="single" w:sz="8" w:color="7F7F7F"/>
            </w:tcBorders>
          </w:tcPr>
          <w:p>
            <w:pPr>
              <w:spacing w:after="0"/>
              <w:rPr>
                <w:sz w:val="2"/>
                <w:szCs w:val="2"/>
                <w:color w:val="auto"/>
              </w:rPr>
            </w:pPr>
          </w:p>
        </w:tc>
      </w:tr>
      <w:tr>
        <w:trPr>
          <w:trHeight w:val="250"/>
        </w:trPr>
        <w:tc>
          <w:tcPr>
            <w:tcW w:w="5300" w:type="dxa"/>
            <w:vAlign w:val="bottom"/>
            <w:tcBorders>
              <w:left w:val="single" w:sz="8" w:color="7F7F7F"/>
              <w:bottom w:val="single" w:sz="8" w:color="D8D8D8"/>
            </w:tcBorders>
            <w:shd w:val="clear" w:color="auto" w:fill="D8D8D8"/>
          </w:tcPr>
          <w:p>
            <w:pPr>
              <w:ind w:left="160"/>
              <w:spacing w:after="0"/>
              <w:rPr>
                <w:sz w:val="20"/>
                <w:szCs w:val="20"/>
                <w:color w:val="auto"/>
              </w:rPr>
            </w:pPr>
            <w:r>
              <w:rPr>
                <w:rFonts w:ascii="Arial" w:cs="Arial" w:eastAsia="Arial" w:hAnsi="Arial"/>
                <w:sz w:val="16"/>
                <w:szCs w:val="16"/>
                <w:color w:val="auto"/>
              </w:rPr>
              <w:t>Tax</w:t>
            </w:r>
          </w:p>
        </w:tc>
        <w:tc>
          <w:tcPr>
            <w:tcW w:w="38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D8D8D8"/>
            </w:tcBorders>
            <w:shd w:val="clear" w:color="auto" w:fill="D8D8D8"/>
          </w:tcPr>
          <w:p>
            <w:pPr>
              <w:jc w:val="right"/>
              <w:ind w:right="219"/>
              <w:spacing w:after="0"/>
              <w:rPr>
                <w:sz w:val="20"/>
                <w:szCs w:val="20"/>
                <w:color w:val="auto"/>
              </w:rPr>
            </w:pPr>
            <w:r>
              <w:rPr>
                <w:rFonts w:ascii="Arial" w:cs="Arial" w:eastAsia="Arial" w:hAnsi="Arial"/>
                <w:sz w:val="16"/>
                <w:szCs w:val="16"/>
                <w:color w:val="auto"/>
              </w:rPr>
              <w:t>0.7</w:t>
            </w:r>
          </w:p>
        </w:tc>
        <w:tc>
          <w:tcPr>
            <w:tcW w:w="40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D8D8D8"/>
              <w:right w:val="single" w:sz="8" w:color="7F7F7F"/>
            </w:tcBorders>
            <w:shd w:val="clear" w:color="auto" w:fill="D8D8D8"/>
          </w:tcPr>
          <w:p>
            <w:pPr>
              <w:jc w:val="right"/>
              <w:ind w:right="119"/>
              <w:spacing w:after="0"/>
              <w:rPr>
                <w:sz w:val="20"/>
                <w:szCs w:val="20"/>
                <w:color w:val="auto"/>
              </w:rPr>
            </w:pPr>
            <w:r>
              <w:rPr>
                <w:rFonts w:ascii="Arial" w:cs="Arial" w:eastAsia="Arial" w:hAnsi="Arial"/>
                <w:sz w:val="16"/>
                <w:szCs w:val="16"/>
                <w:color w:val="auto"/>
              </w:rPr>
              <w:t>0.5</w:t>
            </w:r>
          </w:p>
        </w:tc>
      </w:tr>
      <w:tr>
        <w:trPr>
          <w:trHeight w:val="241"/>
        </w:trPr>
        <w:tc>
          <w:tcPr>
            <w:tcW w:w="530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All Other</w:t>
            </w:r>
          </w:p>
        </w:tc>
        <w:tc>
          <w:tcPr>
            <w:tcW w:w="38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9"/>
              <w:spacing w:after="0"/>
              <w:rPr>
                <w:sz w:val="20"/>
                <w:szCs w:val="20"/>
                <w:color w:val="auto"/>
              </w:rPr>
            </w:pPr>
            <w:r>
              <w:rPr>
                <w:rFonts w:ascii="Arial" w:cs="Arial" w:eastAsia="Arial" w:hAnsi="Arial"/>
                <w:sz w:val="16"/>
                <w:szCs w:val="16"/>
                <w:color w:val="auto"/>
              </w:rPr>
              <w:t>2.5</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7F7F7F"/>
            </w:tcBorders>
          </w:tcPr>
          <w:p>
            <w:pPr>
              <w:jc w:val="right"/>
              <w:ind w:right="119"/>
              <w:spacing w:after="0"/>
              <w:rPr>
                <w:sz w:val="20"/>
                <w:szCs w:val="20"/>
                <w:color w:val="auto"/>
              </w:rPr>
            </w:pPr>
            <w:r>
              <w:rPr>
                <w:rFonts w:ascii="Arial" w:cs="Arial" w:eastAsia="Arial" w:hAnsi="Arial"/>
                <w:sz w:val="16"/>
                <w:szCs w:val="16"/>
                <w:color w:val="auto"/>
              </w:rPr>
              <w:t>1.2</w:t>
            </w:r>
          </w:p>
        </w:tc>
      </w:tr>
      <w:tr>
        <w:trPr>
          <w:trHeight w:val="29"/>
        </w:trPr>
        <w:tc>
          <w:tcPr>
            <w:tcW w:w="5300" w:type="dxa"/>
            <w:vAlign w:val="bottom"/>
            <w:tcBorders>
              <w:left w:val="single" w:sz="8" w:color="7F7F7F"/>
              <w:bottom w:val="single" w:sz="8" w:color="7F7F7F"/>
            </w:tcBorders>
          </w:tcPr>
          <w:p>
            <w:pPr>
              <w:spacing w:after="0"/>
              <w:rPr>
                <w:sz w:val="2"/>
                <w:szCs w:val="2"/>
                <w:color w:val="auto"/>
              </w:rPr>
            </w:pPr>
          </w:p>
        </w:tc>
        <w:tc>
          <w:tcPr>
            <w:tcW w:w="3840" w:type="dxa"/>
            <w:vAlign w:val="bottom"/>
            <w:tcBorders>
              <w:bottom w:val="single" w:sz="8" w:color="7F7F7F"/>
            </w:tcBorders>
          </w:tcPr>
          <w:p>
            <w:pPr>
              <w:spacing w:after="0"/>
              <w:rPr>
                <w:sz w:val="2"/>
                <w:szCs w:val="2"/>
                <w:color w:val="auto"/>
              </w:rPr>
            </w:pPr>
          </w:p>
        </w:tc>
        <w:tc>
          <w:tcPr>
            <w:tcW w:w="800" w:type="dxa"/>
            <w:vAlign w:val="bottom"/>
            <w:tcBorders>
              <w:bottom w:val="single" w:sz="8" w:color="7F7F7F"/>
            </w:tcBorders>
          </w:tcPr>
          <w:p>
            <w:pPr>
              <w:spacing w:after="0"/>
              <w:rPr>
                <w:sz w:val="2"/>
                <w:szCs w:val="2"/>
                <w:color w:val="auto"/>
              </w:rPr>
            </w:pPr>
          </w:p>
        </w:tc>
        <w:tc>
          <w:tcPr>
            <w:tcW w:w="400" w:type="dxa"/>
            <w:vAlign w:val="bottom"/>
            <w:tcBorders>
              <w:bottom w:val="single" w:sz="8" w:color="7F7F7F"/>
            </w:tcBorders>
          </w:tcPr>
          <w:p>
            <w:pPr>
              <w:spacing w:after="0"/>
              <w:rPr>
                <w:sz w:val="2"/>
                <w:szCs w:val="2"/>
                <w:color w:val="auto"/>
              </w:rPr>
            </w:pPr>
          </w:p>
        </w:tc>
        <w:tc>
          <w:tcPr>
            <w:tcW w:w="700" w:type="dxa"/>
            <w:vAlign w:val="bottom"/>
            <w:tcBorders>
              <w:bottom w:val="single" w:sz="8" w:color="7F7F7F"/>
              <w:right w:val="single" w:sz="8" w:color="7F7F7F"/>
            </w:tcBorders>
          </w:tcPr>
          <w:p>
            <w:pPr>
              <w:spacing w:after="0"/>
              <w:rPr>
                <w:sz w:val="2"/>
                <w:szCs w:val="2"/>
                <w:color w:val="auto"/>
              </w:rPr>
            </w:pPr>
          </w:p>
        </w:tc>
      </w:tr>
      <w:tr>
        <w:trPr>
          <w:trHeight w:val="243"/>
        </w:trPr>
        <w:tc>
          <w:tcPr>
            <w:tcW w:w="5300" w:type="dxa"/>
            <w:vAlign w:val="bottom"/>
            <w:tcBorders>
              <w:left w:val="single" w:sz="8" w:color="7F7F7F"/>
              <w:bottom w:val="single" w:sz="8" w:color="D8D8D8"/>
            </w:tcBorders>
            <w:shd w:val="clear" w:color="auto" w:fill="D8D8D8"/>
          </w:tcPr>
          <w:p>
            <w:pPr>
              <w:ind w:left="160"/>
              <w:spacing w:after="0"/>
              <w:rPr>
                <w:sz w:val="20"/>
                <w:szCs w:val="20"/>
                <w:color w:val="auto"/>
              </w:rPr>
            </w:pPr>
            <w:r>
              <w:rPr>
                <w:rFonts w:ascii="Arial" w:cs="Arial" w:eastAsia="Arial" w:hAnsi="Arial"/>
                <w:sz w:val="16"/>
                <w:szCs w:val="16"/>
                <w:color w:val="auto"/>
              </w:rPr>
              <w:t>Total</w:t>
            </w:r>
          </w:p>
        </w:tc>
        <w:tc>
          <w:tcPr>
            <w:tcW w:w="38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D8D8D8"/>
            </w:tcBorders>
            <w:shd w:val="clear" w:color="auto" w:fill="D8D8D8"/>
          </w:tcPr>
          <w:p>
            <w:pPr>
              <w:jc w:val="right"/>
              <w:ind w:right="219"/>
              <w:spacing w:after="0"/>
              <w:rPr>
                <w:sz w:val="20"/>
                <w:szCs w:val="20"/>
                <w:color w:val="auto"/>
              </w:rPr>
            </w:pPr>
            <w:r>
              <w:rPr>
                <w:rFonts w:ascii="Arial" w:cs="Arial" w:eastAsia="Arial" w:hAnsi="Arial"/>
                <w:sz w:val="16"/>
                <w:szCs w:val="16"/>
                <w:color w:val="auto"/>
              </w:rPr>
              <w:t>31.8</w:t>
            </w:r>
          </w:p>
        </w:tc>
        <w:tc>
          <w:tcPr>
            <w:tcW w:w="40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D8D8D8"/>
              <w:right w:val="single" w:sz="8" w:color="7F7F7F"/>
            </w:tcBorders>
            <w:shd w:val="clear" w:color="auto" w:fill="D8D8D8"/>
          </w:tcPr>
          <w:p>
            <w:pPr>
              <w:jc w:val="right"/>
              <w:ind w:right="119"/>
              <w:spacing w:after="0"/>
              <w:rPr>
                <w:sz w:val="20"/>
                <w:szCs w:val="20"/>
                <w:color w:val="auto"/>
              </w:rPr>
            </w:pPr>
            <w:r>
              <w:rPr>
                <w:rFonts w:ascii="Arial" w:cs="Arial" w:eastAsia="Arial" w:hAnsi="Arial"/>
                <w:sz w:val="16"/>
                <w:szCs w:val="16"/>
                <w:color w:val="auto"/>
              </w:rPr>
              <w:t>31.0</w:t>
            </w:r>
          </w:p>
        </w:tc>
      </w:tr>
      <w:tr>
        <w:trPr>
          <w:trHeight w:val="20"/>
        </w:trPr>
        <w:tc>
          <w:tcPr>
            <w:tcW w:w="5300" w:type="dxa"/>
            <w:vAlign w:val="bottom"/>
            <w:tcBorders>
              <w:left w:val="single" w:sz="8" w:color="7F7F7F"/>
            </w:tcBorders>
            <w:shd w:val="clear" w:color="auto" w:fill="7F7F7F"/>
          </w:tcPr>
          <w:p>
            <w:pPr>
              <w:spacing w:after="0" w:line="20" w:lineRule="exact"/>
              <w:rPr>
                <w:sz w:val="1"/>
                <w:szCs w:val="1"/>
                <w:color w:val="auto"/>
              </w:rPr>
            </w:pPr>
          </w:p>
        </w:tc>
        <w:tc>
          <w:tcPr>
            <w:tcW w:w="3840" w:type="dxa"/>
            <w:vAlign w:val="bottom"/>
            <w:shd w:val="clear" w:color="auto" w:fill="7F7F7F"/>
          </w:tcPr>
          <w:p>
            <w:pPr>
              <w:spacing w:after="0" w:line="20" w:lineRule="exact"/>
              <w:rPr>
                <w:sz w:val="1"/>
                <w:szCs w:val="1"/>
                <w:color w:val="auto"/>
              </w:rPr>
            </w:pPr>
          </w:p>
        </w:tc>
        <w:tc>
          <w:tcPr>
            <w:tcW w:w="800" w:type="dxa"/>
            <w:vAlign w:val="bottom"/>
            <w:shd w:val="clear" w:color="auto" w:fill="7F7F7F"/>
          </w:tcPr>
          <w:p>
            <w:pPr>
              <w:spacing w:after="0" w:line="20" w:lineRule="exact"/>
              <w:rPr>
                <w:sz w:val="1"/>
                <w:szCs w:val="1"/>
                <w:color w:val="auto"/>
              </w:rPr>
            </w:pPr>
          </w:p>
        </w:tc>
        <w:tc>
          <w:tcPr>
            <w:tcW w:w="400" w:type="dxa"/>
            <w:vAlign w:val="bottom"/>
            <w:shd w:val="clear" w:color="auto" w:fill="7F7F7F"/>
          </w:tcPr>
          <w:p>
            <w:pPr>
              <w:spacing w:after="0" w:line="20" w:lineRule="exact"/>
              <w:rPr>
                <w:sz w:val="1"/>
                <w:szCs w:val="1"/>
                <w:color w:val="auto"/>
              </w:rPr>
            </w:pPr>
          </w:p>
        </w:tc>
        <w:tc>
          <w:tcPr>
            <w:tcW w:w="700" w:type="dxa"/>
            <w:vAlign w:val="bottom"/>
            <w:tcBorders>
              <w:right w:val="single" w:sz="8" w:color="7F7F7F"/>
            </w:tcBorders>
            <w:shd w:val="clear" w:color="auto" w:fill="7F7F7F"/>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11140"/>
          </w:cols>
          <w:pgMar w:left="320" w:top="455" w:right="439" w:bottom="1440" w:gutter="0" w:footer="0" w:header="0"/>
        </w:sectPr>
      </w:pPr>
    </w:p>
    <w:p>
      <w:pPr>
        <w:ind w:left="120" w:right="40"/>
        <w:spacing w:after="0" w:line="256" w:lineRule="auto"/>
        <w:rPr>
          <w:sz w:val="20"/>
          <w:szCs w:val="20"/>
          <w:color w:val="auto"/>
        </w:rPr>
      </w:pPr>
      <w:r>
        <w:rPr>
          <w:rFonts w:ascii="Arial" w:cs="Arial" w:eastAsia="Arial" w:hAnsi="Arial"/>
          <w:sz w:val="16"/>
          <w:szCs w:val="16"/>
          <w:color w:val="auto"/>
        </w:rPr>
        <w:t>The Audit fees for the years ended December 31, 2021 and 2020, were for the audits of Chevron’s consolidated financial statements, statutory and subsidiary audits, issuance of consents, assistance with and review of documents filed with the SEC, and the audit of the effectiveness of internal control over financial reporting.</w:t>
      </w:r>
    </w:p>
    <w:p>
      <w:pPr>
        <w:spacing w:after="0" w:line="72"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The Audit Related fees for the years ended December 31, 2021 and 2020, were for assurance and related services for employee benefit plan audits, attest services required by debt holders, partners or other third party stakeholders, accounting consultations and attest services that are not</w:t>
      </w:r>
    </w:p>
    <w:p>
      <w:pPr>
        <w:spacing w:after="0" w:line="20" w:lineRule="exact"/>
        <w:rPr>
          <w:sz w:val="20"/>
          <w:szCs w:val="20"/>
          <w:color w:val="auto"/>
        </w:rPr>
      </w:pPr>
      <w:r>
        <w:rPr>
          <w:sz w:val="20"/>
          <w:szCs w:val="20"/>
          <w:color w:val="auto"/>
        </w:rPr>
        <w:br w:type="column"/>
      </w:r>
    </w:p>
    <w:p>
      <w:pPr>
        <w:ind w:right="300"/>
        <w:spacing w:after="0" w:line="286" w:lineRule="auto"/>
        <w:rPr>
          <w:sz w:val="20"/>
          <w:szCs w:val="20"/>
          <w:color w:val="auto"/>
        </w:rPr>
      </w:pPr>
      <w:r>
        <w:rPr>
          <w:rFonts w:ascii="Arial" w:cs="Arial" w:eastAsia="Arial" w:hAnsi="Arial"/>
          <w:sz w:val="16"/>
          <w:szCs w:val="16"/>
          <w:color w:val="auto"/>
        </w:rPr>
        <w:t>required by statute or regulation, and consultations concerning financial accounting and reporting standards.</w:t>
      </w:r>
    </w:p>
    <w:p>
      <w:pPr>
        <w:spacing w:after="0" w:line="4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Tax fees for the years ended December 31, 2021 and 2020, were for services related to tax compliance, including the preparation of tax returns and claims for refund, and for tax advice, including assistance with tax audits and appeals.</w:t>
      </w:r>
    </w:p>
    <w:p>
      <w:pPr>
        <w:spacing w:after="0" w:line="70"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All Other fees for the years ended December 31, 2021 and 2020, included services rendered for software licenses, subscriptions, permitted consulting services, benchmark studies, and surveys.</w:t>
      </w:r>
    </w:p>
    <w:p>
      <w:pPr>
        <w:spacing w:after="0" w:line="272" w:lineRule="exact"/>
        <w:rPr>
          <w:sz w:val="20"/>
          <w:szCs w:val="20"/>
          <w:color w:val="auto"/>
        </w:rPr>
      </w:pPr>
    </w:p>
    <w:p>
      <w:pPr>
        <w:sectPr>
          <w:pgSz w:w="11900" w:h="16838" w:orient="portrait"/>
          <w:cols w:equalWidth="0" w:num="2">
            <w:col w:w="5300" w:space="440"/>
            <w:col w:w="5400"/>
          </w:cols>
          <w:pgMar w:left="320" w:top="455" w:right="439" w:bottom="1440" w:gutter="0" w:footer="0" w:header="0"/>
          <w:type w:val="continuous"/>
        </w:sectPr>
      </w:pP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0B2D71"/>
        </w:rPr>
        <w:t>Audit committee preapproval policies and procedures</w:t>
      </w:r>
    </w:p>
    <w:p>
      <w:pPr>
        <w:sectPr>
          <w:pgSz w:w="11900" w:h="16838" w:orient="portrait"/>
          <w:cols w:equalWidth="0" w:num="1">
            <w:col w:w="11140"/>
          </w:cols>
          <w:pgMar w:left="320" w:top="455" w:right="439" w:bottom="1440" w:gutter="0" w:footer="0" w:header="0"/>
          <w:type w:val="continuous"/>
        </w:sectPr>
      </w:pPr>
    </w:p>
    <w:p>
      <w:pPr>
        <w:spacing w:after="0" w:line="323"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All 2021 audit and non-audit services provided by PwC were preapproved by the Audit Committee. The non-audit services that were preapproved by the Audit Committee were also reviewed to ensure compatibility with maintaining PwC’s independence and compliance with SEC and other rules and regulations.</w:t>
      </w:r>
    </w:p>
    <w:p>
      <w:pPr>
        <w:spacing w:after="0" w:line="72" w:lineRule="exact"/>
        <w:rPr>
          <w:sz w:val="20"/>
          <w:szCs w:val="20"/>
          <w:color w:val="auto"/>
        </w:rPr>
      </w:pPr>
    </w:p>
    <w:p>
      <w:pPr>
        <w:ind w:left="120" w:right="680"/>
        <w:spacing w:after="0" w:line="286" w:lineRule="auto"/>
        <w:rPr>
          <w:sz w:val="20"/>
          <w:szCs w:val="20"/>
          <w:color w:val="auto"/>
        </w:rPr>
      </w:pPr>
      <w:r>
        <w:rPr>
          <w:rFonts w:ascii="Arial" w:cs="Arial" w:eastAsia="Arial" w:hAnsi="Arial"/>
          <w:sz w:val="16"/>
          <w:szCs w:val="16"/>
          <w:color w:val="auto"/>
        </w:rPr>
        <w:t>The Audit Committee has implemented preapproval policies and procedures related to the provision of audit and</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right="440"/>
        <w:spacing w:after="0" w:line="266" w:lineRule="auto"/>
        <w:rPr>
          <w:sz w:val="20"/>
          <w:szCs w:val="20"/>
          <w:color w:val="auto"/>
        </w:rPr>
      </w:pPr>
      <w:r>
        <w:rPr>
          <w:rFonts w:ascii="Arial" w:cs="Arial" w:eastAsia="Arial" w:hAnsi="Arial"/>
          <w:sz w:val="16"/>
          <w:szCs w:val="16"/>
          <w:color w:val="auto"/>
        </w:rPr>
        <w:t>non-audit services. Under these procedures, the Audit Committee preapproves both the type of services to be provided by PwC and the estimated fees related to these services.</w:t>
      </w:r>
    </w:p>
    <w:p>
      <w:pPr>
        <w:spacing w:after="0" w:line="63"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Throughout the year, the Audit Committee reviews any revisions to the estimates of audit and non-audit fees initially approved.</w:t>
      </w:r>
    </w:p>
    <w:p>
      <w:pPr>
        <w:spacing w:after="0" w:line="577" w:lineRule="exact"/>
        <w:rPr>
          <w:sz w:val="20"/>
          <w:szCs w:val="20"/>
          <w:color w:val="auto"/>
        </w:rPr>
      </w:pPr>
    </w:p>
    <w:p>
      <w:pPr>
        <w:sectPr>
          <w:pgSz w:w="11900" w:h="16838" w:orient="portrait"/>
          <w:cols w:equalWidth="0" w:num="2">
            <w:col w:w="5400" w:space="340"/>
            <w:col w:w="5400"/>
          </w:cols>
          <w:pgMar w:left="320" w:top="455" w:right="439" w:bottom="1440" w:gutter="0" w:footer="0" w:header="0"/>
          <w:type w:val="continuous"/>
        </w:sectPr>
      </w:pP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0B2D71"/>
        </w:rPr>
        <w:t>PwC’s attendance at the annual meeting</w:t>
      </w:r>
    </w:p>
    <w:p>
      <w:pPr>
        <w:spacing w:after="0" w:line="134" w:lineRule="exact"/>
        <w:rPr>
          <w:sz w:val="20"/>
          <w:szCs w:val="20"/>
          <w:color w:val="auto"/>
        </w:rPr>
      </w:pPr>
    </w:p>
    <w:p>
      <w:pPr>
        <w:ind w:left="120" w:right="240"/>
        <w:spacing w:after="0" w:line="286" w:lineRule="auto"/>
        <w:rPr>
          <w:sz w:val="20"/>
          <w:szCs w:val="20"/>
          <w:color w:val="auto"/>
        </w:rPr>
      </w:pPr>
      <w:r>
        <w:rPr>
          <w:rFonts w:ascii="Arial" w:cs="Arial" w:eastAsia="Arial" w:hAnsi="Arial"/>
          <w:sz w:val="16"/>
          <w:szCs w:val="16"/>
          <w:color w:val="auto"/>
        </w:rPr>
        <w:t>Representatives of PwC will be present at the Annual Meeting. They will have an opportunity to make a statement if they desire and will be available to respond to appropriate questions.</w:t>
      </w:r>
    </w:p>
    <w:p>
      <w:pPr>
        <w:spacing w:after="0" w:line="31"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0B2D71"/>
        </w:rPr>
        <w:t>Vote required</w:t>
      </w:r>
    </w:p>
    <w:p>
      <w:pPr>
        <w:spacing w:after="0" w:line="134" w:lineRule="exact"/>
        <w:rPr>
          <w:sz w:val="20"/>
          <w:szCs w:val="20"/>
          <w:color w:val="auto"/>
        </w:rPr>
      </w:pPr>
    </w:p>
    <w:p>
      <w:pPr>
        <w:ind w:left="120" w:right="220"/>
        <w:spacing w:after="0" w:line="266" w:lineRule="auto"/>
        <w:rPr>
          <w:sz w:val="20"/>
          <w:szCs w:val="20"/>
          <w:color w:val="auto"/>
        </w:rPr>
      </w:pPr>
      <w:r>
        <w:rPr>
          <w:rFonts w:ascii="Arial" w:cs="Arial" w:eastAsia="Arial" w:hAnsi="Arial"/>
          <w:sz w:val="16"/>
          <w:szCs w:val="16"/>
          <w:color w:val="auto"/>
        </w:rPr>
        <w:t>This proposal is ratified if the number of shares voted FOR exceeds the number of shares voted AGAINST. Any shares not voted on this proposal (whether by abstention or otherwise) will have no impact on this proposal. If you are a street name stockholder and do not vote your shares, your bank, broker, or other holder of record can vote your shares at its discretion on this proposal.</w:t>
      </w:r>
    </w:p>
    <w:p>
      <w:pPr>
        <w:spacing w:after="0" w:line="47"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0B2D71"/>
        </w:rPr>
        <w:t>Your board’s recommendation</w:t>
      </w:r>
    </w:p>
    <w:p>
      <w:pPr>
        <w:spacing w:after="0" w:line="120" w:lineRule="exact"/>
        <w:rPr>
          <w:sz w:val="20"/>
          <w:szCs w:val="20"/>
          <w:color w:val="auto"/>
        </w:rPr>
      </w:pPr>
    </w:p>
    <w:p>
      <w:pPr>
        <w:ind w:left="120" w:right="280"/>
        <w:spacing w:after="0" w:line="261" w:lineRule="auto"/>
        <w:rPr>
          <w:sz w:val="20"/>
          <w:szCs w:val="20"/>
          <w:color w:val="auto"/>
        </w:rPr>
      </w:pPr>
      <w:r>
        <w:rPr>
          <w:rFonts w:ascii="Arial" w:cs="Arial" w:eastAsia="Arial" w:hAnsi="Arial"/>
          <w:sz w:val="22"/>
          <w:szCs w:val="22"/>
          <w:color w:val="0B2D71"/>
        </w:rPr>
        <w:t xml:space="preserve">Your Board recommends that you vote </w:t>
      </w:r>
      <w:r>
        <w:rPr>
          <w:rFonts w:ascii="Arial" w:cs="Arial" w:eastAsia="Arial" w:hAnsi="Arial"/>
          <w:sz w:val="22"/>
          <w:szCs w:val="22"/>
          <w:b w:val="1"/>
          <w:bCs w:val="1"/>
          <w:color w:val="0B2D71"/>
        </w:rPr>
        <w:t>for</w:t>
      </w:r>
      <w:r>
        <w:rPr>
          <w:rFonts w:ascii="Arial" w:cs="Arial" w:eastAsia="Arial" w:hAnsi="Arial"/>
          <w:sz w:val="22"/>
          <w:szCs w:val="22"/>
          <w:color w:val="0B2D71"/>
        </w:rPr>
        <w:t xml:space="preserve"> the ratification of the appointment of PricewaterhouseCoopers LLP as Chevron’s independent registered public accounting firm.</w:t>
      </w:r>
    </w:p>
    <w:p>
      <w:pPr>
        <w:spacing w:after="0" w:line="95"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Chevron Corporation – 2022 Proxy Statement</w:t>
      </w:r>
    </w:p>
    <w:p>
      <w:pPr>
        <w:spacing w:after="0" w:line="53"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80</w:t>
      </w:r>
    </w:p>
    <w:p>
      <w:pPr>
        <w:sectPr>
          <w:pgSz w:w="11900" w:h="16838" w:orient="portrait"/>
          <w:cols w:equalWidth="0" w:num="1">
            <w:col w:w="11140"/>
          </w:cols>
          <w:pgMar w:left="320" w:top="455" w:right="439" w:bottom="1440" w:gutter="0" w:footer="0" w:header="0"/>
          <w:type w:val="continuous"/>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left="780"/>
        <w:spacing w:after="0" w:line="296" w:lineRule="auto"/>
        <w:rPr>
          <w:sz w:val="20"/>
          <w:szCs w:val="20"/>
          <w:color w:val="auto"/>
        </w:rPr>
      </w:pPr>
      <w:r>
        <w:rPr>
          <w:rFonts w:ascii="Arial" w:cs="Arial" w:eastAsia="Arial" w:hAnsi="Arial"/>
          <w:sz w:val="32"/>
          <w:szCs w:val="32"/>
          <w:b w:val="1"/>
          <w:bCs w:val="1"/>
          <w:color w:val="0B2D71"/>
        </w:rPr>
        <w:t>Board proposal to approve, on an advisory basis, named executive officer compensation</w:t>
      </w:r>
    </w:p>
    <w:p>
      <w:pPr>
        <w:spacing w:after="0" w:line="3"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0B2D71"/>
        </w:rPr>
        <w:t>(Item 3 on the proxy card)</w:t>
      </w:r>
    </w:p>
    <w:p>
      <w:pPr>
        <w:sectPr>
          <w:pgSz w:w="11900" w:h="16838" w:orient="portrait"/>
          <w:cols w:equalWidth="0" w:num="1">
            <w:col w:w="11020"/>
          </w:cols>
          <w:pgMar w:left="320" w:top="455" w:right="559" w:bottom="1440" w:gutter="0" w:footer="0" w:header="0"/>
        </w:sectPr>
      </w:pPr>
    </w:p>
    <w:p>
      <w:pPr>
        <w:spacing w:after="0" w:line="195"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As required by Section 14A of the Exchange Act, stockholders are entitled to a nonbinding vote on the compensation of our Named Executive Officers (sometimes referred to as “Say-on-Pay”). At the 2017 Annual Meeting, the Board of Directors recommended and stockholders approved holding this advisory vote on an annual basis. Accordingly, you are being asked to vote on the following resolution at the 2022 Annual Meeting:</w:t>
      </w:r>
    </w:p>
    <w:p>
      <w:pPr>
        <w:spacing w:after="0" w:line="73"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“Resolved, that the stockholders APPROVE, on an advisory basis, the compensation of the Company’s Named Executive Officers as disclosed in the Compensation Discussion and Analysis, the accompanying compensation tables, and the related narrative disclosure in this Proxy Statement.”</w:t>
      </w:r>
    </w:p>
    <w:p>
      <w:pPr>
        <w:spacing w:after="0" w:line="72" w:lineRule="exact"/>
        <w:rPr>
          <w:sz w:val="20"/>
          <w:szCs w:val="20"/>
          <w:color w:val="auto"/>
        </w:rPr>
      </w:pPr>
    </w:p>
    <w:p>
      <w:pPr>
        <w:ind w:left="120" w:right="200"/>
        <w:spacing w:after="0" w:line="259" w:lineRule="auto"/>
        <w:rPr>
          <w:sz w:val="20"/>
          <w:szCs w:val="20"/>
          <w:color w:val="auto"/>
        </w:rPr>
      </w:pPr>
      <w:r>
        <w:rPr>
          <w:rFonts w:ascii="Arial" w:cs="Arial" w:eastAsia="Arial" w:hAnsi="Arial"/>
          <w:sz w:val="16"/>
          <w:szCs w:val="16"/>
          <w:color w:val="auto"/>
        </w:rPr>
        <w:t>Your Board recommends that you vote FOR this resolution because it believes that our compensation programs support our business model and the following objectives and values, described in detail in our “Compensation Discussion and Analysis” in this Proxy Statement: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260" w:right="220" w:hanging="185"/>
        <w:spacing w:after="0" w:line="256" w:lineRule="auto"/>
        <w:tabs>
          <w:tab w:leader="none" w:pos="2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Pay competitively across all salary grades and all geographies; our target compensation is determined by benchmarking comparable positions at other companies of equivalent size, scale, complexity, capital intensity, and geographic footprint. We reference both oil industry peers and non-oil industry peers in this analysis;</w:t>
      </w:r>
    </w:p>
    <w:p>
      <w:pPr>
        <w:spacing w:after="0" w:line="4" w:lineRule="exact"/>
        <w:rPr>
          <w:rFonts w:ascii="Arial" w:cs="Arial" w:eastAsia="Arial" w:hAnsi="Arial"/>
          <w:sz w:val="16"/>
          <w:szCs w:val="16"/>
          <w:color w:val="auto"/>
        </w:rPr>
      </w:pPr>
    </w:p>
    <w:p>
      <w:pPr>
        <w:ind w:left="260" w:right="240" w:hanging="185"/>
        <w:spacing w:after="0" w:line="256" w:lineRule="auto"/>
        <w:tabs>
          <w:tab w:leader="none" w:pos="2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Balance short- and long-term decision-making in support of a long-cycle-time business with a long-term employment model;</w:t>
      </w:r>
    </w:p>
    <w:p>
      <w:pPr>
        <w:spacing w:after="0" w:line="1" w:lineRule="exact"/>
        <w:rPr>
          <w:rFonts w:ascii="Arial" w:cs="Arial" w:eastAsia="Arial" w:hAnsi="Arial"/>
          <w:sz w:val="16"/>
          <w:szCs w:val="16"/>
          <w:color w:val="auto"/>
        </w:rPr>
      </w:pPr>
    </w:p>
    <w:p>
      <w:pPr>
        <w:ind w:left="260" w:right="420" w:hanging="185"/>
        <w:spacing w:after="0" w:line="262" w:lineRule="auto"/>
        <w:tabs>
          <w:tab w:leader="none" w:pos="2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Pay for absolute and competitive performance, in alignment with stockholder returns; and</w:t>
      </w:r>
    </w:p>
    <w:p>
      <w:pPr>
        <w:ind w:left="260" w:right="440" w:hanging="185"/>
        <w:spacing w:after="0" w:line="286" w:lineRule="auto"/>
        <w:tabs>
          <w:tab w:leader="none" w:pos="2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Apply compensation program rules in a manner that is internally consistent.</w:t>
      </w:r>
    </w:p>
    <w:p>
      <w:pPr>
        <w:spacing w:after="0" w:line="48"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We encourage stockholders to read the “Compensation Discussion and Analysis,” the accompanying compensation tables, and the related narrative disclosure in this Proxy Statement.</w:t>
      </w:r>
    </w:p>
    <w:p>
      <w:pPr>
        <w:spacing w:after="0" w:line="598" w:lineRule="exact"/>
        <w:rPr>
          <w:sz w:val="20"/>
          <w:szCs w:val="20"/>
          <w:color w:val="auto"/>
        </w:rPr>
      </w:pPr>
    </w:p>
    <w:p>
      <w:pPr>
        <w:sectPr>
          <w:pgSz w:w="11900" w:h="16838" w:orient="portrait"/>
          <w:cols w:equalWidth="0" w:num="2">
            <w:col w:w="5320" w:space="420"/>
            <w:col w:w="5280"/>
          </w:cols>
          <w:pgMar w:left="320" w:top="455" w:right="559" w:bottom="1440" w:gutter="0" w:footer="0" w:header="0"/>
          <w:type w:val="continuous"/>
        </w:sectPr>
      </w:pPr>
    </w:p>
    <w:p>
      <w:pPr>
        <w:spacing w:after="0" w:line="16"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0B2D71"/>
        </w:rPr>
        <w:t>Vote required</w:t>
      </w:r>
    </w:p>
    <w:p>
      <w:pPr>
        <w:spacing w:after="0" w:line="134"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color w:val="auto"/>
        </w:rPr>
        <w:t>This proposal is approved if the number of shares voted FOR exceeds the number of shares voted AGAINST. Any shares not voted on this proposal (whether by abstention or otherwise) will have no impact on this proposal. If you are a street name stockholder and do not vote your shares, your bank, broker, or other holder of record cannot vote your shares at its discretion on this proposal.</w:t>
      </w:r>
    </w:p>
    <w:p>
      <w:pPr>
        <w:spacing w:after="0" w:line="63"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This vote is nonbinding. The Board and the Management Compensation Committee, which is composed solely of independent Directors, expect to take into account the outcome of the vote when considering future executive compensation decisions to the extent they can determine the cause or causes of any significant negative voting results.</w:t>
      </w:r>
    </w:p>
    <w:p>
      <w:pPr>
        <w:spacing w:after="0" w:line="47"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0B2D71"/>
        </w:rPr>
        <w:t>Your board’s recommendation</w:t>
      </w:r>
    </w:p>
    <w:p>
      <w:pPr>
        <w:spacing w:after="0" w:line="120" w:lineRule="exact"/>
        <w:rPr>
          <w:sz w:val="20"/>
          <w:szCs w:val="20"/>
          <w:color w:val="auto"/>
        </w:rPr>
      </w:pPr>
    </w:p>
    <w:p>
      <w:pPr>
        <w:jc w:val="both"/>
        <w:ind w:left="120" w:right="60"/>
        <w:spacing w:after="0" w:line="245" w:lineRule="auto"/>
        <w:rPr>
          <w:sz w:val="20"/>
          <w:szCs w:val="20"/>
          <w:color w:val="auto"/>
        </w:rPr>
      </w:pPr>
      <w:r>
        <w:rPr>
          <w:rFonts w:ascii="Arial" w:cs="Arial" w:eastAsia="Arial" w:hAnsi="Arial"/>
          <w:sz w:val="22"/>
          <w:szCs w:val="22"/>
          <w:color w:val="0B2D71"/>
        </w:rPr>
        <w:t xml:space="preserve">Your Board recommends that you vote </w:t>
      </w:r>
      <w:r>
        <w:rPr>
          <w:rFonts w:ascii="Arial" w:cs="Arial" w:eastAsia="Arial" w:hAnsi="Arial"/>
          <w:sz w:val="22"/>
          <w:szCs w:val="22"/>
          <w:b w:val="1"/>
          <w:bCs w:val="1"/>
          <w:color w:val="0B2D71"/>
        </w:rPr>
        <w:t>for</w:t>
      </w:r>
      <w:r>
        <w:rPr>
          <w:rFonts w:ascii="Arial" w:cs="Arial" w:eastAsia="Arial" w:hAnsi="Arial"/>
          <w:sz w:val="22"/>
          <w:szCs w:val="22"/>
          <w:color w:val="0B2D71"/>
        </w:rPr>
        <w:t xml:space="preserve"> the approval, on an advisory basis, of the compensation of our Named Executive Officers as disclosed in the “Compensation Discussion and Analysis,” the accompanying compensation tables, and the related narrative disclosure in this Proxy Statement.</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81</w:t>
      </w:r>
    </w:p>
    <w:p>
      <w:pPr>
        <w:sectPr>
          <w:pgSz w:w="11900" w:h="16838" w:orient="portrait"/>
          <w:cols w:equalWidth="0" w:num="1">
            <w:col w:w="11020"/>
          </w:cols>
          <w:pgMar w:left="320" w:top="455" w:right="559" w:bottom="1440" w:gutter="0" w:footer="0" w:header="0"/>
          <w:type w:val="continuous"/>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left="440" w:right="120"/>
        <w:spacing w:after="0" w:line="283" w:lineRule="auto"/>
        <w:rPr>
          <w:sz w:val="20"/>
          <w:szCs w:val="20"/>
          <w:color w:val="auto"/>
        </w:rPr>
      </w:pPr>
      <w:r>
        <w:rPr>
          <w:rFonts w:ascii="Arial" w:cs="Arial" w:eastAsia="Arial" w:hAnsi="Arial"/>
          <w:sz w:val="32"/>
          <w:szCs w:val="32"/>
          <w:b w:val="1"/>
          <w:bCs w:val="1"/>
          <w:color w:val="0B2D71"/>
        </w:rPr>
        <w:t>Board proposal to approve 2022 Long-Term Incentive Plan of Chevron Corporation</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0B2D71"/>
        </w:rPr>
        <w:t>(Item 4 on the proxy card)</w:t>
      </w:r>
    </w:p>
    <w:p>
      <w:pPr>
        <w:spacing w:after="0" w:line="128"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color w:val="auto"/>
        </w:rPr>
        <w:t>Your Board recommends that stockholders vote FOR this proposal to approve the 2022 Long-Term Incentive Plan of Chevron Corporation (“2022 LTIP”). The 2022 LTIP provides for grants of equity awards in the form of stock options, stock appreciation rights, restricted stock, restricted stock units, other share-based awards (e.g., performance shares) and nonstock awards.</w:t>
      </w:r>
    </w:p>
    <w:p>
      <w:pPr>
        <w:spacing w:after="0" w:line="63"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The 2022 LTIP was adopted by the Board on March 30, 2022 and will become effective on the date that it is approved by stockholders. If stockholder approval of this proposal is obtained at this Annual Meeting, we will not grant any additional awards under the existing Long-Term Incentive Plan of Chevron Corporation (“Prior Plan”). Awards previously granted under the Prior Plan would be unaffected by the adoption of the 2022 LTIP, and they would remain outstanding under the terms pursuant to which they were previously granted. If stockholder approval of this proposal is not obtained at this Annual Meeting, awards may still be granted under the Prior Plan until its currently scheduled expiration date of May 29, 2023, following which date Chevron will no longer have an equity-based compensation plan and will no longer be able to issue customary annual long-term incentive awards and other equity awards.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provides certain additional information regarding Chevron’s equity compensation plans, excluding the 2022 LTIP:</w:t>
      </w:r>
    </w:p>
    <w:p>
      <w:pPr>
        <w:spacing w:after="0" w:line="141" w:lineRule="exact"/>
        <w:rPr>
          <w:sz w:val="20"/>
          <w:szCs w:val="20"/>
          <w:color w:val="auto"/>
        </w:rPr>
      </w:pPr>
    </w:p>
    <w:tbl>
      <w:tblPr>
        <w:tblLayout w:type="fixed"/>
        <w:tblInd w:w="130" w:type="dxa"/>
        <w:tblCellMar>
          <w:top w:w="0" w:type="dxa"/>
          <w:left w:w="0" w:type="dxa"/>
          <w:bottom w:w="0" w:type="dxa"/>
          <w:right w:w="0" w:type="dxa"/>
        </w:tblCellMar>
      </w:tblPr>
      <w:tr>
        <w:trPr>
          <w:trHeight w:val="257"/>
        </w:trPr>
        <w:tc>
          <w:tcPr>
            <w:tcW w:w="7860" w:type="dxa"/>
            <w:vAlign w:val="bottom"/>
            <w:tcBorders>
              <w:left w:val="single" w:sz="8" w:color="7F7F7F"/>
            </w:tcBorders>
            <w:shd w:val="clear" w:color="auto" w:fill="0066B2"/>
          </w:tcPr>
          <w:p>
            <w:pPr>
              <w:ind w:left="160"/>
              <w:spacing w:after="0"/>
              <w:rPr>
                <w:sz w:val="20"/>
                <w:szCs w:val="20"/>
                <w:color w:val="auto"/>
              </w:rPr>
            </w:pPr>
            <w:r>
              <w:rPr>
                <w:rFonts w:ascii="Arial" w:cs="Arial" w:eastAsia="Arial" w:hAnsi="Arial"/>
                <w:sz w:val="16"/>
                <w:szCs w:val="16"/>
                <w:b w:val="1"/>
                <w:bCs w:val="1"/>
                <w:color w:val="FFFFFF"/>
              </w:rPr>
              <w:t>Use of Shares That May Be Delivered Under All Equity Compensation Plans</w:t>
            </w:r>
          </w:p>
        </w:tc>
        <w:tc>
          <w:tcPr>
            <w:tcW w:w="3180" w:type="dxa"/>
            <w:vAlign w:val="bottom"/>
            <w:tcBorders>
              <w:right w:val="single" w:sz="8" w:color="7F7F7F"/>
            </w:tcBorders>
            <w:gridSpan w:val="2"/>
            <w:shd w:val="clear" w:color="auto" w:fill="0066B2"/>
          </w:tcPr>
          <w:p>
            <w:pPr>
              <w:jc w:val="right"/>
              <w:ind w:right="719"/>
              <w:spacing w:after="0"/>
              <w:rPr>
                <w:sz w:val="20"/>
                <w:szCs w:val="20"/>
                <w:color w:val="auto"/>
              </w:rPr>
            </w:pPr>
            <w:r>
              <w:rPr>
                <w:rFonts w:ascii="Arial" w:cs="Arial" w:eastAsia="Arial" w:hAnsi="Arial"/>
                <w:sz w:val="16"/>
                <w:szCs w:val="16"/>
                <w:b w:val="1"/>
                <w:bCs w:val="1"/>
                <w:color w:val="FFFFFF"/>
              </w:rPr>
              <w:t>As of February 28, 2022</w:t>
            </w:r>
          </w:p>
        </w:tc>
        <w:tc>
          <w:tcPr>
            <w:tcW w:w="0" w:type="dxa"/>
            <w:vAlign w:val="bottom"/>
          </w:tcPr>
          <w:p>
            <w:pPr>
              <w:spacing w:after="0"/>
              <w:rPr>
                <w:sz w:val="1"/>
                <w:szCs w:val="1"/>
                <w:color w:val="auto"/>
              </w:rPr>
            </w:pPr>
          </w:p>
        </w:tc>
      </w:tr>
      <w:tr>
        <w:trPr>
          <w:trHeight w:val="230"/>
        </w:trPr>
        <w:tc>
          <w:tcPr>
            <w:tcW w:w="786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Total shares underlying outstanding options</w:t>
            </w:r>
          </w:p>
        </w:tc>
        <w:tc>
          <w:tcPr>
            <w:tcW w:w="1280" w:type="dxa"/>
            <w:vAlign w:val="bottom"/>
            <w:shd w:val="clear" w:color="auto" w:fill="D8D8D8"/>
          </w:tcPr>
          <w:p>
            <w:pPr>
              <w:spacing w:after="0"/>
              <w:rPr>
                <w:sz w:val="19"/>
                <w:szCs w:val="19"/>
                <w:color w:val="auto"/>
              </w:rPr>
            </w:pPr>
          </w:p>
        </w:tc>
        <w:tc>
          <w:tcPr>
            <w:tcW w:w="1900" w:type="dxa"/>
            <w:vAlign w:val="bottom"/>
            <w:tcBorders>
              <w:right w:val="single" w:sz="8" w:color="7F7F7F"/>
            </w:tcBorders>
            <w:shd w:val="clear" w:color="auto" w:fill="D8D8D8"/>
          </w:tcPr>
          <w:p>
            <w:pPr>
              <w:jc w:val="right"/>
              <w:ind w:right="999"/>
              <w:spacing w:after="0"/>
              <w:rPr>
                <w:sz w:val="20"/>
                <w:szCs w:val="20"/>
                <w:color w:val="auto"/>
              </w:rPr>
            </w:pPr>
            <w:r>
              <w:rPr>
                <w:rFonts w:ascii="Arial" w:cs="Arial" w:eastAsia="Arial" w:hAnsi="Arial"/>
                <w:sz w:val="16"/>
                <w:szCs w:val="16"/>
                <w:color w:val="auto"/>
                <w:w w:val="99"/>
              </w:rPr>
              <w:t>53,242,628</w:t>
            </w:r>
          </w:p>
        </w:tc>
        <w:tc>
          <w:tcPr>
            <w:tcW w:w="0" w:type="dxa"/>
            <w:vAlign w:val="bottom"/>
          </w:tcPr>
          <w:p>
            <w:pPr>
              <w:spacing w:after="0"/>
              <w:rPr>
                <w:sz w:val="1"/>
                <w:szCs w:val="1"/>
                <w:color w:val="auto"/>
              </w:rPr>
            </w:pPr>
          </w:p>
        </w:tc>
      </w:tr>
      <w:tr>
        <w:trPr>
          <w:trHeight w:val="228"/>
        </w:trPr>
        <w:tc>
          <w:tcPr>
            <w:tcW w:w="786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Weighted-average exercise price of stock options outstanding</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900" w:type="dxa"/>
            <w:vAlign w:val="bottom"/>
            <w:tcBorders>
              <w:right w:val="single" w:sz="8" w:color="7F7F7F"/>
            </w:tcBorders>
          </w:tcPr>
          <w:p>
            <w:pPr>
              <w:jc w:val="right"/>
              <w:ind w:right="939"/>
              <w:spacing w:after="0"/>
              <w:rPr>
                <w:sz w:val="20"/>
                <w:szCs w:val="20"/>
                <w:color w:val="auto"/>
              </w:rPr>
            </w:pPr>
            <w:r>
              <w:rPr>
                <w:rFonts w:ascii="Arial" w:cs="Arial" w:eastAsia="Arial" w:hAnsi="Arial"/>
                <w:sz w:val="16"/>
                <w:szCs w:val="16"/>
                <w:color w:val="auto"/>
              </w:rPr>
              <w:t>110.14*</w:t>
            </w:r>
          </w:p>
        </w:tc>
        <w:tc>
          <w:tcPr>
            <w:tcW w:w="0" w:type="dxa"/>
            <w:vAlign w:val="bottom"/>
          </w:tcPr>
          <w:p>
            <w:pPr>
              <w:spacing w:after="0"/>
              <w:rPr>
                <w:sz w:val="1"/>
                <w:szCs w:val="1"/>
                <w:color w:val="auto"/>
              </w:rPr>
            </w:pPr>
          </w:p>
        </w:tc>
      </w:tr>
      <w:tr>
        <w:trPr>
          <w:trHeight w:val="231"/>
        </w:trPr>
        <w:tc>
          <w:tcPr>
            <w:tcW w:w="786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Weighted-average remaining duration of stock options outstanding</w:t>
            </w:r>
          </w:p>
        </w:tc>
        <w:tc>
          <w:tcPr>
            <w:tcW w:w="1280" w:type="dxa"/>
            <w:vAlign w:val="bottom"/>
            <w:shd w:val="clear" w:color="auto" w:fill="D8D8D8"/>
          </w:tcPr>
          <w:p>
            <w:pPr>
              <w:spacing w:after="0"/>
              <w:rPr>
                <w:sz w:val="20"/>
                <w:szCs w:val="20"/>
                <w:color w:val="auto"/>
              </w:rPr>
            </w:pPr>
          </w:p>
        </w:tc>
        <w:tc>
          <w:tcPr>
            <w:tcW w:w="1900" w:type="dxa"/>
            <w:vAlign w:val="bottom"/>
            <w:tcBorders>
              <w:right w:val="single" w:sz="8" w:color="7F7F7F"/>
            </w:tcBorders>
            <w:shd w:val="clear" w:color="auto" w:fill="D8D8D8"/>
          </w:tcPr>
          <w:p>
            <w:pPr>
              <w:jc w:val="right"/>
              <w:ind w:right="879"/>
              <w:spacing w:after="0"/>
              <w:rPr>
                <w:sz w:val="20"/>
                <w:szCs w:val="20"/>
                <w:color w:val="auto"/>
              </w:rPr>
            </w:pPr>
            <w:r>
              <w:rPr>
                <w:rFonts w:ascii="Arial" w:cs="Arial" w:eastAsia="Arial" w:hAnsi="Arial"/>
                <w:sz w:val="16"/>
                <w:szCs w:val="16"/>
                <w:color w:val="auto"/>
              </w:rPr>
              <w:t>5.16 years**</w:t>
            </w:r>
          </w:p>
        </w:tc>
        <w:tc>
          <w:tcPr>
            <w:tcW w:w="0" w:type="dxa"/>
            <w:vAlign w:val="bottom"/>
          </w:tcPr>
          <w:p>
            <w:pPr>
              <w:spacing w:after="0"/>
              <w:rPr>
                <w:sz w:val="1"/>
                <w:szCs w:val="1"/>
                <w:color w:val="auto"/>
              </w:rPr>
            </w:pPr>
          </w:p>
        </w:tc>
      </w:tr>
      <w:tr>
        <w:trPr>
          <w:trHeight w:val="228"/>
        </w:trPr>
        <w:tc>
          <w:tcPr>
            <w:tcW w:w="786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Total shares underlying outstanding unvested time-based RSUs and stock units</w:t>
            </w:r>
          </w:p>
        </w:tc>
        <w:tc>
          <w:tcPr>
            <w:tcW w:w="1280" w:type="dxa"/>
            <w:vAlign w:val="bottom"/>
          </w:tcPr>
          <w:p>
            <w:pPr>
              <w:spacing w:after="0"/>
              <w:rPr>
                <w:sz w:val="19"/>
                <w:szCs w:val="19"/>
                <w:color w:val="auto"/>
              </w:rPr>
            </w:pPr>
          </w:p>
        </w:tc>
        <w:tc>
          <w:tcPr>
            <w:tcW w:w="1900" w:type="dxa"/>
            <w:vAlign w:val="bottom"/>
            <w:tcBorders>
              <w:right w:val="single" w:sz="8" w:color="7F7F7F"/>
            </w:tcBorders>
          </w:tcPr>
          <w:p>
            <w:pPr>
              <w:jc w:val="right"/>
              <w:ind w:right="999"/>
              <w:spacing w:after="0"/>
              <w:rPr>
                <w:sz w:val="20"/>
                <w:szCs w:val="20"/>
                <w:color w:val="auto"/>
              </w:rPr>
            </w:pPr>
            <w:r>
              <w:rPr>
                <w:rFonts w:ascii="Arial" w:cs="Arial" w:eastAsia="Arial" w:hAnsi="Arial"/>
                <w:sz w:val="16"/>
                <w:szCs w:val="16"/>
                <w:color w:val="auto"/>
              </w:rPr>
              <w:t>330,200</w:t>
            </w:r>
          </w:p>
        </w:tc>
        <w:tc>
          <w:tcPr>
            <w:tcW w:w="0" w:type="dxa"/>
            <w:vAlign w:val="bottom"/>
          </w:tcPr>
          <w:p>
            <w:pPr>
              <w:spacing w:after="0"/>
              <w:rPr>
                <w:sz w:val="1"/>
                <w:szCs w:val="1"/>
                <w:color w:val="auto"/>
              </w:rPr>
            </w:pPr>
          </w:p>
        </w:tc>
      </w:tr>
      <w:tr>
        <w:trPr>
          <w:trHeight w:val="203"/>
        </w:trPr>
        <w:tc>
          <w:tcPr>
            <w:tcW w:w="7860" w:type="dxa"/>
            <w:vAlign w:val="bottom"/>
            <w:tcBorders>
              <w:left w:val="single" w:sz="8" w:color="7F7F7F"/>
            </w:tcBorders>
            <w:shd w:val="clear" w:color="auto" w:fill="D8D8D8"/>
          </w:tcPr>
          <w:p>
            <w:pPr>
              <w:ind w:left="160"/>
              <w:spacing w:after="0"/>
              <w:rPr>
                <w:sz w:val="20"/>
                <w:szCs w:val="20"/>
                <w:color w:val="auto"/>
              </w:rPr>
            </w:pPr>
            <w:r>
              <w:rPr>
                <w:rFonts w:ascii="Arial" w:cs="Arial" w:eastAsia="Arial" w:hAnsi="Arial"/>
                <w:sz w:val="16"/>
                <w:szCs w:val="16"/>
                <w:color w:val="auto"/>
              </w:rPr>
              <w:t>Total shares underlying outstanding stock fund units under deferred compensation plan not approved by</w:t>
            </w:r>
          </w:p>
        </w:tc>
        <w:tc>
          <w:tcPr>
            <w:tcW w:w="1280" w:type="dxa"/>
            <w:vAlign w:val="bottom"/>
            <w:shd w:val="clear" w:color="auto" w:fill="D8D8D8"/>
          </w:tcPr>
          <w:p>
            <w:pPr>
              <w:spacing w:after="0"/>
              <w:rPr>
                <w:sz w:val="17"/>
                <w:szCs w:val="17"/>
                <w:color w:val="auto"/>
              </w:rPr>
            </w:pPr>
          </w:p>
        </w:tc>
        <w:tc>
          <w:tcPr>
            <w:tcW w:w="1900" w:type="dxa"/>
            <w:vAlign w:val="bottom"/>
            <w:tcBorders>
              <w:right w:val="single" w:sz="8" w:color="7F7F7F"/>
            </w:tcBorders>
            <w:vMerge w:val="restart"/>
            <w:shd w:val="clear" w:color="auto" w:fill="D8D8D8"/>
          </w:tcPr>
          <w:p>
            <w:pPr>
              <w:jc w:val="right"/>
              <w:ind w:right="999"/>
              <w:spacing w:after="0"/>
              <w:rPr>
                <w:sz w:val="20"/>
                <w:szCs w:val="20"/>
                <w:color w:val="auto"/>
              </w:rPr>
            </w:pPr>
            <w:r>
              <w:rPr>
                <w:rFonts w:ascii="Arial" w:cs="Arial" w:eastAsia="Arial" w:hAnsi="Arial"/>
                <w:sz w:val="16"/>
                <w:szCs w:val="16"/>
                <w:color w:val="auto"/>
              </w:rPr>
              <w:t>193,061</w:t>
            </w:r>
          </w:p>
        </w:tc>
        <w:tc>
          <w:tcPr>
            <w:tcW w:w="0" w:type="dxa"/>
            <w:vAlign w:val="bottom"/>
          </w:tcPr>
          <w:p>
            <w:pPr>
              <w:spacing w:after="0"/>
              <w:rPr>
                <w:sz w:val="1"/>
                <w:szCs w:val="1"/>
                <w:color w:val="auto"/>
              </w:rPr>
            </w:pPr>
          </w:p>
        </w:tc>
      </w:tr>
      <w:tr>
        <w:trPr>
          <w:trHeight w:val="134"/>
        </w:trPr>
        <w:tc>
          <w:tcPr>
            <w:tcW w:w="7860" w:type="dxa"/>
            <w:vAlign w:val="bottom"/>
            <w:tcBorders>
              <w:left w:val="single" w:sz="8" w:color="7F7F7F"/>
            </w:tcBorders>
            <w:vMerge w:val="restart"/>
            <w:shd w:val="clear" w:color="auto" w:fill="D8D8D8"/>
          </w:tcPr>
          <w:p>
            <w:pPr>
              <w:ind w:left="320"/>
              <w:spacing w:after="0"/>
              <w:rPr>
                <w:sz w:val="20"/>
                <w:szCs w:val="20"/>
                <w:color w:val="auto"/>
              </w:rPr>
            </w:pPr>
            <w:r>
              <w:rPr>
                <w:rFonts w:ascii="Arial" w:cs="Arial" w:eastAsia="Arial" w:hAnsi="Arial"/>
                <w:sz w:val="16"/>
                <w:szCs w:val="16"/>
                <w:color w:val="auto"/>
              </w:rPr>
              <w:t>security holders</w:t>
            </w:r>
          </w:p>
        </w:tc>
        <w:tc>
          <w:tcPr>
            <w:tcW w:w="1280" w:type="dxa"/>
            <w:vAlign w:val="bottom"/>
            <w:shd w:val="clear" w:color="auto" w:fill="D8D8D8"/>
          </w:tcPr>
          <w:p>
            <w:pPr>
              <w:spacing w:after="0"/>
              <w:rPr>
                <w:sz w:val="11"/>
                <w:szCs w:val="11"/>
                <w:color w:val="auto"/>
              </w:rPr>
            </w:pPr>
          </w:p>
        </w:tc>
        <w:tc>
          <w:tcPr>
            <w:tcW w:w="1900" w:type="dxa"/>
            <w:vAlign w:val="bottom"/>
            <w:tcBorders>
              <w:right w:val="single" w:sz="8" w:color="7F7F7F"/>
            </w:tcBorders>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7860" w:type="dxa"/>
            <w:vAlign w:val="bottom"/>
            <w:tcBorders>
              <w:left w:val="single" w:sz="8" w:color="7F7F7F"/>
            </w:tcBorders>
            <w:vMerge w:val="continue"/>
            <w:shd w:val="clear" w:color="auto" w:fill="D8D8D8"/>
          </w:tcPr>
          <w:p>
            <w:pPr>
              <w:spacing w:after="0"/>
              <w:rPr>
                <w:sz w:val="7"/>
                <w:szCs w:val="7"/>
                <w:color w:val="auto"/>
              </w:rPr>
            </w:pPr>
          </w:p>
        </w:tc>
        <w:tc>
          <w:tcPr>
            <w:tcW w:w="1280" w:type="dxa"/>
            <w:vAlign w:val="bottom"/>
            <w:shd w:val="clear" w:color="auto" w:fill="D8D8D8"/>
          </w:tcPr>
          <w:p>
            <w:pPr>
              <w:spacing w:after="0"/>
              <w:rPr>
                <w:sz w:val="7"/>
                <w:szCs w:val="7"/>
                <w:color w:val="auto"/>
              </w:rPr>
            </w:pPr>
          </w:p>
        </w:tc>
        <w:tc>
          <w:tcPr>
            <w:tcW w:w="1900" w:type="dxa"/>
            <w:vAlign w:val="bottom"/>
            <w:tcBorders>
              <w:right w:val="single" w:sz="8" w:color="7F7F7F"/>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7860" w:type="dxa"/>
            <w:vAlign w:val="bottom"/>
            <w:tcBorders>
              <w:left w:val="single" w:sz="8" w:color="7F7F7F"/>
            </w:tcBorders>
          </w:tcPr>
          <w:p>
            <w:pPr>
              <w:ind w:left="160"/>
              <w:spacing w:after="0"/>
              <w:rPr>
                <w:sz w:val="20"/>
                <w:szCs w:val="20"/>
                <w:color w:val="auto"/>
              </w:rPr>
            </w:pPr>
            <w:r>
              <w:rPr>
                <w:rFonts w:ascii="Arial" w:cs="Arial" w:eastAsia="Arial" w:hAnsi="Arial"/>
                <w:sz w:val="16"/>
                <w:szCs w:val="16"/>
                <w:color w:val="auto"/>
              </w:rPr>
              <w:t>Total shares currently available for grant</w:t>
            </w:r>
          </w:p>
        </w:tc>
        <w:tc>
          <w:tcPr>
            <w:tcW w:w="1280" w:type="dxa"/>
            <w:vAlign w:val="bottom"/>
          </w:tcPr>
          <w:p>
            <w:pPr>
              <w:spacing w:after="0"/>
              <w:rPr>
                <w:sz w:val="19"/>
                <w:szCs w:val="19"/>
                <w:color w:val="auto"/>
              </w:rPr>
            </w:pPr>
          </w:p>
        </w:tc>
        <w:tc>
          <w:tcPr>
            <w:tcW w:w="1900" w:type="dxa"/>
            <w:vAlign w:val="bottom"/>
            <w:tcBorders>
              <w:right w:val="single" w:sz="8" w:color="7F7F7F"/>
            </w:tcBorders>
          </w:tcPr>
          <w:p>
            <w:pPr>
              <w:jc w:val="right"/>
              <w:ind w:right="819"/>
              <w:spacing w:after="0"/>
              <w:rPr>
                <w:sz w:val="20"/>
                <w:szCs w:val="20"/>
                <w:color w:val="auto"/>
              </w:rPr>
            </w:pPr>
            <w:r>
              <w:rPr>
                <w:rFonts w:ascii="Arial" w:cs="Arial" w:eastAsia="Arial" w:hAnsi="Arial"/>
                <w:sz w:val="16"/>
                <w:szCs w:val="16"/>
                <w:color w:val="auto"/>
                <w:w w:val="99"/>
              </w:rPr>
              <w:t>62,667,799***</w:t>
            </w:r>
          </w:p>
        </w:tc>
        <w:tc>
          <w:tcPr>
            <w:tcW w:w="0" w:type="dxa"/>
            <w:vAlign w:val="bottom"/>
          </w:tcPr>
          <w:p>
            <w:pPr>
              <w:spacing w:after="0"/>
              <w:rPr>
                <w:sz w:val="1"/>
                <w:szCs w:val="1"/>
                <w:color w:val="auto"/>
              </w:rPr>
            </w:pPr>
          </w:p>
        </w:tc>
      </w:tr>
      <w:tr>
        <w:trPr>
          <w:trHeight w:val="231"/>
        </w:trPr>
        <w:tc>
          <w:tcPr>
            <w:tcW w:w="7860" w:type="dxa"/>
            <w:vAlign w:val="bottom"/>
            <w:tcBorders>
              <w:left w:val="single" w:sz="8" w:color="7F7F7F"/>
            </w:tcBorders>
            <w:shd w:val="clear" w:color="auto" w:fill="D8D8D8"/>
          </w:tcPr>
          <w:p>
            <w:pPr>
              <w:ind w:left="340"/>
              <w:spacing w:after="0"/>
              <w:rPr>
                <w:sz w:val="20"/>
                <w:szCs w:val="20"/>
                <w:color w:val="auto"/>
              </w:rPr>
            </w:pPr>
            <w:r>
              <w:rPr>
                <w:rFonts w:ascii="Arial" w:cs="Arial" w:eastAsia="Arial" w:hAnsi="Arial"/>
                <w:sz w:val="16"/>
                <w:szCs w:val="16"/>
                <w:color w:val="auto"/>
              </w:rPr>
              <w:t>Which includes shares available for grant as full value awards under the Prior Plan</w:t>
            </w:r>
          </w:p>
        </w:tc>
        <w:tc>
          <w:tcPr>
            <w:tcW w:w="1280" w:type="dxa"/>
            <w:vAlign w:val="bottom"/>
            <w:shd w:val="clear" w:color="auto" w:fill="D8D8D8"/>
          </w:tcPr>
          <w:p>
            <w:pPr>
              <w:spacing w:after="0"/>
              <w:rPr>
                <w:sz w:val="20"/>
                <w:szCs w:val="20"/>
                <w:color w:val="auto"/>
              </w:rPr>
            </w:pPr>
          </w:p>
        </w:tc>
        <w:tc>
          <w:tcPr>
            <w:tcW w:w="1900" w:type="dxa"/>
            <w:vAlign w:val="bottom"/>
            <w:tcBorders>
              <w:right w:val="single" w:sz="8" w:color="7F7F7F"/>
            </w:tcBorders>
            <w:shd w:val="clear" w:color="auto" w:fill="D8D8D8"/>
          </w:tcPr>
          <w:p>
            <w:pPr>
              <w:jc w:val="right"/>
              <w:ind w:right="999"/>
              <w:spacing w:after="0"/>
              <w:rPr>
                <w:sz w:val="20"/>
                <w:szCs w:val="20"/>
                <w:color w:val="auto"/>
              </w:rPr>
            </w:pPr>
            <w:r>
              <w:rPr>
                <w:rFonts w:ascii="Arial" w:cs="Arial" w:eastAsia="Arial" w:hAnsi="Arial"/>
                <w:sz w:val="16"/>
                <w:szCs w:val="16"/>
                <w:color w:val="auto"/>
                <w:w w:val="99"/>
              </w:rPr>
              <w:t>48,000,000</w:t>
            </w:r>
          </w:p>
        </w:tc>
        <w:tc>
          <w:tcPr>
            <w:tcW w:w="0" w:type="dxa"/>
            <w:vAlign w:val="bottom"/>
          </w:tcPr>
          <w:p>
            <w:pPr>
              <w:spacing w:after="0"/>
              <w:rPr>
                <w:sz w:val="1"/>
                <w:szCs w:val="1"/>
                <w:color w:val="auto"/>
              </w:rPr>
            </w:pPr>
          </w:p>
        </w:tc>
      </w:tr>
      <w:tr>
        <w:trPr>
          <w:trHeight w:val="228"/>
        </w:trPr>
        <w:tc>
          <w:tcPr>
            <w:tcW w:w="7860" w:type="dxa"/>
            <w:vAlign w:val="bottom"/>
            <w:tcBorders>
              <w:left w:val="single" w:sz="8" w:color="7F7F7F"/>
              <w:bottom w:val="single" w:sz="8" w:color="7F7F7F"/>
            </w:tcBorders>
          </w:tcPr>
          <w:p>
            <w:pPr>
              <w:ind w:left="160"/>
              <w:spacing w:after="0"/>
              <w:rPr>
                <w:sz w:val="20"/>
                <w:szCs w:val="20"/>
                <w:color w:val="auto"/>
              </w:rPr>
            </w:pPr>
            <w:r>
              <w:rPr>
                <w:rFonts w:ascii="Arial" w:cs="Arial" w:eastAsia="Arial" w:hAnsi="Arial"/>
                <w:sz w:val="16"/>
                <w:szCs w:val="16"/>
                <w:color w:val="auto"/>
              </w:rPr>
              <w:t>Stock price as of February 28, 2022</w:t>
            </w:r>
          </w:p>
        </w:tc>
        <w:tc>
          <w:tcPr>
            <w:tcW w:w="12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7F7F7F"/>
              <w:right w:val="single" w:sz="8" w:color="7F7F7F"/>
            </w:tcBorders>
          </w:tcPr>
          <w:p>
            <w:pPr>
              <w:jc w:val="right"/>
              <w:ind w:right="999"/>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440" w:hanging="324"/>
        <w:spacing w:after="0"/>
        <w:tabs>
          <w:tab w:leader="none" w:pos="4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Weighted-average exercise price of stock options outstanding under the Prior Plan is $105.67.</w:t>
      </w:r>
    </w:p>
    <w:p>
      <w:pPr>
        <w:spacing w:after="0" w:line="69" w:lineRule="exact"/>
        <w:rPr>
          <w:sz w:val="20"/>
          <w:szCs w:val="20"/>
          <w:color w:val="auto"/>
        </w:rPr>
      </w:pPr>
    </w:p>
    <w:p>
      <w:pPr>
        <w:ind w:left="440" w:hanging="324"/>
        <w:spacing w:after="0"/>
        <w:tabs>
          <w:tab w:leader="none" w:pos="44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Weighted-average remaining duration of stock options outstanding under the Prior Plan is 5.2 years.</w:t>
      </w:r>
    </w:p>
    <w:p>
      <w:pPr>
        <w:spacing w:after="0" w:line="68" w:lineRule="exact"/>
        <w:rPr>
          <w:rFonts w:ascii="Arial" w:cs="Arial" w:eastAsia="Arial" w:hAnsi="Arial"/>
          <w:sz w:val="14"/>
          <w:szCs w:val="14"/>
          <w:color w:val="auto"/>
        </w:rPr>
      </w:pPr>
    </w:p>
    <w:p>
      <w:pPr>
        <w:ind w:left="440" w:right="60" w:hanging="324"/>
        <w:spacing w:after="0" w:line="285" w:lineRule="auto"/>
        <w:tabs>
          <w:tab w:leader="none" w:pos="44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Includes 62,053,607 shares remaining available for grant under the Prior Plan, which will be cancelled upon stockholder approval of the 2022 LTIP, and 614,192 shares remaining available for grant under the Non-Employee Directors’ Equity Compensation and Deferral Plan.</w:t>
      </w:r>
    </w:p>
    <w:p>
      <w:pPr>
        <w:spacing w:after="0" w:line="45" w:lineRule="exact"/>
        <w:rPr>
          <w:sz w:val="20"/>
          <w:szCs w:val="20"/>
          <w:color w:val="auto"/>
        </w:rPr>
      </w:pPr>
    </w:p>
    <w:p>
      <w:pPr>
        <w:ind w:left="120" w:right="220"/>
        <w:spacing w:after="0" w:line="259" w:lineRule="auto"/>
        <w:rPr>
          <w:sz w:val="20"/>
          <w:szCs w:val="20"/>
          <w:color w:val="auto"/>
        </w:rPr>
      </w:pPr>
      <w:r>
        <w:rPr>
          <w:rFonts w:ascii="Arial" w:cs="Arial" w:eastAsia="Arial" w:hAnsi="Arial"/>
          <w:sz w:val="16"/>
          <w:szCs w:val="16"/>
          <w:color w:val="auto"/>
        </w:rPr>
        <w:t>We believe the reserve noted below for the 2022 LTIP will be sufficient to enable us to grant equity awards under the 2022 LTIP for approximately eight years, based on historical grant and forfeiture levels, recent market prices of Chevron common stock, and the anticipated use of stock awards as an incentive and retention tool. See the “Equity Compensation Plan Information” in this Proxy Statement for additional information regarding securities authorized for issuance under our equity compensation plans as of December 31, 2021.</w:t>
      </w:r>
    </w:p>
    <w:p>
      <w:pPr>
        <w:sectPr>
          <w:pgSz w:w="11900" w:h="16838" w:orient="portrait"/>
          <w:cols w:equalWidth="0" w:num="1">
            <w:col w:w="11140"/>
          </w:cols>
          <w:pgMar w:left="320" w:top="455" w:right="439" w:bottom="1440" w:gutter="0" w:footer="0" w:header="0"/>
        </w:sectPr>
      </w:pPr>
    </w:p>
    <w:p>
      <w:pPr>
        <w:spacing w:after="0" w:line="12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Why you should vote FOR this proposal</w:t>
      </w:r>
    </w:p>
    <w:p>
      <w:pPr>
        <w:spacing w:after="0" w:line="112"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Your Board recommends that you vote FOR this proposal because it believes that granting equity-based incentive awards to eligible participants encourages performance that drives stockholder value over the long term, gives participants a meaningful equity stake in our business and aligns directly with stockholder value and Chevron’s long-term employment model.</w:t>
      </w:r>
    </w:p>
    <w:p>
      <w:pPr>
        <w:spacing w:after="0" w:line="74" w:lineRule="exact"/>
        <w:rPr>
          <w:sz w:val="20"/>
          <w:szCs w:val="20"/>
          <w:color w:val="auto"/>
        </w:rPr>
      </w:pPr>
    </w:p>
    <w:p>
      <w:pPr>
        <w:jc w:val="both"/>
        <w:ind w:left="120" w:right="180"/>
        <w:spacing w:after="0" w:line="264" w:lineRule="auto"/>
        <w:rPr>
          <w:sz w:val="20"/>
          <w:szCs w:val="20"/>
          <w:color w:val="auto"/>
        </w:rPr>
      </w:pPr>
      <w:r>
        <w:rPr>
          <w:rFonts w:ascii="Arial" w:cs="Arial" w:eastAsia="Arial" w:hAnsi="Arial"/>
          <w:sz w:val="16"/>
          <w:szCs w:val="16"/>
          <w:color w:val="auto"/>
        </w:rPr>
        <w:t>When evaluating and recommending to the Board the adoption of the 2022 LTIP, the Management Compensation Committee of the Board considered a number of factors, including the following:</w:t>
      </w:r>
    </w:p>
    <w:p>
      <w:pPr>
        <w:ind w:left="380" w:hanging="183"/>
        <w:spacing w:after="0"/>
        <w:tabs>
          <w:tab w:leader="none" w:pos="3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Prior Plan will expire on May 29, 2023;</w:t>
      </w:r>
    </w:p>
    <w:p>
      <w:pPr>
        <w:spacing w:after="0" w:line="45" w:lineRule="exact"/>
        <w:rPr>
          <w:rFonts w:ascii="Arial" w:cs="Arial" w:eastAsia="Arial" w:hAnsi="Arial"/>
          <w:sz w:val="16"/>
          <w:szCs w:val="16"/>
          <w:color w:val="auto"/>
        </w:rPr>
      </w:pPr>
    </w:p>
    <w:p>
      <w:pPr>
        <w:ind w:left="380" w:hanging="183"/>
        <w:spacing w:after="0" w:line="256" w:lineRule="auto"/>
        <w:tabs>
          <w:tab w:leader="none" w:pos="3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As of February 28, 2022, approximately 62,053,607 shares of Chevron common stock remained available for grant pursuant to future awards under the Prior Plan. Upon effectiveness of the 2022 LTIP, the Prior Plan will cease to be available for future awards. The maximum number of shares authorized for issuance under the 2022</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left="185" w:right="220"/>
        <w:spacing w:after="0" w:line="264" w:lineRule="auto"/>
        <w:rPr>
          <w:sz w:val="20"/>
          <w:szCs w:val="20"/>
          <w:color w:val="auto"/>
        </w:rPr>
      </w:pPr>
      <w:r>
        <w:rPr>
          <w:rFonts w:ascii="Arial" w:cs="Arial" w:eastAsia="Arial" w:hAnsi="Arial"/>
          <w:sz w:val="16"/>
          <w:szCs w:val="16"/>
          <w:color w:val="auto"/>
        </w:rPr>
        <w:t>LTIP will be reduced by the number of shares subject to awards granted under the Prior Plan after February 28, 2022, and before the effective date of the 2022 LTIP.</w:t>
      </w:r>
    </w:p>
    <w:p>
      <w:pPr>
        <w:ind w:left="185" w:right="140" w:hanging="185"/>
        <w:spacing w:after="0" w:line="253" w:lineRule="auto"/>
        <w:tabs>
          <w:tab w:leader="none" w:pos="18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Since the Prior Plan was last approved by stockholders in 2013, the average number of shares made subject to annual awards under the Prior Plan is 13.5 million shares, including 2.5 million payable in cash. This average necessarily reflects changes in the trading price of Chevron’s common stock and other factors. The total number of shares made subject to awards under the Prior Plan most recently were as follows:</w:t>
      </w:r>
    </w:p>
    <w:p>
      <w:pPr>
        <w:spacing w:after="0" w:line="24" w:lineRule="exact"/>
        <w:rPr>
          <w:rFonts w:ascii="Arial" w:cs="Arial" w:eastAsia="Arial" w:hAnsi="Arial"/>
          <w:sz w:val="16"/>
          <w:szCs w:val="16"/>
          <w:color w:val="auto"/>
        </w:rPr>
      </w:pPr>
    </w:p>
    <w:p>
      <w:pPr>
        <w:ind w:left="205"/>
        <w:spacing w:after="0"/>
        <w:rPr>
          <w:rFonts w:ascii="Arial" w:cs="Arial" w:eastAsia="Arial" w:hAnsi="Arial"/>
          <w:sz w:val="16"/>
          <w:szCs w:val="16"/>
          <w:color w:val="auto"/>
        </w:rPr>
      </w:pPr>
      <w:r>
        <w:rPr>
          <w:rFonts w:ascii="Arial" w:cs="Arial" w:eastAsia="Arial" w:hAnsi="Arial"/>
          <w:sz w:val="14"/>
          <w:szCs w:val="14"/>
          <w:b w:val="1"/>
          <w:bCs w:val="1"/>
          <w:color w:val="0B2D71"/>
        </w:rPr>
        <w:t>2019</w:t>
      </w:r>
      <w:r>
        <w:rPr>
          <w:rFonts w:ascii="Arial" w:cs="Arial" w:eastAsia="Arial" w:hAnsi="Arial"/>
          <w:sz w:val="14"/>
          <w:szCs w:val="14"/>
          <w:color w:val="auto"/>
        </w:rPr>
        <w:t>8,493,533 shares (including 2,749,233 payable in cash)</w:t>
      </w:r>
    </w:p>
    <w:p>
      <w:pPr>
        <w:spacing w:after="0" w:line="15" w:lineRule="exact"/>
        <w:rPr>
          <w:rFonts w:ascii="Arial" w:cs="Arial" w:eastAsia="Arial" w:hAnsi="Arial"/>
          <w:sz w:val="16"/>
          <w:szCs w:val="16"/>
          <w:color w:val="auto"/>
        </w:rPr>
      </w:pPr>
    </w:p>
    <w:p>
      <w:pPr>
        <w:ind w:left="205"/>
        <w:spacing w:after="0"/>
        <w:rPr>
          <w:rFonts w:ascii="Arial" w:cs="Arial" w:eastAsia="Arial" w:hAnsi="Arial"/>
          <w:sz w:val="16"/>
          <w:szCs w:val="16"/>
          <w:color w:val="auto"/>
        </w:rPr>
      </w:pPr>
      <w:r>
        <w:rPr>
          <w:rFonts w:ascii="Arial" w:cs="Arial" w:eastAsia="Arial" w:hAnsi="Arial"/>
          <w:sz w:val="14"/>
          <w:szCs w:val="14"/>
          <w:b w:val="1"/>
          <w:bCs w:val="1"/>
          <w:color w:val="0B2D71"/>
        </w:rPr>
        <w:t>2020</w:t>
      </w:r>
      <w:r>
        <w:rPr>
          <w:rFonts w:ascii="Arial" w:cs="Arial" w:eastAsia="Arial" w:hAnsi="Arial"/>
          <w:sz w:val="14"/>
          <w:szCs w:val="14"/>
          <w:color w:val="auto"/>
        </w:rPr>
        <w:t>9,873,220 shares (including 2,813,180 payable in cash)</w:t>
      </w:r>
    </w:p>
    <w:p>
      <w:pPr>
        <w:spacing w:after="0" w:line="1" w:lineRule="exact"/>
        <w:rPr>
          <w:rFonts w:ascii="Arial" w:cs="Arial" w:eastAsia="Arial" w:hAnsi="Arial"/>
          <w:sz w:val="16"/>
          <w:szCs w:val="16"/>
          <w:color w:val="auto"/>
        </w:rPr>
      </w:pPr>
    </w:p>
    <w:p>
      <w:pPr>
        <w:ind w:left="205"/>
        <w:spacing w:after="0"/>
        <w:rPr>
          <w:rFonts w:ascii="Arial" w:cs="Arial" w:eastAsia="Arial" w:hAnsi="Arial"/>
          <w:sz w:val="16"/>
          <w:szCs w:val="16"/>
          <w:color w:val="auto"/>
        </w:rPr>
      </w:pPr>
      <w:r>
        <w:rPr>
          <w:rFonts w:ascii="Arial" w:cs="Arial" w:eastAsia="Arial" w:hAnsi="Arial"/>
          <w:sz w:val="14"/>
          <w:szCs w:val="14"/>
          <w:b w:val="1"/>
          <w:bCs w:val="1"/>
          <w:color w:val="0B2D71"/>
        </w:rPr>
        <w:t>2021</w:t>
      </w:r>
      <w:r>
        <w:rPr>
          <w:rFonts w:ascii="Arial" w:cs="Arial" w:eastAsia="Arial" w:hAnsi="Arial"/>
          <w:sz w:val="14"/>
          <w:szCs w:val="14"/>
          <w:color w:val="auto"/>
        </w:rPr>
        <w:t>10,280,860 shares (including 3,322,310 payable in cash)</w:t>
      </w:r>
    </w:p>
    <w:p>
      <w:pPr>
        <w:spacing w:after="0" w:line="1" w:lineRule="exact"/>
        <w:rPr>
          <w:rFonts w:ascii="Arial" w:cs="Arial" w:eastAsia="Arial" w:hAnsi="Arial"/>
          <w:sz w:val="16"/>
          <w:szCs w:val="16"/>
          <w:color w:val="auto"/>
        </w:rPr>
      </w:pPr>
    </w:p>
    <w:p>
      <w:pPr>
        <w:ind w:left="205"/>
        <w:spacing w:after="0"/>
        <w:rPr>
          <w:rFonts w:ascii="Arial" w:cs="Arial" w:eastAsia="Arial" w:hAnsi="Arial"/>
          <w:sz w:val="16"/>
          <w:szCs w:val="16"/>
          <w:color w:val="auto"/>
        </w:rPr>
      </w:pPr>
      <w:r>
        <w:rPr>
          <w:rFonts w:ascii="Arial" w:cs="Arial" w:eastAsia="Arial" w:hAnsi="Arial"/>
          <w:sz w:val="14"/>
          <w:szCs w:val="14"/>
          <w:b w:val="1"/>
          <w:bCs w:val="1"/>
          <w:color w:val="0B2D71"/>
        </w:rPr>
        <w:t>2022</w:t>
      </w:r>
      <w:r>
        <w:rPr>
          <w:rFonts w:ascii="Arial" w:cs="Arial" w:eastAsia="Arial" w:hAnsi="Arial"/>
          <w:sz w:val="14"/>
          <w:szCs w:val="14"/>
          <w:color w:val="auto"/>
        </w:rPr>
        <w:t>6,207,120 shares (including 2,321,390 payable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-207645</wp:posOffset>
            </wp:positionV>
            <wp:extent cx="3248660" cy="1028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248660" cy="102870"/>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-1905</wp:posOffset>
            </wp:positionV>
            <wp:extent cx="32486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24866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-421640</wp:posOffset>
            </wp:positionV>
            <wp:extent cx="3248660" cy="1117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248660" cy="111760"/>
                    </a:xfrm>
                    <a:prstGeom prst="rect">
                      <a:avLst/>
                    </a:prstGeom>
                    <a:noFill/>
                  </pic:spPr>
                </pic:pic>
              </a:graphicData>
            </a:graphic>
          </wp:anchor>
        </w:drawing>
      </w:r>
    </w:p>
    <w:p>
      <w:pPr>
        <w:spacing w:after="0" w:line="960" w:lineRule="exact"/>
        <w:rPr>
          <w:sz w:val="20"/>
          <w:szCs w:val="20"/>
          <w:color w:val="auto"/>
        </w:rPr>
      </w:pPr>
    </w:p>
    <w:p>
      <w:pPr>
        <w:sectPr>
          <w:pgSz w:w="11900" w:h="16838" w:orient="portrait"/>
          <w:cols w:equalWidth="0" w:num="2">
            <w:col w:w="5240" w:space="575"/>
            <w:col w:w="5325"/>
          </w:cols>
          <w:pgMar w:left="320" w:top="455" w:right="439" w:bottom="1440" w:gutter="0" w:footer="0" w:header="0"/>
          <w:type w:val="continuous"/>
        </w:sectPr>
      </w:pPr>
    </w:p>
    <w:p>
      <w:pPr>
        <w:spacing w:after="0" w:line="57"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Chevron Corporation – 2022 Proxy Statement</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82</w:t>
      </w:r>
    </w:p>
    <w:p>
      <w:pPr>
        <w:sectPr>
          <w:pgSz w:w="11900" w:h="16838" w:orient="portrait"/>
          <w:cols w:equalWidth="0" w:num="1">
            <w:col w:w="11140"/>
          </w:cols>
          <w:pgMar w:left="320" w:top="455" w:right="439" w:bottom="1440" w:gutter="0" w:footer="0" w:header="0"/>
          <w:type w:val="continuous"/>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208280</wp:posOffset>
            </wp:positionV>
            <wp:extent cx="3694430" cy="1460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694430" cy="146050"/>
                    </a:xfrm>
                    <a:prstGeom prst="rect">
                      <a:avLst/>
                    </a:prstGeom>
                    <a:noFill/>
                  </pic:spPr>
                </pic:pic>
              </a:graphicData>
            </a:graphic>
          </wp:anchor>
        </w:drawing>
      </w:r>
    </w:p>
    <w:p>
      <w:pPr>
        <w:spacing w:after="0" w:line="339"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FFFFFF"/>
        </w:rPr>
        <w:t>Board proposal to approve 2022 Long-Term Incentive Plan of Chevron Corporation</w:t>
      </w:r>
    </w:p>
    <w:p>
      <w:pPr>
        <w:sectPr>
          <w:pgSz w:w="11900" w:h="16838" w:orient="portrait"/>
          <w:cols w:equalWidth="0" w:num="1">
            <w:col w:w="11120"/>
          </w:cols>
          <w:pgMar w:left="320" w:top="455" w:right="459" w:bottom="1440" w:gutter="0" w:footer="0" w:header="0"/>
        </w:sectPr>
      </w:pPr>
    </w:p>
    <w:p>
      <w:pPr>
        <w:spacing w:after="0" w:line="226" w:lineRule="exact"/>
        <w:rPr>
          <w:sz w:val="20"/>
          <w:szCs w:val="20"/>
          <w:color w:val="auto"/>
        </w:rPr>
      </w:pPr>
    </w:p>
    <w:p>
      <w:pPr>
        <w:ind w:left="380" w:right="140" w:hanging="183"/>
        <w:spacing w:after="0" w:line="254" w:lineRule="auto"/>
        <w:tabs>
          <w:tab w:leader="none" w:pos="3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Chevron’s average three-year run rate (i.e., the number of shares subject to stock option and stock-settled restricted stock unit awards divided by the undiluted weighted average number of Chevron common shares outstanding), which measures the potential dilutive effects of awards, is 0.31%, well below the mean of the energy industry;</w:t>
      </w:r>
    </w:p>
    <w:p>
      <w:pPr>
        <w:spacing w:after="0" w:line="6" w:lineRule="exact"/>
        <w:rPr>
          <w:rFonts w:ascii="Arial" w:cs="Arial" w:eastAsia="Arial" w:hAnsi="Arial"/>
          <w:sz w:val="16"/>
          <w:szCs w:val="16"/>
          <w:color w:val="auto"/>
        </w:rPr>
      </w:pPr>
    </w:p>
    <w:p>
      <w:pPr>
        <w:ind w:left="380" w:right="200" w:hanging="183"/>
        <w:spacing w:after="0" w:line="259" w:lineRule="auto"/>
        <w:tabs>
          <w:tab w:leader="none" w:pos="3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As of February 28, 2022, the number of shares remaining available for grant pursuant to future awards under the Prior Plan and shares subject to outstanding awards as a percentage of total shares of common stock outstanding was 5.9%;</w:t>
      </w:r>
    </w:p>
    <w:p>
      <w:pPr>
        <w:spacing w:after="0" w:line="2" w:lineRule="exact"/>
        <w:rPr>
          <w:rFonts w:ascii="Arial" w:cs="Arial" w:eastAsia="Arial" w:hAnsi="Arial"/>
          <w:sz w:val="16"/>
          <w:szCs w:val="16"/>
          <w:color w:val="auto"/>
        </w:rPr>
      </w:pPr>
    </w:p>
    <w:p>
      <w:pPr>
        <w:ind w:left="380" w:right="100" w:hanging="183"/>
        <w:spacing w:after="0" w:line="251" w:lineRule="auto"/>
        <w:tabs>
          <w:tab w:leader="none" w:pos="3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Internal share utilization forecasts justify adopting the 2022 LTIP with 104 million shares of Chevron common stock authorized for issuance pursuant to awards thereunder, which are expected to be sufficient to grant equity awards under the 2022 LTIP for approximately eight years. These forecasts included a number of assumptions regarding, among other things, award exercises and vesting under the Prior Plan, stock price volatility, and the number of eligible participants. We do not, as a matter of course, make these forecasts public due to the inherent unpredictability of the underlying assumptions; and</w:t>
      </w:r>
    </w:p>
    <w:p>
      <w:pPr>
        <w:spacing w:after="0" w:line="239" w:lineRule="exact"/>
        <w:rPr>
          <w:rFonts w:ascii="Arial" w:cs="Arial" w:eastAsia="Arial" w:hAnsi="Arial"/>
          <w:sz w:val="16"/>
          <w:szCs w:val="16"/>
          <w:color w:val="auto"/>
        </w:rPr>
      </w:pPr>
    </w:p>
    <w:p>
      <w:pPr>
        <w:ind w:left="380" w:right="440" w:hanging="183"/>
        <w:spacing w:after="0" w:line="286" w:lineRule="auto"/>
        <w:tabs>
          <w:tab w:leader="none" w:pos="3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2022 LTIP contains provisions that promote good corporate governance.</w:t>
      </w:r>
    </w:p>
    <w:p>
      <w:pPr>
        <w:spacing w:after="0" w:line="48" w:lineRule="exact"/>
        <w:rPr>
          <w:sz w:val="20"/>
          <w:szCs w:val="20"/>
          <w:color w:val="auto"/>
        </w:rPr>
      </w:pPr>
    </w:p>
    <w:p>
      <w:pPr>
        <w:ind w:left="120" w:right="140"/>
        <w:spacing w:after="0" w:line="253" w:lineRule="auto"/>
        <w:rPr>
          <w:sz w:val="20"/>
          <w:szCs w:val="20"/>
          <w:color w:val="auto"/>
        </w:rPr>
      </w:pPr>
      <w:r>
        <w:rPr>
          <w:rFonts w:ascii="Arial" w:cs="Arial" w:eastAsia="Arial" w:hAnsi="Arial"/>
          <w:sz w:val="16"/>
          <w:szCs w:val="16"/>
          <w:color w:val="auto"/>
        </w:rPr>
        <w:t>Because it is not possible at this time to determine awards that will be made in the event the 2022 LTIP is approved by stockholders, it is not possible to calculate the amount of subsequent dilution that may ultimately result from such awards. However, in no event will the dilutive impact of the 2022 LTIP exceed the dilution occurring as a result of stockholder approval of this proposal, absent additional approval of stockholders.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Sound governance provisions</w:t>
      </w:r>
    </w:p>
    <w:p>
      <w:pPr>
        <w:spacing w:after="0" w:line="112" w:lineRule="exact"/>
        <w:rPr>
          <w:sz w:val="20"/>
          <w:szCs w:val="20"/>
          <w:color w:val="auto"/>
        </w:rPr>
      </w:pPr>
    </w:p>
    <w:p>
      <w:pPr>
        <w:jc w:val="both"/>
        <w:ind w:left="120"/>
        <w:spacing w:after="0" w:line="264" w:lineRule="auto"/>
        <w:rPr>
          <w:sz w:val="20"/>
          <w:szCs w:val="20"/>
          <w:color w:val="auto"/>
        </w:rPr>
      </w:pPr>
      <w:r>
        <w:rPr>
          <w:rFonts w:ascii="Arial" w:cs="Arial" w:eastAsia="Arial" w:hAnsi="Arial"/>
          <w:sz w:val="16"/>
          <w:szCs w:val="16"/>
          <w:color w:val="auto"/>
        </w:rPr>
        <w:t>The 2022 LTIP includes a number of provisions that promote good corporate governance and reinforce the alignment of interests of eligible participants and stockholders. These provisions include the following:</w:t>
      </w:r>
    </w:p>
    <w:p>
      <w:pPr>
        <w:jc w:val="both"/>
        <w:ind w:left="380" w:hanging="183"/>
        <w:spacing w:after="0" w:line="256" w:lineRule="auto"/>
        <w:tabs>
          <w:tab w:leader="none" w:pos="380" w:val="left"/>
        </w:tabs>
        <w:numPr>
          <w:ilvl w:val="0"/>
          <w:numId w:val="127"/>
        </w:numPr>
        <w:rPr>
          <w:rFonts w:ascii="Arial" w:cs="Arial" w:eastAsia="Arial" w:hAnsi="Arial"/>
          <w:sz w:val="16"/>
          <w:szCs w:val="16"/>
          <w:color w:val="auto"/>
        </w:rPr>
      </w:pPr>
      <w:r>
        <w:rPr>
          <w:rFonts w:ascii="Arial" w:cs="Arial" w:eastAsia="Arial" w:hAnsi="Arial"/>
          <w:sz w:val="16"/>
          <w:szCs w:val="16"/>
          <w:b w:val="1"/>
          <w:bCs w:val="1"/>
          <w:i w:val="1"/>
          <w:iCs w:val="1"/>
          <w:color w:val="auto"/>
        </w:rPr>
        <w:t>Flexibility and performance 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variety of equity and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permitted under the 2022 LTIP affords flexibility with respect to the design of long-term incentives that are responsive to evolving regulatory changes and compensation best practices and can incorporate tailored, performance-based measures.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185" w:right="200" w:hanging="185"/>
        <w:spacing w:after="0" w:line="264" w:lineRule="auto"/>
        <w:tabs>
          <w:tab w:leader="none" w:pos="185" w:val="left"/>
        </w:tabs>
        <w:numPr>
          <w:ilvl w:val="0"/>
          <w:numId w:val="1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discounted options. </w:t>
      </w:r>
      <w:r>
        <w:rPr>
          <w:rFonts w:ascii="Arial" w:cs="Arial" w:eastAsia="Arial" w:hAnsi="Arial"/>
          <w:sz w:val="16"/>
          <w:szCs w:val="16"/>
          <w:color w:val="auto"/>
        </w:rPr>
        <w:t>Stock options and stock appreciation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not be granted with exercise prices lower than the fair market value of the underlying shares on the date of grant.</w:t>
      </w:r>
    </w:p>
    <w:p>
      <w:pPr>
        <w:spacing w:after="0" w:line="2" w:lineRule="exact"/>
        <w:rPr>
          <w:rFonts w:ascii="Arial" w:cs="Arial" w:eastAsia="Arial" w:hAnsi="Arial"/>
          <w:sz w:val="16"/>
          <w:szCs w:val="16"/>
          <w:color w:val="auto"/>
        </w:rPr>
      </w:pPr>
    </w:p>
    <w:p>
      <w:pPr>
        <w:ind w:left="185" w:right="100" w:hanging="185"/>
        <w:spacing w:after="0" w:line="252" w:lineRule="auto"/>
        <w:tabs>
          <w:tab w:leader="none" w:pos="185" w:val="left"/>
        </w:tabs>
        <w:numPr>
          <w:ilvl w:val="0"/>
          <w:numId w:val="1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repurchases, repricings or exchanges without stockholder approval. </w:t>
      </w:r>
      <w:r>
        <w:rPr>
          <w:rFonts w:ascii="Arial" w:cs="Arial" w:eastAsia="Arial" w:hAnsi="Arial"/>
          <w:sz w:val="16"/>
          <w:szCs w:val="16"/>
          <w:color w:val="auto"/>
        </w:rPr>
        <w:t>Chevron will not, without the approval of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 programs to (i) repurchase outstanding and unexercised stock options or stock appreciation rights, whether for a cash payment or otherwise, or (ii) amend outstanding awards to provide for a lower exercise price or surrender or cancellation in favor of awards with a different exercise price or terms.</w:t>
      </w:r>
    </w:p>
    <w:p>
      <w:pPr>
        <w:spacing w:after="0" w:line="9" w:lineRule="exact"/>
        <w:rPr>
          <w:rFonts w:ascii="Arial" w:cs="Arial" w:eastAsia="Arial" w:hAnsi="Arial"/>
          <w:sz w:val="16"/>
          <w:szCs w:val="16"/>
          <w:color w:val="auto"/>
        </w:rPr>
      </w:pPr>
    </w:p>
    <w:p>
      <w:pPr>
        <w:ind w:left="185" w:hanging="185"/>
        <w:spacing w:after="0" w:line="264" w:lineRule="auto"/>
        <w:tabs>
          <w:tab w:leader="none" w:pos="185" w:val="left"/>
        </w:tabs>
        <w:numPr>
          <w:ilvl w:val="0"/>
          <w:numId w:val="1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transferability. </w:t>
      </w:r>
      <w:r>
        <w:rPr>
          <w:rFonts w:ascii="Arial" w:cs="Arial" w:eastAsia="Arial" w:hAnsi="Arial"/>
          <w:sz w:val="16"/>
          <w:szCs w:val="16"/>
          <w:color w:val="auto"/>
        </w:rPr>
        <w:t>Awards generally may not be transferred, except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by the Board’s Management Compensation Committee, or upon the award recipient’s death to a designated beneficiary.</w:t>
      </w:r>
    </w:p>
    <w:p>
      <w:pPr>
        <w:ind w:left="185" w:right="40" w:hanging="185"/>
        <w:spacing w:after="0" w:line="264" w:lineRule="auto"/>
        <w:tabs>
          <w:tab w:leader="none" w:pos="185" w:val="left"/>
        </w:tabs>
        <w:numPr>
          <w:ilvl w:val="0"/>
          <w:numId w:val="1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“evergreen” provisions. </w:t>
      </w:r>
      <w:r>
        <w:rPr>
          <w:rFonts w:ascii="Arial" w:cs="Arial" w:eastAsia="Arial" w:hAnsi="Arial"/>
          <w:sz w:val="16"/>
          <w:szCs w:val="16"/>
          <w:color w:val="auto"/>
        </w:rPr>
        <w:t>There is no “evergreen” feature pursuant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which the shares authorized for issuance under the 2022 LTIP can be automatically replenished.</w:t>
      </w:r>
    </w:p>
    <w:p>
      <w:pPr>
        <w:ind w:left="185" w:right="180" w:hanging="185"/>
        <w:spacing w:after="0" w:line="272" w:lineRule="auto"/>
        <w:tabs>
          <w:tab w:leader="none" w:pos="185" w:val="left"/>
        </w:tabs>
        <w:numPr>
          <w:ilvl w:val="0"/>
          <w:numId w:val="1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automatic grants. </w:t>
      </w:r>
      <w:r>
        <w:rPr>
          <w:rFonts w:ascii="Arial" w:cs="Arial" w:eastAsia="Arial" w:hAnsi="Arial"/>
          <w:sz w:val="16"/>
          <w:szCs w:val="16"/>
          <w:color w:val="auto"/>
        </w:rPr>
        <w:t>The 2022 LTIP does not provide for automatic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grants to any participant.</w:t>
      </w:r>
    </w:p>
    <w:p>
      <w:pPr>
        <w:spacing w:after="0" w:line="1" w:lineRule="exact"/>
        <w:rPr>
          <w:rFonts w:ascii="Arial" w:cs="Arial" w:eastAsia="Arial" w:hAnsi="Arial"/>
          <w:sz w:val="16"/>
          <w:szCs w:val="16"/>
          <w:color w:val="auto"/>
        </w:rPr>
      </w:pPr>
    </w:p>
    <w:p>
      <w:pPr>
        <w:ind w:left="185" w:right="240" w:hanging="185"/>
        <w:spacing w:after="0" w:line="264" w:lineRule="auto"/>
        <w:tabs>
          <w:tab w:leader="none" w:pos="185" w:val="left"/>
        </w:tabs>
        <w:numPr>
          <w:ilvl w:val="0"/>
          <w:numId w:val="1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tax “gross-ups.” </w:t>
      </w:r>
      <w:r>
        <w:rPr>
          <w:rFonts w:ascii="Arial" w:cs="Arial" w:eastAsia="Arial" w:hAnsi="Arial"/>
          <w:sz w:val="16"/>
          <w:szCs w:val="16"/>
          <w:color w:val="auto"/>
        </w:rPr>
        <w:t>The 2022 LTIP does not provide for any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“gross-ups” or similar payments or reimbursements to defray tax liability associated with the issuance of awards under the 2022 LTIP.</w:t>
      </w:r>
    </w:p>
    <w:p>
      <w:pPr>
        <w:ind w:left="185" w:right="340" w:hanging="185"/>
        <w:spacing w:after="0" w:line="264" w:lineRule="auto"/>
        <w:tabs>
          <w:tab w:leader="none" w:pos="185" w:val="left"/>
        </w:tabs>
        <w:numPr>
          <w:ilvl w:val="0"/>
          <w:numId w:val="1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dividend equivalents on unvested awards. </w:t>
      </w:r>
      <w:r>
        <w:rPr>
          <w:rFonts w:ascii="Arial" w:cs="Arial" w:eastAsia="Arial" w:hAnsi="Arial"/>
          <w:sz w:val="16"/>
          <w:szCs w:val="16"/>
          <w:color w:val="auto"/>
        </w:rPr>
        <w:t>The 2022 LTIP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provides that dividend equivalents will only be paid when and if the underlying award vests.</w:t>
      </w:r>
    </w:p>
    <w:p>
      <w:pPr>
        <w:ind w:left="185" w:right="80" w:hanging="185"/>
        <w:spacing w:after="0" w:line="264" w:lineRule="auto"/>
        <w:tabs>
          <w:tab w:leader="none" w:pos="185" w:val="left"/>
        </w:tabs>
        <w:numPr>
          <w:ilvl w:val="0"/>
          <w:numId w:val="128"/>
        </w:numPr>
        <w:rPr>
          <w:rFonts w:ascii="Arial" w:cs="Arial" w:eastAsia="Arial" w:hAnsi="Arial"/>
          <w:sz w:val="16"/>
          <w:szCs w:val="16"/>
          <w:color w:val="auto"/>
        </w:rPr>
      </w:pPr>
      <w:r>
        <w:rPr>
          <w:rFonts w:ascii="Arial" w:cs="Arial" w:eastAsia="Arial" w:hAnsi="Arial"/>
          <w:sz w:val="16"/>
          <w:szCs w:val="16"/>
          <w:b w:val="1"/>
          <w:bCs w:val="1"/>
          <w:i w:val="1"/>
          <w:iCs w:val="1"/>
          <w:color w:val="auto"/>
        </w:rPr>
        <w:t>Recoupment and clawback provision</w:t>
      </w:r>
      <w:r>
        <w:rPr>
          <w:rFonts w:ascii="Arial" w:cs="Arial" w:eastAsia="Arial" w:hAnsi="Arial"/>
          <w:sz w:val="16"/>
          <w:szCs w:val="16"/>
          <w:color w:val="auto"/>
        </w:rPr>
        <w:t>. The 2022 LTIP includes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clawback provision related to Misconduct, as defined in the 2022 LTIP, to protect Chevron’s interests.</w:t>
      </w:r>
    </w:p>
    <w:p>
      <w:pPr>
        <w:ind w:left="185" w:right="40" w:hanging="185"/>
        <w:spacing w:after="0" w:line="254" w:lineRule="auto"/>
        <w:tabs>
          <w:tab w:leader="none" w:pos="185" w:val="left"/>
        </w:tabs>
        <w:numPr>
          <w:ilvl w:val="0"/>
          <w:numId w:val="1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Minimum vesting requirements. </w:t>
      </w:r>
      <w:r>
        <w:rPr>
          <w:rFonts w:ascii="Arial" w:cs="Arial" w:eastAsia="Arial" w:hAnsi="Arial"/>
          <w:sz w:val="16"/>
          <w:szCs w:val="16"/>
          <w:color w:val="auto"/>
        </w:rPr>
        <w:t>The 2022 LTIP provides that awards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not become exercisable, vest or settle prior to the one-year anniversary of the date of grant, or in the event of certain transactions. The foregoing is subject to a carve-out with respect to 5% of the aggregate number of shares authorized for issuance under the 2022 LTIP.</w:t>
      </w:r>
    </w:p>
    <w:p>
      <w:pPr>
        <w:spacing w:after="0" w:line="6" w:lineRule="exact"/>
        <w:rPr>
          <w:rFonts w:ascii="Arial" w:cs="Arial" w:eastAsia="Arial" w:hAnsi="Arial"/>
          <w:sz w:val="16"/>
          <w:szCs w:val="16"/>
          <w:color w:val="auto"/>
        </w:rPr>
      </w:pPr>
    </w:p>
    <w:p>
      <w:pPr>
        <w:ind w:left="185" w:right="140" w:hanging="185"/>
        <w:spacing w:after="0" w:line="256" w:lineRule="auto"/>
        <w:tabs>
          <w:tab w:leader="none" w:pos="185" w:val="left"/>
        </w:tabs>
        <w:numPr>
          <w:ilvl w:val="0"/>
          <w:numId w:val="1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Management Compensation Committee oversight. </w:t>
      </w:r>
      <w:r>
        <w:rPr>
          <w:rFonts w:ascii="Arial" w:cs="Arial" w:eastAsia="Arial" w:hAnsi="Arial"/>
          <w:sz w:val="16"/>
          <w:szCs w:val="16"/>
          <w:color w:val="auto"/>
        </w:rPr>
        <w:t>The 2022 LTIP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be administered by the Board’s Management Compensation Committee, which is comprised solely of non-employee, independent directors (or such other committee comprised of non-employee, independent directors as the Board may designate).</w:t>
      </w:r>
    </w:p>
    <w:p>
      <w:pPr>
        <w:spacing w:after="0" w:line="416" w:lineRule="exact"/>
        <w:rPr>
          <w:sz w:val="20"/>
          <w:szCs w:val="20"/>
          <w:color w:val="auto"/>
        </w:rPr>
      </w:pPr>
    </w:p>
    <w:p>
      <w:pPr>
        <w:sectPr>
          <w:pgSz w:w="11900" w:h="16838" w:orient="portrait"/>
          <w:cols w:equalWidth="0" w:num="2">
            <w:col w:w="5400" w:space="415"/>
            <w:col w:w="5305"/>
          </w:cols>
          <w:pgMar w:left="320" w:top="455" w:right="459" w:bottom="1440" w:gutter="0" w:footer="0" w:header="0"/>
          <w:type w:val="continuous"/>
        </w:sectPr>
      </w:pPr>
    </w:p>
    <w:p>
      <w:pPr>
        <w:spacing w:after="0" w:line="57"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Chevron Corporation – 2022 Proxy Statement</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83</w:t>
      </w:r>
    </w:p>
    <w:p>
      <w:pPr>
        <w:sectPr>
          <w:pgSz w:w="11900" w:h="16838" w:orient="portrait"/>
          <w:cols w:equalWidth="0" w:num="1">
            <w:col w:w="11120"/>
          </w:cols>
          <w:pgMar w:left="320" w:top="455" w:right="459" w:bottom="1440" w:gutter="0" w:footer="0" w:header="0"/>
          <w:type w:val="continuous"/>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5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shd w:val="clear" w:color="auto" w:fill="0B2D71"/>
        </w:rPr>
        <w:t>Board proposal to approve 2022 Long-Term Incentive Plan of Chevron Corporation</w:t>
      </w: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0B2D71"/>
        </w:rPr>
        <w:t>Key terms of the 2022 LTIP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1111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11125"/>
                    </a:xfrm>
                    <a:prstGeom prst="rect">
                      <a:avLst/>
                    </a:prstGeom>
                    <a:noFill/>
                  </pic:spPr>
                </pic:pic>
              </a:graphicData>
            </a:graphic>
          </wp:anchor>
        </w:drawing>
      </w:r>
    </w:p>
    <w:p>
      <w:pPr>
        <w:spacing w:after="0" w:line="362" w:lineRule="exact"/>
        <w:rPr>
          <w:sz w:val="20"/>
          <w:szCs w:val="20"/>
          <w:color w:val="auto"/>
        </w:rPr>
      </w:pPr>
    </w:p>
    <w:p>
      <w:pPr>
        <w:ind w:left="120"/>
        <w:spacing w:after="0"/>
        <w:tabs>
          <w:tab w:leader="none" w:pos="1860" w:val="left"/>
        </w:tabs>
        <w:rPr>
          <w:sz w:val="20"/>
          <w:szCs w:val="20"/>
          <w:color w:val="auto"/>
        </w:rPr>
      </w:pPr>
      <w:r>
        <w:rPr>
          <w:rFonts w:ascii="Arial" w:cs="Arial" w:eastAsia="Arial" w:hAnsi="Arial"/>
          <w:sz w:val="14"/>
          <w:szCs w:val="14"/>
          <w:b w:val="1"/>
          <w:bCs w:val="1"/>
          <w:color w:val="0B2D71"/>
        </w:rPr>
        <w:t>Term</w:t>
      </w:r>
      <w:r>
        <w:rPr>
          <w:sz w:val="20"/>
          <w:szCs w:val="20"/>
          <w:color w:val="auto"/>
        </w:rPr>
        <w:tab/>
      </w:r>
      <w:r>
        <w:rPr>
          <w:rFonts w:ascii="Arial" w:cs="Arial" w:eastAsia="Arial" w:hAnsi="Arial"/>
          <w:sz w:val="14"/>
          <w:szCs w:val="14"/>
          <w:color w:val="auto"/>
        </w:rPr>
        <w:t>Ten years from the date approved by stockholders (unless terminated earlier by the Board).</w:t>
      </w:r>
    </w:p>
    <w:p>
      <w:pPr>
        <w:spacing w:after="0" w:line="35" w:lineRule="exact"/>
        <w:rPr>
          <w:sz w:val="20"/>
          <w:szCs w:val="20"/>
          <w:color w:val="auto"/>
        </w:rPr>
      </w:pPr>
    </w:p>
    <w:p>
      <w:pPr>
        <w:ind w:left="1880" w:right="60" w:hanging="1754"/>
        <w:spacing w:after="0" w:line="251" w:lineRule="auto"/>
        <w:tabs>
          <w:tab w:leader="none" w:pos="1860" w:val="left"/>
        </w:tabs>
        <w:rPr>
          <w:sz w:val="20"/>
          <w:szCs w:val="20"/>
          <w:color w:val="auto"/>
        </w:rPr>
      </w:pPr>
      <w:r>
        <w:rPr>
          <w:rFonts w:ascii="Arial" w:cs="Arial" w:eastAsia="Arial" w:hAnsi="Arial"/>
          <w:sz w:val="14"/>
          <w:szCs w:val="14"/>
          <w:b w:val="1"/>
          <w:bCs w:val="1"/>
          <w:color w:val="0B2D71"/>
        </w:rPr>
        <w:t>Shares Authorized</w:t>
      </w:r>
      <w:r>
        <w:rPr>
          <w:sz w:val="20"/>
          <w:szCs w:val="20"/>
          <w:color w:val="auto"/>
        </w:rPr>
        <w:tab/>
      </w:r>
      <w:r>
        <w:rPr>
          <w:rFonts w:ascii="Arial" w:cs="Arial" w:eastAsia="Arial" w:hAnsi="Arial"/>
          <w:sz w:val="14"/>
          <w:szCs w:val="14"/>
          <w:color w:val="auto"/>
        </w:rPr>
        <w:t>104 million plus any shares subject to outstanding awards under the Prior Plan that, on or after May 25, 2022, cease for any reason to be subject to such awards (other than by reason of exercise or settlement of the awards to the extent they are exercised for or settled in vested and nonforfeitable shares), reduced by the number of shares subject to awards granted under the Prior Plan after February 28, 2022.</w:t>
      </w:r>
    </w:p>
    <w:p>
      <w:pPr>
        <w:spacing w:after="0" w:line="2" w:lineRule="exact"/>
        <w:rPr>
          <w:sz w:val="20"/>
          <w:szCs w:val="20"/>
          <w:color w:val="auto"/>
        </w:rPr>
      </w:pPr>
    </w:p>
    <w:p>
      <w:pPr>
        <w:ind w:left="1880" w:right="220"/>
        <w:spacing w:after="0" w:line="261" w:lineRule="auto"/>
        <w:rPr>
          <w:sz w:val="20"/>
          <w:szCs w:val="20"/>
          <w:color w:val="auto"/>
        </w:rPr>
      </w:pPr>
      <w:r>
        <w:rPr>
          <w:rFonts w:ascii="Arial" w:cs="Arial" w:eastAsia="Arial" w:hAnsi="Arial"/>
          <w:sz w:val="14"/>
          <w:szCs w:val="14"/>
          <w:color w:val="auto"/>
        </w:rPr>
        <w:t>As of February 28, 2022, approximately 62,053,607 shares remained available for grant of future awards from shares previously authorized for issuance under the Prior Plan and approximately 52,219,205 shares were subject to outstanding awards under the Prior Plan.</w:t>
      </w:r>
    </w:p>
    <w:p>
      <w:pPr>
        <w:spacing w:after="0" w:line="1" w:lineRule="exact"/>
        <w:rPr>
          <w:sz w:val="20"/>
          <w:szCs w:val="20"/>
          <w:color w:val="auto"/>
        </w:rPr>
      </w:pPr>
    </w:p>
    <w:p>
      <w:pPr>
        <w:ind w:left="1880" w:right="60"/>
        <w:spacing w:after="0" w:line="261" w:lineRule="auto"/>
        <w:rPr>
          <w:sz w:val="20"/>
          <w:szCs w:val="20"/>
          <w:color w:val="auto"/>
        </w:rPr>
      </w:pPr>
      <w:r>
        <w:rPr>
          <w:rFonts w:ascii="Arial" w:cs="Arial" w:eastAsia="Arial" w:hAnsi="Arial"/>
          <w:sz w:val="14"/>
          <w:szCs w:val="14"/>
          <w:color w:val="auto"/>
        </w:rPr>
        <w:t>The maximum number of shares that may be issued under the 2022 LTIP subject to restricted stock, restricted stock units and other share-based awards is 48 million. We refer to such awards as “full-value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wp:posOffset>
            </wp:positionV>
            <wp:extent cx="6995160" cy="3257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325755"/>
                    </a:xfrm>
                    <a:prstGeom prst="rect">
                      <a:avLst/>
                    </a:prstGeom>
                    <a:noFill/>
                  </pic:spPr>
                </pic:pic>
              </a:graphicData>
            </a:graphic>
          </wp:anchor>
        </w:drawing>
      </w:r>
    </w:p>
    <w:p>
      <w:pPr>
        <w:ind w:left="1880" w:right="20" w:hanging="1754"/>
        <w:spacing w:after="0" w:line="269" w:lineRule="auto"/>
        <w:tabs>
          <w:tab w:leader="none" w:pos="1860" w:val="left"/>
        </w:tabs>
        <w:rPr>
          <w:sz w:val="20"/>
          <w:szCs w:val="20"/>
          <w:color w:val="auto"/>
        </w:rPr>
      </w:pPr>
      <w:r>
        <w:rPr>
          <w:rFonts w:ascii="Arial" w:cs="Arial" w:eastAsia="Arial" w:hAnsi="Arial"/>
          <w:sz w:val="14"/>
          <w:szCs w:val="14"/>
          <w:b w:val="1"/>
          <w:bCs w:val="1"/>
          <w:color w:val="0B2D71"/>
        </w:rPr>
        <w:t>Eligible Participants</w:t>
      </w:r>
      <w:r>
        <w:rPr>
          <w:sz w:val="20"/>
          <w:szCs w:val="20"/>
          <w:color w:val="auto"/>
        </w:rPr>
        <w:tab/>
      </w:r>
      <w:r>
        <w:rPr>
          <w:rFonts w:ascii="Arial" w:cs="Arial" w:eastAsia="Arial" w:hAnsi="Arial"/>
          <w:sz w:val="14"/>
          <w:szCs w:val="14"/>
          <w:color w:val="auto"/>
        </w:rPr>
        <w:t>Any individual who is on Chevron’s payroll and for whom Chevron withholds employment taxes at the time awards are made under the 2022 LTIP, if eligibility is approved by the plan administrator. As of February 28, 2022, 1,910 individuals would have been eligible to participate in the 2022 LTIP.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-223520</wp:posOffset>
            </wp:positionV>
            <wp:extent cx="5949315" cy="3086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49315" cy="308610"/>
                    </a:xfrm>
                    <a:prstGeom prst="rect">
                      <a:avLst/>
                    </a:prstGeom>
                    <a:noFill/>
                  </pic:spPr>
                </pic:pic>
              </a:graphicData>
            </a:graphic>
          </wp:anchor>
        </w:drawing>
      </w:r>
    </w:p>
    <w:p>
      <w:pPr>
        <w:spacing w:after="0" w:line="158" w:lineRule="exact"/>
        <w:rPr>
          <w:sz w:val="20"/>
          <w:szCs w:val="20"/>
          <w:color w:val="auto"/>
        </w:rPr>
      </w:pPr>
    </w:p>
    <w:p>
      <w:pPr>
        <w:ind w:left="120"/>
        <w:spacing w:after="0"/>
        <w:tabs>
          <w:tab w:leader="none" w:pos="1860" w:val="left"/>
          <w:tab w:leader="none" w:pos="2140" w:val="left"/>
        </w:tabs>
        <w:rPr>
          <w:sz w:val="20"/>
          <w:szCs w:val="20"/>
          <w:color w:val="auto"/>
        </w:rPr>
      </w:pPr>
      <w:r>
        <w:rPr>
          <w:rFonts w:ascii="Arial" w:cs="Arial" w:eastAsia="Arial" w:hAnsi="Arial"/>
          <w:sz w:val="14"/>
          <w:szCs w:val="14"/>
          <w:b w:val="1"/>
          <w:bCs w:val="1"/>
          <w:color w:val="0B2D71"/>
        </w:rPr>
        <w:t>Award Types</w:t>
      </w:r>
      <w:r>
        <w:rPr>
          <w:sz w:val="20"/>
          <w:szCs w:val="20"/>
          <w:color w:val="auto"/>
        </w:rPr>
        <w:tab/>
      </w:r>
      <w:r>
        <w:rPr>
          <w:rFonts w:ascii="Arial" w:cs="Arial" w:eastAsia="Arial" w:hAnsi="Arial"/>
          <w:sz w:val="14"/>
          <w:szCs w:val="14"/>
          <w:color w:val="0B2D71"/>
        </w:rPr>
        <w:t>•</w:t>
      </w:r>
      <w:r>
        <w:rPr>
          <w:sz w:val="20"/>
          <w:szCs w:val="20"/>
          <w:color w:val="auto"/>
        </w:rPr>
        <w:tab/>
      </w:r>
      <w:r>
        <w:rPr>
          <w:rFonts w:ascii="Arial" w:cs="Arial" w:eastAsia="Arial" w:hAnsi="Arial"/>
          <w:sz w:val="14"/>
          <w:szCs w:val="14"/>
          <w:color w:val="auto"/>
        </w:rPr>
        <w:t>Nonstatutory stock options</w:t>
      </w:r>
    </w:p>
    <w:p>
      <w:pPr>
        <w:spacing w:after="0" w:line="55" w:lineRule="exact"/>
        <w:rPr>
          <w:sz w:val="20"/>
          <w:szCs w:val="20"/>
          <w:color w:val="auto"/>
        </w:rPr>
      </w:pPr>
    </w:p>
    <w:p>
      <w:pPr>
        <w:ind w:left="2160" w:hanging="289"/>
        <w:spacing w:after="0"/>
        <w:tabs>
          <w:tab w:leader="none" w:pos="2160" w:val="left"/>
        </w:tabs>
        <w:numPr>
          <w:ilvl w:val="0"/>
          <w:numId w:val="129"/>
        </w:numPr>
        <w:rPr>
          <w:rFonts w:ascii="Arial" w:cs="Arial" w:eastAsia="Arial" w:hAnsi="Arial"/>
          <w:sz w:val="14"/>
          <w:szCs w:val="14"/>
          <w:color w:val="0B2D71"/>
        </w:rPr>
      </w:pPr>
      <w:r>
        <w:rPr>
          <w:rFonts w:ascii="Arial" w:cs="Arial" w:eastAsia="Arial" w:hAnsi="Arial"/>
          <w:sz w:val="14"/>
          <w:szCs w:val="14"/>
          <w:color w:val="auto"/>
        </w:rPr>
        <w:t>Stock appreciation rights</w:t>
      </w:r>
    </w:p>
    <w:p>
      <w:pPr>
        <w:spacing w:after="0" w:line="55" w:lineRule="exact"/>
        <w:rPr>
          <w:rFonts w:ascii="Arial" w:cs="Arial" w:eastAsia="Arial" w:hAnsi="Arial"/>
          <w:sz w:val="14"/>
          <w:szCs w:val="14"/>
          <w:color w:val="0B2D71"/>
        </w:rPr>
      </w:pPr>
    </w:p>
    <w:p>
      <w:pPr>
        <w:ind w:left="2160" w:hanging="289"/>
        <w:spacing w:after="0"/>
        <w:tabs>
          <w:tab w:leader="none" w:pos="2160" w:val="left"/>
        </w:tabs>
        <w:numPr>
          <w:ilvl w:val="0"/>
          <w:numId w:val="129"/>
        </w:numPr>
        <w:rPr>
          <w:rFonts w:ascii="Arial" w:cs="Arial" w:eastAsia="Arial" w:hAnsi="Arial"/>
          <w:sz w:val="14"/>
          <w:szCs w:val="14"/>
          <w:color w:val="0B2D71"/>
        </w:rPr>
      </w:pPr>
      <w:r>
        <w:rPr>
          <w:rFonts w:ascii="Arial" w:cs="Arial" w:eastAsia="Arial" w:hAnsi="Arial"/>
          <w:sz w:val="14"/>
          <w:szCs w:val="14"/>
          <w:color w:val="auto"/>
        </w:rPr>
        <w:t>Restricted stock</w:t>
      </w:r>
    </w:p>
    <w:p>
      <w:pPr>
        <w:spacing w:after="0" w:line="55" w:lineRule="exact"/>
        <w:rPr>
          <w:rFonts w:ascii="Arial" w:cs="Arial" w:eastAsia="Arial" w:hAnsi="Arial"/>
          <w:sz w:val="14"/>
          <w:szCs w:val="14"/>
          <w:color w:val="0B2D71"/>
        </w:rPr>
      </w:pPr>
    </w:p>
    <w:p>
      <w:pPr>
        <w:ind w:left="2160" w:hanging="289"/>
        <w:spacing w:after="0"/>
        <w:tabs>
          <w:tab w:leader="none" w:pos="2160" w:val="left"/>
        </w:tabs>
        <w:numPr>
          <w:ilvl w:val="0"/>
          <w:numId w:val="129"/>
        </w:numPr>
        <w:rPr>
          <w:rFonts w:ascii="Arial" w:cs="Arial" w:eastAsia="Arial" w:hAnsi="Arial"/>
          <w:sz w:val="14"/>
          <w:szCs w:val="14"/>
          <w:color w:val="0B2D71"/>
        </w:rPr>
      </w:pPr>
      <w:r>
        <w:rPr>
          <w:rFonts w:ascii="Arial" w:cs="Arial" w:eastAsia="Arial" w:hAnsi="Arial"/>
          <w:sz w:val="14"/>
          <w:szCs w:val="14"/>
          <w:color w:val="auto"/>
        </w:rPr>
        <w:t>Restricted stock units</w:t>
      </w:r>
    </w:p>
    <w:p>
      <w:pPr>
        <w:spacing w:after="0" w:line="55" w:lineRule="exact"/>
        <w:rPr>
          <w:rFonts w:ascii="Arial" w:cs="Arial" w:eastAsia="Arial" w:hAnsi="Arial"/>
          <w:sz w:val="14"/>
          <w:szCs w:val="14"/>
          <w:color w:val="0B2D71"/>
        </w:rPr>
      </w:pPr>
    </w:p>
    <w:p>
      <w:pPr>
        <w:ind w:left="2160" w:hanging="289"/>
        <w:spacing w:after="0"/>
        <w:tabs>
          <w:tab w:leader="none" w:pos="2160" w:val="left"/>
        </w:tabs>
        <w:numPr>
          <w:ilvl w:val="0"/>
          <w:numId w:val="129"/>
        </w:numPr>
        <w:rPr>
          <w:rFonts w:ascii="Arial" w:cs="Arial" w:eastAsia="Arial" w:hAnsi="Arial"/>
          <w:sz w:val="14"/>
          <w:szCs w:val="14"/>
          <w:color w:val="0B2D71"/>
        </w:rPr>
      </w:pPr>
      <w:r>
        <w:rPr>
          <w:rFonts w:ascii="Arial" w:cs="Arial" w:eastAsia="Arial" w:hAnsi="Arial"/>
          <w:sz w:val="14"/>
          <w:szCs w:val="14"/>
          <w:color w:val="auto"/>
        </w:rPr>
        <w:t>Other share-based awards (e.g., performance shares)</w:t>
      </w:r>
    </w:p>
    <w:p>
      <w:pPr>
        <w:spacing w:after="0" w:line="55" w:lineRule="exact"/>
        <w:rPr>
          <w:rFonts w:ascii="Arial" w:cs="Arial" w:eastAsia="Arial" w:hAnsi="Arial"/>
          <w:sz w:val="14"/>
          <w:szCs w:val="14"/>
          <w:color w:val="0B2D71"/>
        </w:rPr>
      </w:pPr>
    </w:p>
    <w:p>
      <w:pPr>
        <w:ind w:left="2160" w:hanging="289"/>
        <w:spacing w:after="0"/>
        <w:tabs>
          <w:tab w:leader="none" w:pos="2160" w:val="left"/>
        </w:tabs>
        <w:numPr>
          <w:ilvl w:val="0"/>
          <w:numId w:val="129"/>
        </w:numPr>
        <w:rPr>
          <w:rFonts w:ascii="Arial" w:cs="Arial" w:eastAsia="Arial" w:hAnsi="Arial"/>
          <w:sz w:val="14"/>
          <w:szCs w:val="14"/>
          <w:color w:val="0B2D71"/>
        </w:rPr>
      </w:pPr>
      <w:r>
        <w:rPr>
          <w:rFonts w:ascii="Arial" w:cs="Arial" w:eastAsia="Arial" w:hAnsi="Arial"/>
          <w:sz w:val="14"/>
          <w:szCs w:val="14"/>
          <w:color w:val="auto"/>
        </w:rPr>
        <w:t>Nonstock awards</w:t>
      </w:r>
    </w:p>
    <w:p>
      <w:pPr>
        <w:spacing w:after="0" w:line="29" w:lineRule="exact"/>
        <w:rPr>
          <w:sz w:val="20"/>
          <w:szCs w:val="20"/>
          <w:color w:val="auto"/>
        </w:rPr>
      </w:pPr>
    </w:p>
    <w:p>
      <w:pPr>
        <w:ind w:left="1880"/>
        <w:spacing w:after="0"/>
        <w:rPr>
          <w:sz w:val="20"/>
          <w:szCs w:val="20"/>
          <w:color w:val="auto"/>
        </w:rPr>
      </w:pPr>
      <w:r>
        <w:rPr>
          <w:rFonts w:ascii="Arial" w:cs="Arial" w:eastAsia="Arial" w:hAnsi="Arial"/>
          <w:sz w:val="14"/>
          <w:szCs w:val="14"/>
          <w:color w:val="auto"/>
        </w:rPr>
        <w:t>Historically, stock options, performance shares and restricted stock units are the types of awards most frequently granted under the Prior Plan.</w:t>
      </w:r>
    </w:p>
    <w:p>
      <w:pPr>
        <w:spacing w:after="0" w:line="29"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640" w:type="dxa"/>
            <w:vAlign w:val="bottom"/>
            <w:shd w:val="clear" w:color="auto" w:fill="D8D8D8"/>
          </w:tcPr>
          <w:p>
            <w:pPr>
              <w:spacing w:after="0"/>
              <w:rPr>
                <w:sz w:val="20"/>
                <w:szCs w:val="20"/>
                <w:color w:val="auto"/>
              </w:rPr>
            </w:pPr>
            <w:r>
              <w:rPr>
                <w:rFonts w:ascii="Arial" w:cs="Arial" w:eastAsia="Arial" w:hAnsi="Arial"/>
                <w:sz w:val="14"/>
                <w:szCs w:val="14"/>
                <w:b w:val="1"/>
                <w:bCs w:val="1"/>
                <w:color w:val="0B2D71"/>
              </w:rPr>
              <w:t>Award Expiration</w:t>
            </w:r>
          </w:p>
        </w:tc>
        <w:tc>
          <w:tcPr>
            <w:tcW w:w="9380" w:type="dxa"/>
            <w:vAlign w:val="bottom"/>
            <w:shd w:val="clear" w:color="auto" w:fill="D8D8D8"/>
          </w:tcPr>
          <w:p>
            <w:pPr>
              <w:ind w:left="120"/>
              <w:spacing w:after="0"/>
              <w:rPr>
                <w:sz w:val="20"/>
                <w:szCs w:val="20"/>
                <w:color w:val="auto"/>
              </w:rPr>
            </w:pPr>
            <w:r>
              <w:rPr>
                <w:rFonts w:ascii="Arial" w:cs="Arial" w:eastAsia="Arial" w:hAnsi="Arial"/>
                <w:sz w:val="14"/>
                <w:szCs w:val="14"/>
                <w:color w:val="auto"/>
              </w:rPr>
              <w:t>Stock options and stock appreciation rights expire no more than 10 years from the date of grant. The expiration terms of all other awards are</w:t>
            </w:r>
          </w:p>
        </w:tc>
      </w:tr>
      <w:tr>
        <w:trPr>
          <w:trHeight w:val="171"/>
        </w:trPr>
        <w:tc>
          <w:tcPr>
            <w:tcW w:w="1640" w:type="dxa"/>
            <w:vAlign w:val="bottom"/>
            <w:shd w:val="clear" w:color="auto" w:fill="D8D8D8"/>
          </w:tcPr>
          <w:p>
            <w:pPr>
              <w:spacing w:after="0"/>
              <w:rPr>
                <w:sz w:val="14"/>
                <w:szCs w:val="14"/>
                <w:color w:val="auto"/>
              </w:rPr>
            </w:pPr>
          </w:p>
        </w:tc>
        <w:tc>
          <w:tcPr>
            <w:tcW w:w="9380" w:type="dxa"/>
            <w:vAlign w:val="bottom"/>
            <w:shd w:val="clear" w:color="auto" w:fill="D8D8D8"/>
          </w:tcPr>
          <w:p>
            <w:pPr>
              <w:ind w:left="120"/>
              <w:spacing w:after="0"/>
              <w:rPr>
                <w:sz w:val="20"/>
                <w:szCs w:val="20"/>
                <w:color w:val="auto"/>
              </w:rPr>
            </w:pPr>
            <w:r>
              <w:rPr>
                <w:rFonts w:ascii="Arial" w:cs="Arial" w:eastAsia="Arial" w:hAnsi="Arial"/>
                <w:sz w:val="14"/>
                <w:szCs w:val="14"/>
                <w:color w:val="auto"/>
              </w:rPr>
              <w:t>determined at the discretion of the plan administrator.</w:t>
            </w:r>
          </w:p>
        </w:tc>
      </w:tr>
      <w:tr>
        <w:trPr>
          <w:trHeight w:val="180"/>
        </w:trPr>
        <w:tc>
          <w:tcPr>
            <w:tcW w:w="1640" w:type="dxa"/>
            <w:vAlign w:val="bottom"/>
          </w:tcPr>
          <w:p>
            <w:pPr>
              <w:spacing w:after="0"/>
              <w:rPr>
                <w:sz w:val="20"/>
                <w:szCs w:val="20"/>
                <w:color w:val="auto"/>
              </w:rPr>
            </w:pPr>
            <w:r>
              <w:rPr>
                <w:rFonts w:ascii="Arial" w:cs="Arial" w:eastAsia="Arial" w:hAnsi="Arial"/>
                <w:sz w:val="14"/>
                <w:szCs w:val="14"/>
                <w:b w:val="1"/>
                <w:bCs w:val="1"/>
                <w:color w:val="0B2D71"/>
              </w:rPr>
              <w:t>Exercise Price</w:t>
            </w:r>
          </w:p>
        </w:tc>
        <w:tc>
          <w:tcPr>
            <w:tcW w:w="9380" w:type="dxa"/>
            <w:vAlign w:val="bottom"/>
          </w:tcPr>
          <w:p>
            <w:pPr>
              <w:ind w:left="120"/>
              <w:spacing w:after="0"/>
              <w:rPr>
                <w:sz w:val="20"/>
                <w:szCs w:val="20"/>
                <w:color w:val="auto"/>
              </w:rPr>
            </w:pPr>
            <w:r>
              <w:rPr>
                <w:rFonts w:ascii="Arial" w:cs="Arial" w:eastAsia="Arial" w:hAnsi="Arial"/>
                <w:sz w:val="14"/>
                <w:szCs w:val="14"/>
                <w:color w:val="auto"/>
              </w:rPr>
              <w:t>The exercise price of stock options or stock appreciation rights may not be less than 100% of the fair market value of Chevron’s common stock</w:t>
            </w:r>
          </w:p>
        </w:tc>
      </w:tr>
      <w:tr>
        <w:trPr>
          <w:trHeight w:val="162"/>
        </w:trPr>
        <w:tc>
          <w:tcPr>
            <w:tcW w:w="1640" w:type="dxa"/>
            <w:vAlign w:val="bottom"/>
          </w:tcPr>
          <w:p>
            <w:pPr>
              <w:spacing w:after="0"/>
              <w:rPr>
                <w:sz w:val="14"/>
                <w:szCs w:val="14"/>
                <w:color w:val="auto"/>
              </w:rPr>
            </w:pPr>
          </w:p>
        </w:tc>
        <w:tc>
          <w:tcPr>
            <w:tcW w:w="9380" w:type="dxa"/>
            <w:vAlign w:val="bottom"/>
          </w:tcPr>
          <w:p>
            <w:pPr>
              <w:ind w:left="120"/>
              <w:spacing w:after="0"/>
              <w:rPr>
                <w:sz w:val="20"/>
                <w:szCs w:val="20"/>
                <w:color w:val="auto"/>
              </w:rPr>
            </w:pPr>
            <w:r>
              <w:rPr>
                <w:rFonts w:ascii="Arial" w:cs="Arial" w:eastAsia="Arial" w:hAnsi="Arial"/>
                <w:sz w:val="14"/>
                <w:szCs w:val="14"/>
                <w:color w:val="auto"/>
              </w:rPr>
              <w:t>on the date of grant (except in connection with certain awards granted as a substitute or replacement award in connection with certain corporate</w:t>
            </w:r>
          </w:p>
        </w:tc>
      </w:tr>
      <w:tr>
        <w:trPr>
          <w:trHeight w:val="190"/>
        </w:trPr>
        <w:tc>
          <w:tcPr>
            <w:tcW w:w="1640" w:type="dxa"/>
            <w:vAlign w:val="bottom"/>
          </w:tcPr>
          <w:p>
            <w:pPr>
              <w:spacing w:after="0"/>
              <w:rPr>
                <w:sz w:val="16"/>
                <w:szCs w:val="16"/>
                <w:color w:val="auto"/>
              </w:rPr>
            </w:pPr>
          </w:p>
        </w:tc>
        <w:tc>
          <w:tcPr>
            <w:tcW w:w="9380" w:type="dxa"/>
            <w:vAlign w:val="bottom"/>
          </w:tcPr>
          <w:p>
            <w:pPr>
              <w:ind w:left="120"/>
              <w:spacing w:after="0"/>
              <w:rPr>
                <w:sz w:val="20"/>
                <w:szCs w:val="20"/>
                <w:color w:val="auto"/>
              </w:rPr>
            </w:pPr>
            <w:r>
              <w:rPr>
                <w:rFonts w:ascii="Arial" w:cs="Arial" w:eastAsia="Arial" w:hAnsi="Arial"/>
                <w:sz w:val="14"/>
                <w:szCs w:val="14"/>
                <w:color w:val="auto"/>
              </w:rPr>
              <w:t>transactions).</w:t>
            </w:r>
          </w:p>
        </w:tc>
      </w:tr>
      <w:tr>
        <w:trPr>
          <w:trHeight w:val="35"/>
        </w:trPr>
        <w:tc>
          <w:tcPr>
            <w:tcW w:w="1640" w:type="dxa"/>
            <w:vAlign w:val="bottom"/>
            <w:tcBorders>
              <w:bottom w:val="single" w:sz="8" w:color="7F7F7F"/>
            </w:tcBorders>
          </w:tcPr>
          <w:p>
            <w:pPr>
              <w:spacing w:after="0"/>
              <w:rPr>
                <w:sz w:val="3"/>
                <w:szCs w:val="3"/>
                <w:color w:val="auto"/>
              </w:rPr>
            </w:pPr>
          </w:p>
        </w:tc>
        <w:tc>
          <w:tcPr>
            <w:tcW w:w="9380" w:type="dxa"/>
            <w:vAlign w:val="bottom"/>
            <w:tcBorders>
              <w:bottom w:val="single" w:sz="8" w:color="7F7F7F"/>
            </w:tcBorders>
          </w:tcPr>
          <w:p>
            <w:pPr>
              <w:spacing w:after="0"/>
              <w:rPr>
                <w:sz w:val="3"/>
                <w:szCs w:val="3"/>
                <w:color w:val="auto"/>
              </w:rPr>
            </w:pPr>
          </w:p>
        </w:tc>
      </w:tr>
      <w:tr>
        <w:trPr>
          <w:trHeight w:val="626"/>
        </w:trPr>
        <w:tc>
          <w:tcPr>
            <w:tcW w:w="1640" w:type="dxa"/>
            <w:vAlign w:val="bottom"/>
          </w:tcPr>
          <w:p>
            <w:pPr>
              <w:spacing w:after="0"/>
              <w:rPr>
                <w:sz w:val="24"/>
                <w:szCs w:val="24"/>
                <w:color w:val="auto"/>
              </w:rPr>
            </w:pPr>
          </w:p>
        </w:tc>
        <w:tc>
          <w:tcPr>
            <w:tcW w:w="9380" w:type="dxa"/>
            <w:vAlign w:val="bottom"/>
          </w:tcPr>
          <w:p>
            <w:pPr>
              <w:ind w:left="1620"/>
              <w:spacing w:after="0"/>
              <w:rPr>
                <w:sz w:val="20"/>
                <w:szCs w:val="20"/>
                <w:color w:val="auto"/>
              </w:rPr>
            </w:pPr>
            <w:r>
              <w:rPr>
                <w:rFonts w:ascii="Arial" w:cs="Arial" w:eastAsia="Arial" w:hAnsi="Arial"/>
                <w:sz w:val="32"/>
                <w:szCs w:val="32"/>
                <w:b w:val="1"/>
                <w:bCs w:val="1"/>
                <w:color w:val="0B2D71"/>
              </w:rPr>
              <w:t>Key features of the 2022 LTIP</w:t>
            </w:r>
          </w:p>
        </w:tc>
      </w:tr>
    </w:tbl>
    <w:p>
      <w:pPr>
        <w:spacing w:after="0" w:line="200" w:lineRule="exact"/>
        <w:rPr>
          <w:sz w:val="20"/>
          <w:szCs w:val="20"/>
          <w:color w:val="auto"/>
        </w:rPr>
      </w:pPr>
    </w:p>
    <w:p>
      <w:pPr>
        <w:sectPr>
          <w:pgSz w:w="11900" w:h="16838" w:orient="portrait"/>
          <w:cols w:equalWidth="0" w:num="1">
            <w:col w:w="11140"/>
          </w:cols>
          <w:pgMar w:left="320" w:top="455" w:right="439" w:bottom="1440" w:gutter="0" w:footer="0" w:header="0"/>
        </w:sectPr>
      </w:pPr>
    </w:p>
    <w:p>
      <w:pPr>
        <w:spacing w:after="0" w:line="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Share reserve</w:t>
      </w:r>
    </w:p>
    <w:p>
      <w:pPr>
        <w:spacing w:after="0" w:line="112"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Subject to “Changes in Capitalization,” below, the maximum number of shares of Chevron common stock that may be issued pursuant to awards under the 2022 LTIP will be 104 million, plus any shares subject to outstanding awards under the Prior Plan that, on or after May 25, 2022, cease for any reason to be subject to such awards (other than by reason of exercise or settlement of the awards to the extent they are exercised for or settled in vested and nonforfeitable shares), reduced by the number of shares subject to awards granted under the Prior Plan after February 28, 2022. The maximum number of shares that may be issued subject to full-value awards will be 48 million. If the 2022 LTIP is approved by stockholders, we intend to file with the SEC a registration statement on Form S-8 covering the shares authorized for issuance thereunder in the second half of 2022.</w:t>
      </w:r>
    </w:p>
    <w:p>
      <w:pPr>
        <w:spacing w:after="0" w:line="83"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Under the 2022 LTIP, shares covered by an award are counted against the maximum number of shares authorized at the time the award is granted. However, awards denominated in shares but specified to be paid in cash will not be counted against the maximum number of shares authorized. Any shares covered by an award that is terminated by expiration, forfeiture or cancellation without issuance of the shares are credited back</w:t>
      </w:r>
    </w:p>
    <w:p>
      <w:pPr>
        <w:spacing w:after="0" w:line="20" w:lineRule="exact"/>
        <w:rPr>
          <w:sz w:val="20"/>
          <w:szCs w:val="20"/>
          <w:color w:val="auto"/>
        </w:rPr>
      </w:pPr>
      <w:r>
        <w:rPr>
          <w:sz w:val="20"/>
          <w:szCs w:val="20"/>
          <w:color w:val="auto"/>
        </w:rPr>
        <w:br w:type="column"/>
      </w:r>
    </w:p>
    <w:p>
      <w:pPr>
        <w:ind w:left="6" w:right="60"/>
        <w:spacing w:after="0" w:line="256" w:lineRule="auto"/>
        <w:rPr>
          <w:sz w:val="20"/>
          <w:szCs w:val="20"/>
          <w:color w:val="auto"/>
        </w:rPr>
      </w:pPr>
      <w:r>
        <w:rPr>
          <w:rFonts w:ascii="Arial" w:cs="Arial" w:eastAsia="Arial" w:hAnsi="Arial"/>
          <w:sz w:val="16"/>
          <w:szCs w:val="16"/>
          <w:color w:val="auto"/>
        </w:rPr>
        <w:t>to the maximum number of shares authorized and may be made subject to new awards. In addition, the maximum number of shares authorized will not be reduced to reflect any dividends or dividend equivalents credited with respect to an outstanding award that are reinvested into additional shares or credited with respect to any award under the 2022 LTIP.</w:t>
      </w:r>
    </w:p>
    <w:p>
      <w:pPr>
        <w:spacing w:after="0" w:line="72" w:lineRule="exact"/>
        <w:rPr>
          <w:sz w:val="20"/>
          <w:szCs w:val="20"/>
          <w:color w:val="auto"/>
        </w:rPr>
      </w:pPr>
    </w:p>
    <w:p>
      <w:pPr>
        <w:ind w:left="6" w:right="20"/>
        <w:spacing w:after="0" w:line="250" w:lineRule="auto"/>
        <w:rPr>
          <w:sz w:val="20"/>
          <w:szCs w:val="20"/>
          <w:color w:val="auto"/>
        </w:rPr>
      </w:pPr>
      <w:r>
        <w:rPr>
          <w:rFonts w:ascii="Arial" w:cs="Arial" w:eastAsia="Arial" w:hAnsi="Arial"/>
          <w:sz w:val="16"/>
          <w:szCs w:val="16"/>
          <w:color w:val="auto"/>
        </w:rPr>
        <w:t>The following shares subject to awards will not be credited back to the maximum number of shares authorized and may not be made subject to new awards: (i) shares tendered by participants as full or partial payment of the exercise price of stock options, (ii) shares reserved for issuance upon grant of stock appreciation rights if the number of reserved shares exceeds the number of shares actually issued upon exercise of the rights, and</w:t>
      </w:r>
    </w:p>
    <w:p>
      <w:pPr>
        <w:ind w:left="6" w:right="160" w:hanging="6"/>
        <w:spacing w:after="0" w:line="265" w:lineRule="auto"/>
        <w:tabs>
          <w:tab w:leader="none" w:pos="267" w:val="left"/>
        </w:tabs>
        <w:numPr>
          <w:ilvl w:val="0"/>
          <w:numId w:val="130"/>
        </w:numPr>
        <w:rPr>
          <w:rFonts w:ascii="Arial" w:cs="Arial" w:eastAsia="Arial" w:hAnsi="Arial"/>
          <w:sz w:val="16"/>
          <w:szCs w:val="16"/>
          <w:color w:val="auto"/>
        </w:rPr>
      </w:pPr>
      <w:r>
        <w:rPr>
          <w:rFonts w:ascii="Arial" w:cs="Arial" w:eastAsia="Arial" w:hAnsi="Arial"/>
          <w:sz w:val="16"/>
          <w:szCs w:val="16"/>
          <w:color w:val="auto"/>
        </w:rPr>
        <w:t>shares withheld by or remitted to Chevron to satisfy a participant’s tax withholding obligations that may arise in connection with an award.</w:t>
      </w:r>
    </w:p>
    <w:p>
      <w:pPr>
        <w:spacing w:after="0" w:line="64" w:lineRule="exact"/>
        <w:rPr>
          <w:sz w:val="20"/>
          <w:szCs w:val="20"/>
          <w:color w:val="auto"/>
        </w:rPr>
      </w:pPr>
    </w:p>
    <w:p>
      <w:pPr>
        <w:jc w:val="both"/>
        <w:ind w:left="6" w:right="140"/>
        <w:spacing w:after="0" w:line="286" w:lineRule="auto"/>
        <w:rPr>
          <w:sz w:val="20"/>
          <w:szCs w:val="20"/>
          <w:color w:val="auto"/>
        </w:rPr>
      </w:pPr>
      <w:r>
        <w:rPr>
          <w:rFonts w:ascii="Arial" w:cs="Arial" w:eastAsia="Arial" w:hAnsi="Arial"/>
          <w:sz w:val="16"/>
          <w:szCs w:val="16"/>
          <w:color w:val="auto"/>
        </w:rPr>
        <w:t>Common stock issued under the 2022 LTIP may be either authorized and unissued shares or issued shares that have been reacquired by Chevron.</w:t>
      </w:r>
    </w:p>
    <w:p>
      <w:pPr>
        <w:spacing w:after="0" w:line="33"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B2D71"/>
        </w:rPr>
        <w:t>Ten-year term</w:t>
      </w:r>
    </w:p>
    <w:p>
      <w:pPr>
        <w:spacing w:after="0" w:line="112" w:lineRule="exact"/>
        <w:rPr>
          <w:sz w:val="20"/>
          <w:szCs w:val="20"/>
          <w:color w:val="auto"/>
        </w:rPr>
      </w:pPr>
    </w:p>
    <w:p>
      <w:pPr>
        <w:ind w:left="6" w:right="20"/>
        <w:spacing w:after="0" w:line="286" w:lineRule="auto"/>
        <w:rPr>
          <w:sz w:val="20"/>
          <w:szCs w:val="20"/>
          <w:color w:val="auto"/>
        </w:rPr>
      </w:pPr>
      <w:r>
        <w:rPr>
          <w:rFonts w:ascii="Arial" w:cs="Arial" w:eastAsia="Arial" w:hAnsi="Arial"/>
          <w:sz w:val="16"/>
          <w:szCs w:val="16"/>
          <w:color w:val="auto"/>
        </w:rPr>
        <w:t>The 2022 LTIP will expire 10 years from the date it is approved by stockholders (unless earlier terminated by the Board).</w:t>
      </w:r>
    </w:p>
    <w:p>
      <w:pPr>
        <w:spacing w:after="0" w:line="525" w:lineRule="exact"/>
        <w:rPr>
          <w:sz w:val="20"/>
          <w:szCs w:val="20"/>
          <w:color w:val="auto"/>
        </w:rPr>
      </w:pPr>
    </w:p>
    <w:p>
      <w:pPr>
        <w:sectPr>
          <w:pgSz w:w="11900" w:h="16838" w:orient="portrait"/>
          <w:cols w:equalWidth="0" w:num="2">
            <w:col w:w="5400" w:space="334"/>
            <w:col w:w="5406"/>
          </w:cols>
          <w:pgMar w:left="320" w:top="455" w:right="439" w:bottom="1440" w:gutter="0" w:footer="0" w:header="0"/>
          <w:type w:val="continuous"/>
        </w:sectPr>
      </w:pPr>
    </w:p>
    <w:p>
      <w:pPr>
        <w:spacing w:after="0" w:line="58"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Chevron Corporation – 2022 Proxy Statement</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84</w:t>
      </w:r>
    </w:p>
    <w:p>
      <w:pPr>
        <w:sectPr>
          <w:pgSz w:w="11900" w:h="16838" w:orient="portrait"/>
          <w:cols w:equalWidth="0" w:num="1">
            <w:col w:w="11140"/>
          </w:cols>
          <w:pgMar w:left="320" w:top="455" w:right="439" w:bottom="1440" w:gutter="0" w:footer="0" w:header="0"/>
          <w:type w:val="continuous"/>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208280</wp:posOffset>
            </wp:positionV>
            <wp:extent cx="3694430" cy="1460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694430" cy="146050"/>
                    </a:xfrm>
                    <a:prstGeom prst="rect">
                      <a:avLst/>
                    </a:prstGeom>
                    <a:noFill/>
                  </pic:spPr>
                </pic:pic>
              </a:graphicData>
            </a:graphic>
          </wp:anchor>
        </w:drawing>
      </w:r>
    </w:p>
    <w:p>
      <w:pPr>
        <w:spacing w:after="0" w:line="339"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FFFFFF"/>
        </w:rPr>
        <w:t>Board proposal to approve 2022 Long-Term Incentive Plan of Chevron Corporation</w:t>
      </w:r>
    </w:p>
    <w:p>
      <w:pPr>
        <w:sectPr>
          <w:pgSz w:w="11900" w:h="16838" w:orient="portrait"/>
          <w:cols w:equalWidth="0" w:num="1">
            <w:col w:w="11100"/>
          </w:cols>
          <w:pgMar w:left="320" w:top="455" w:right="479" w:bottom="1440" w:gutter="0" w:footer="0" w:header="0"/>
        </w:sect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Minimum vesting requirement</w:t>
      </w:r>
    </w:p>
    <w:p>
      <w:pPr>
        <w:spacing w:after="0" w:line="112"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auto"/>
        </w:rPr>
        <w:t>Except for up to 5% of the aggregate shares authorized under the 2022 LTIP, awards cannot be exercisable, vest, or be settled, in whole or in part, before the completion of at least one year of continued employment with Chevron after the date the award is granted (except (i) with respect to awards granted in connection with a merger or other acquisition as a substitute or replacement awards, and (ii) upon a change in control where the participant qualifies for severance pay under a change in control severance pay program maintained by Chevron).</w:t>
      </w:r>
    </w:p>
    <w:p>
      <w:pPr>
        <w:spacing w:after="0" w:line="60" w:lineRule="exact"/>
        <w:rPr>
          <w:sz w:val="20"/>
          <w:szCs w:val="20"/>
          <w:color w:val="auto"/>
        </w:rPr>
      </w:pPr>
    </w:p>
    <w:p>
      <w:pPr>
        <w:ind w:left="120" w:right="120"/>
        <w:spacing w:after="0" w:line="272" w:lineRule="auto"/>
        <w:rPr>
          <w:sz w:val="20"/>
          <w:szCs w:val="20"/>
          <w:color w:val="auto"/>
        </w:rPr>
      </w:pPr>
      <w:r>
        <w:rPr>
          <w:rFonts w:ascii="Arial" w:cs="Arial" w:eastAsia="Arial" w:hAnsi="Arial"/>
          <w:sz w:val="22"/>
          <w:szCs w:val="22"/>
          <w:b w:val="1"/>
          <w:bCs w:val="1"/>
          <w:color w:val="0B2D71"/>
        </w:rPr>
        <w:t>No dividends or dividend equivalents on unvested awards</w:t>
      </w:r>
    </w:p>
    <w:p>
      <w:pPr>
        <w:spacing w:after="0" w:line="35" w:lineRule="exact"/>
        <w:rPr>
          <w:sz w:val="20"/>
          <w:szCs w:val="20"/>
          <w:color w:val="auto"/>
        </w:rPr>
      </w:pPr>
    </w:p>
    <w:p>
      <w:pPr>
        <w:ind w:left="120" w:right="420"/>
        <w:spacing w:after="0" w:line="286" w:lineRule="auto"/>
        <w:rPr>
          <w:sz w:val="20"/>
          <w:szCs w:val="20"/>
          <w:color w:val="auto"/>
        </w:rPr>
      </w:pPr>
      <w:r>
        <w:rPr>
          <w:rFonts w:ascii="Arial" w:cs="Arial" w:eastAsia="Arial" w:hAnsi="Arial"/>
          <w:sz w:val="16"/>
          <w:szCs w:val="16"/>
          <w:color w:val="auto"/>
        </w:rPr>
        <w:t>Dividends and dividend equivalents will only be paid when and if the underlying award vests.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rescind rules relating to implementation of the 2022 LTIP; select which eligible participants shall be granted awards; determine the number of shares or share equivalents subject to awards; determine the award price, if any; determine the vesting or duration of awards; determine other terms and conditions of awards; and make all other determinations necessary or advisable for the administration of the 2022 LTIP.</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0B2D71"/>
        </w:rPr>
        <w:t>Maximum awards under the 2022 LTIP</w:t>
      </w:r>
    </w:p>
    <w:p>
      <w:pPr>
        <w:spacing w:after="0" w:line="11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value of all nonstock awards granted to any individual in a single calendar year may not exceed $4 million. The maximum number of shares that may be granted in the form of stock options, stock appreciation rights, restricted stock, performance shares, restricted stock units and other share-based awards under the 2022 LTIP to any individual in a single calendar year may not exceed 4 million shares, subject to adjustments for certain recapitalization events specified in the 2022 LTIP.</w:t>
      </w:r>
    </w:p>
    <w:p>
      <w:pPr>
        <w:spacing w:after="0" w:line="58" w:lineRule="exact"/>
        <w:rPr>
          <w:sz w:val="20"/>
          <w:szCs w:val="20"/>
          <w:color w:val="auto"/>
        </w:rPr>
      </w:pPr>
    </w:p>
    <w:p>
      <w:pPr>
        <w:sectPr>
          <w:pgSz w:w="11900" w:h="16838" w:orient="portrait"/>
          <w:cols w:equalWidth="0" w:num="2">
            <w:col w:w="5400" w:space="340"/>
            <w:col w:w="5360"/>
          </w:cols>
          <w:pgMar w:left="320" w:top="455" w:right="479" w:bottom="1440" w:gutter="0" w:footer="0" w:header="0"/>
          <w:type w:val="continuous"/>
        </w:sectPr>
      </w:pPr>
    </w:p>
    <w:p>
      <w:pPr>
        <w:spacing w:after="0" w:line="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New plan benefits</w:t>
      </w:r>
    </w:p>
    <w:p>
      <w:pPr>
        <w:spacing w:after="0" w:line="112" w:lineRule="exact"/>
        <w:rPr>
          <w:sz w:val="20"/>
          <w:szCs w:val="20"/>
          <w:color w:val="auto"/>
        </w:rPr>
      </w:pPr>
    </w:p>
    <w:p>
      <w:pPr>
        <w:ind w:left="120" w:right="80"/>
        <w:spacing w:after="0" w:line="252" w:lineRule="auto"/>
        <w:rPr>
          <w:sz w:val="20"/>
          <w:szCs w:val="20"/>
          <w:color w:val="auto"/>
        </w:rPr>
      </w:pPr>
      <w:r>
        <w:rPr>
          <w:rFonts w:ascii="Arial" w:cs="Arial" w:eastAsia="Arial" w:hAnsi="Arial"/>
          <w:sz w:val="16"/>
          <w:szCs w:val="16"/>
          <w:color w:val="auto"/>
        </w:rPr>
        <w:t>It is not possible at this time to determine awards that will be made in the event the 2022 LTIP is approved by stockholders. However, it is anticipated that awards will be similar to those granted under the Prior Plan in prior years. You can learn more about the Prior Plan and awards granted under the Prior Plan to our named executive officers in the “Compensation Discussion and Analysis” in this Proxy Statement. As of March 30, 2022, the closing price of a share of Chevron common stock was $165.48.</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Other material features of the 2022 LTIP</w:t>
      </w:r>
    </w:p>
    <w:p>
      <w:pPr>
        <w:spacing w:after="0" w:line="112"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The following is a description of the material features of the 2022 LTIP not otherwise discussed above. This description is a summary only and does not purport to be complete, and it is subject to, and qualified in its entirety by, the full text of the 2022 LTIP, which is incorporated by reference to Appendix A to this Proxy Statement. A copy of the 2022 LTIP can also be obtained at no charge upon request from Chevron’s Corporate Secretary and Chief Governance Officer.</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Purpose</w:t>
      </w:r>
    </w:p>
    <w:p>
      <w:pPr>
        <w:spacing w:after="0" w:line="112"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color w:val="auto"/>
        </w:rPr>
        <w:t>The purpose of the 2022 LTIP is to encourage performance that drives stockholder value over the long-term, give participants a meaningful equity stake in our business, and align stockholder value and Chevron’s long-term employment model.</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Administration</w:t>
      </w:r>
    </w:p>
    <w:p>
      <w:pPr>
        <w:spacing w:after="0" w:line="112" w:lineRule="exact"/>
        <w:rPr>
          <w:sz w:val="20"/>
          <w:szCs w:val="20"/>
          <w:color w:val="auto"/>
        </w:rPr>
      </w:pPr>
    </w:p>
    <w:p>
      <w:pPr>
        <w:ind w:left="120" w:right="680"/>
        <w:spacing w:after="0" w:line="286" w:lineRule="auto"/>
        <w:rPr>
          <w:sz w:val="20"/>
          <w:szCs w:val="20"/>
          <w:color w:val="auto"/>
        </w:rPr>
      </w:pPr>
      <w:r>
        <w:rPr>
          <w:rFonts w:ascii="Arial" w:cs="Arial" w:eastAsia="Arial" w:hAnsi="Arial"/>
          <w:sz w:val="16"/>
          <w:szCs w:val="16"/>
          <w:color w:val="auto"/>
        </w:rPr>
        <w:t>The 2022 LTIP will be administered by the Board’s Management Compensation Committee (the “Committee”).</w:t>
      </w:r>
    </w:p>
    <w:p>
      <w:pPr>
        <w:spacing w:after="0" w:line="48" w:lineRule="exact"/>
        <w:rPr>
          <w:sz w:val="20"/>
          <w:szCs w:val="20"/>
          <w:color w:val="auto"/>
        </w:rPr>
      </w:pPr>
    </w:p>
    <w:p>
      <w:pPr>
        <w:ind w:left="120" w:right="240"/>
        <w:spacing w:after="0" w:line="266" w:lineRule="auto"/>
        <w:rPr>
          <w:sz w:val="20"/>
          <w:szCs w:val="20"/>
          <w:color w:val="auto"/>
        </w:rPr>
      </w:pPr>
      <w:r>
        <w:rPr>
          <w:rFonts w:ascii="Arial" w:cs="Arial" w:eastAsia="Arial" w:hAnsi="Arial"/>
          <w:sz w:val="16"/>
          <w:szCs w:val="16"/>
          <w:color w:val="auto"/>
        </w:rPr>
        <w:t>Subject to the provisions of the 2022 LTIP, the Committee has the authority to, among other things, construe and interpret the 2022 LTIP; promulgate, amend, interpret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0B2D71"/>
        </w:rPr>
        <w:t>Types of awards</w:t>
      </w:r>
    </w:p>
    <w:p>
      <w:pPr>
        <w:spacing w:after="0" w:line="112"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Awards to eligible employees under the 2022 LTIP can be in the form of nonstatutory stock options, stock appreciation rights, restricted stock, restricted stock units, other share-based awards (e.g., performance shares) and nonstock awards. Stock options, performance shares and restricted stock units are the types of awards historically granted most frequently under the 2022 LTIP. Participants may elect to defer receipt of awards, other than stock options and stock appreciation rights, subject to the terms of the Chevron Corporation Deferred Compensation Plan for Management Employees II (and any successor plan) and its rules.</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0B2D71"/>
        </w:rPr>
        <w:t>Stock options</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color w:val="0B2D71"/>
        </w:rPr>
        <w:t>Grants</w:t>
      </w:r>
    </w:p>
    <w:p>
      <w:pPr>
        <w:spacing w:after="0" w:line="11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Only nonstatutory stock options may be granted under the 2022 LTIP. Subject to the limitations set forth in the 2022 LTIP, the Committee has discretion to determine the number and terms of the stock option awarded, including, without limitation, the vesting schedule to be in effect for the stock option and the maximum term for which any stock option is to remain outstanding.</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color w:val="0B2D71"/>
        </w:rPr>
        <w:t>Exercisability and term</w:t>
      </w:r>
    </w:p>
    <w:p>
      <w:pPr>
        <w:spacing w:after="0" w:line="11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Committee will determine the time when any stock option becomes exercisable and the maximum term for any stock option, provided, however, that no stock option will be exercisable before the completion of not less than one year of continued employment with Chevron or a subsidiary from the date the stock option is granted, subject to certain limited exceptions. No stock option will be exercisable more than 10 years after the date it is granted.</w:t>
      </w:r>
    </w:p>
    <w:p>
      <w:pPr>
        <w:spacing w:after="0" w:line="831" w:lineRule="exact"/>
        <w:rPr>
          <w:sz w:val="20"/>
          <w:szCs w:val="20"/>
          <w:color w:val="auto"/>
        </w:rPr>
      </w:pPr>
    </w:p>
    <w:p>
      <w:pPr>
        <w:sectPr>
          <w:pgSz w:w="11900" w:h="16838" w:orient="portrait"/>
          <w:cols w:equalWidth="0" w:num="2">
            <w:col w:w="5400" w:space="340"/>
            <w:col w:w="5360"/>
          </w:cols>
          <w:pgMar w:left="320" w:top="455" w:right="479" w:bottom="1440" w:gutter="0" w:footer="0" w:header="0"/>
          <w:type w:val="continuous"/>
        </w:sectPr>
      </w:pPr>
    </w:p>
    <w:p>
      <w:pPr>
        <w:spacing w:after="0" w:line="48"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Chevron Corporation – 2022 Proxy Statement</w:t>
      </w:r>
    </w:p>
    <w:p>
      <w:pPr>
        <w:spacing w:after="0" w:line="7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85</w:t>
      </w:r>
    </w:p>
    <w:p>
      <w:pPr>
        <w:sectPr>
          <w:pgSz w:w="11900" w:h="16838" w:orient="portrait"/>
          <w:cols w:equalWidth="0" w:num="1">
            <w:col w:w="11100"/>
          </w:cols>
          <w:pgMar w:left="320" w:top="455" w:right="479" w:bottom="1440" w:gutter="0" w:footer="0" w:header="0"/>
          <w:type w:val="continuous"/>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5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shd w:val="clear" w:color="auto" w:fill="0B2D71"/>
        </w:rPr>
        <w:t>Board proposal to approve 2022 Long-Term Incentive Plan of Chevron Corporation</w:t>
      </w:r>
    </w:p>
    <w:p>
      <w:pPr>
        <w:sectPr>
          <w:pgSz w:w="11900" w:h="16838" w:orient="portrait"/>
          <w:cols w:equalWidth="0" w:num="1">
            <w:col w:w="11100"/>
          </w:cols>
          <w:pgMar w:left="320" w:top="455" w:right="479" w:bottom="1440" w:gutter="0" w:footer="0" w:header="0"/>
        </w:sectPr>
      </w:pPr>
    </w:p>
    <w:p>
      <w:pPr>
        <w:spacing w:after="0" w:line="213" w:lineRule="exact"/>
        <w:rPr>
          <w:sz w:val="20"/>
          <w:szCs w:val="20"/>
          <w:color w:val="auto"/>
        </w:rPr>
      </w:pPr>
    </w:p>
    <w:p>
      <w:pPr>
        <w:ind w:left="120"/>
        <w:spacing w:after="0"/>
        <w:rPr>
          <w:sz w:val="20"/>
          <w:szCs w:val="20"/>
          <w:color w:val="auto"/>
        </w:rPr>
      </w:pPr>
      <w:r>
        <w:rPr>
          <w:rFonts w:ascii="Arial" w:cs="Arial" w:eastAsia="Arial" w:hAnsi="Arial"/>
          <w:sz w:val="22"/>
          <w:szCs w:val="22"/>
          <w:color w:val="0B2D71"/>
        </w:rPr>
        <w:t>Termination of employment</w:t>
      </w:r>
    </w:p>
    <w:p>
      <w:pPr>
        <w:spacing w:after="0" w:line="110" w:lineRule="exact"/>
        <w:rPr>
          <w:sz w:val="20"/>
          <w:szCs w:val="20"/>
          <w:color w:val="auto"/>
        </w:rPr>
      </w:pPr>
    </w:p>
    <w:p>
      <w:pPr>
        <w:ind w:left="120"/>
        <w:spacing w:after="0" w:line="255" w:lineRule="auto"/>
        <w:rPr>
          <w:sz w:val="20"/>
          <w:szCs w:val="20"/>
          <w:color w:val="auto"/>
        </w:rPr>
      </w:pPr>
      <w:r>
        <w:rPr>
          <w:rFonts w:ascii="Arial" w:cs="Arial" w:eastAsia="Arial" w:hAnsi="Arial"/>
          <w:sz w:val="16"/>
          <w:szCs w:val="16"/>
          <w:color w:val="auto"/>
        </w:rPr>
        <w:t>Upon cessation of employment, an optionee has a limited period of time in which to exercise outstanding stock options for any shares in which the optionee is vested at that time. This period will be specified by the Committee, need not be uniform among all options issued under the 2022 LTIP, and may reflect distinctions based on the termination circumstances.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22"/>
          <w:szCs w:val="22"/>
          <w:color w:val="0B2D71"/>
        </w:rPr>
        <w:t>Exercise price and payment of exercise price</w:t>
      </w:r>
    </w:p>
    <w:p>
      <w:pPr>
        <w:spacing w:after="0" w:line="110" w:lineRule="exact"/>
        <w:rPr>
          <w:sz w:val="20"/>
          <w:szCs w:val="20"/>
          <w:color w:val="auto"/>
        </w:rPr>
      </w:pPr>
    </w:p>
    <w:p>
      <w:pPr>
        <w:ind w:left="120" w:right="120"/>
        <w:spacing w:after="0" w:line="253" w:lineRule="auto"/>
        <w:rPr>
          <w:sz w:val="20"/>
          <w:szCs w:val="20"/>
          <w:color w:val="auto"/>
        </w:rPr>
      </w:pPr>
      <w:r>
        <w:rPr>
          <w:rFonts w:ascii="Arial" w:cs="Arial" w:eastAsia="Arial" w:hAnsi="Arial"/>
          <w:sz w:val="16"/>
          <w:szCs w:val="16"/>
          <w:color w:val="auto"/>
        </w:rPr>
        <w:t>Each stock option will have an exercise price per share equal to the fair market value of a share of common stock on the date of grant. Each stock option may be exercised, in whole or in part, by providing notice of exercise in the manner prescribed by Chevron. Payment shall accompany such notice and may be made in cash or in such other form as approved by the Committee, consistent with applicable laws, regulations and rules.</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22"/>
          <w:szCs w:val="22"/>
          <w:color w:val="0B2D71"/>
        </w:rPr>
        <w:t>Assignability and transferability</w:t>
      </w:r>
    </w:p>
    <w:p>
      <w:pPr>
        <w:spacing w:after="0" w:line="110" w:lineRule="exact"/>
        <w:rPr>
          <w:sz w:val="20"/>
          <w:szCs w:val="20"/>
          <w:color w:val="auto"/>
        </w:rPr>
      </w:pPr>
    </w:p>
    <w:p>
      <w:pPr>
        <w:ind w:left="120" w:right="240"/>
        <w:spacing w:after="0" w:line="266" w:lineRule="auto"/>
        <w:rPr>
          <w:sz w:val="20"/>
          <w:szCs w:val="20"/>
          <w:color w:val="auto"/>
        </w:rPr>
      </w:pPr>
      <w:r>
        <w:rPr>
          <w:rFonts w:ascii="Arial" w:cs="Arial" w:eastAsia="Arial" w:hAnsi="Arial"/>
          <w:sz w:val="16"/>
          <w:szCs w:val="16"/>
          <w:color w:val="auto"/>
        </w:rPr>
        <w:t>A stock option may not be assigned or transferred except as otherwise determined by the Committee or upon the optionee’s death to a designated beneficiary.</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Stock appreciation rights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22"/>
          <w:szCs w:val="22"/>
          <w:color w:val="0B2D71"/>
        </w:rPr>
        <w:t>Grants</w:t>
      </w:r>
    </w:p>
    <w:p>
      <w:pPr>
        <w:spacing w:after="0" w:line="110"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color w:val="auto"/>
        </w:rPr>
        <w:t>In connection with the grant of any stock option under the 2022 LTIP, the Committee may also grant a stock appreciation right (SAR). A SAR gives a participant the right to surrender all or a part of the unexercised portion of a stock option, exercise the SAR, and obtain payment of an amount equal to (or less than, if the Committee so determines at the time of grant) the difference between the aggregate exercise price of the shares subject to the stock option and the market price of the shares on the date the stock option is surrendered.</w:t>
      </w:r>
    </w:p>
    <w:p>
      <w:pPr>
        <w:spacing w:after="0" w:line="75"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The Committee may also grant SARs not in connection with the grant of a stock option. The value of the stand-alone SAR is the difference between the grant date price subject to the SAR and the market price of Chevron common stock on the date the SAR is exercised.</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22"/>
          <w:szCs w:val="22"/>
          <w:color w:val="0B2D71"/>
        </w:rPr>
        <w:t>Exercisability and term</w:t>
      </w:r>
    </w:p>
    <w:p>
      <w:pPr>
        <w:spacing w:after="0" w:line="110"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A SAR may be exercised only during the time specified by the Committee at the time the SAR is granted. No SAR will be exercisable before the completion of not less than one year of continued employment with Chevron or a subsidiary from the date the SAR is granted, subject to certain limited exceptions. When the SAR granted in connection with a stock option is exercised, the underlying stock option will be deemed to have been exercised. No SAR will be exercisable more than 10 years after the date it is granted.</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0B2D71"/>
        </w:rPr>
        <w:t>Exercise price and payment of exercise price</w:t>
      </w:r>
    </w:p>
    <w:p>
      <w:pPr>
        <w:spacing w:after="0" w:line="110"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Each SAR will have an exercise price per share equal to the fair market value of a share of common stock on the date of grant. The payment of a SAR may be made in shares of common stock or in cash or partly in cash and partly in shares, as determined by the Committee.</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0B2D71"/>
        </w:rPr>
        <w:t>Restricted stock</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color w:val="0B2D71"/>
        </w:rPr>
        <w:t>Grants</w:t>
      </w:r>
    </w:p>
    <w:p>
      <w:pPr>
        <w:spacing w:after="0" w:line="11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Committee may make restricted stock awards to eligible employees and has complete discretion to determine the number of shares subject to and the terms of such awards. The Committee may condition the grant of a restricted stock award upon the attainment of specified performance goals. Restricted stock may be granted alone or in combination with other awards under the 2022 LTIP.</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color w:val="0B2D71"/>
        </w:rPr>
        <w:t>Restriction period</w:t>
      </w:r>
    </w:p>
    <w:p>
      <w:pPr>
        <w:spacing w:after="0" w:line="110"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period of time commencing with the date of the award of restricted stock and ending with the date on which all shares of restricted stock in such award either vest or are forfeited is known as the restriction period. Except for certain limited exceptions, the restriction period on any awards of restricted stock may not lapse before the completion of a specified period of not less than one year of continued employment following the date of grant.</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color w:val="0B2D71"/>
        </w:rPr>
        <w:t>Stockholder rights</w:t>
      </w:r>
    </w:p>
    <w:p>
      <w:pPr>
        <w:spacing w:after="0" w:line="11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Holders of restricted stock awards will have the same voting, dividend and other rights as Chevron’s other stockholders; provided, however, that any dividends will be subject to the same terms, including vesting, as the underlying award.</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0B2D71"/>
        </w:rPr>
        <w:t>Assignability and transferability</w:t>
      </w:r>
    </w:p>
    <w:p>
      <w:pPr>
        <w:spacing w:after="0" w:line="110"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A restricted stock award may not be assigned or transferred except as otherwise determined by the Committee or upon the recipient’s death to a designated beneficiary.</w:t>
      </w:r>
    </w:p>
    <w:p>
      <w:pPr>
        <w:spacing w:after="0" w:line="49" w:lineRule="exact"/>
        <w:rPr>
          <w:sz w:val="20"/>
          <w:szCs w:val="20"/>
          <w:color w:val="auto"/>
        </w:rPr>
      </w:pPr>
    </w:p>
    <w:p>
      <w:pPr>
        <w:ind w:right="540"/>
        <w:spacing w:after="0" w:line="272" w:lineRule="auto"/>
        <w:rPr>
          <w:sz w:val="20"/>
          <w:szCs w:val="20"/>
          <w:color w:val="auto"/>
        </w:rPr>
      </w:pPr>
      <w:r>
        <w:rPr>
          <w:rFonts w:ascii="Arial" w:cs="Arial" w:eastAsia="Arial" w:hAnsi="Arial"/>
          <w:sz w:val="22"/>
          <w:szCs w:val="22"/>
          <w:b w:val="1"/>
          <w:bCs w:val="1"/>
          <w:color w:val="0B2D71"/>
        </w:rPr>
        <w:t>Performance shares, restricted stock units and other share-based awards</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color w:val="0B2D71"/>
        </w:rPr>
        <w:t>Grants</w:t>
      </w:r>
    </w:p>
    <w:p>
      <w:pPr>
        <w:spacing w:after="0" w:line="110"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Committee may make awards of performance shares, restricted stock units and other share-based awards and has discretion to determine the number of shares subject to and the terms of such awards. At the time of grant, the Committee will determine the number of shares covered by the award, the restriction or performance period, and the performance goal or goals to be achieved, if any. The Committee may condition the grant of performance shares, restricted stock units and other share-based awards upon the attainment of specified performance goals. Awards of performance shares, restricted stock units and other share-based awards may be granted alone or in combination with</w:t>
      </w:r>
    </w:p>
    <w:p>
      <w:pPr>
        <w:spacing w:after="0" w:line="200" w:lineRule="exact"/>
        <w:rPr>
          <w:sz w:val="20"/>
          <w:szCs w:val="20"/>
          <w:color w:val="auto"/>
        </w:rPr>
      </w:pPr>
    </w:p>
    <w:p>
      <w:pPr>
        <w:sectPr>
          <w:pgSz w:w="11900" w:h="16838" w:orient="portrait"/>
          <w:cols w:equalWidth="0" w:num="2">
            <w:col w:w="5400" w:space="340"/>
            <w:col w:w="5360"/>
          </w:cols>
          <w:pgMar w:left="320" w:top="455" w:right="479" w:bottom="1440" w:gutter="0" w:footer="0" w:header="0"/>
          <w:type w:val="continuous"/>
        </w:sectPr>
      </w:pPr>
    </w:p>
    <w:p>
      <w:pPr>
        <w:spacing w:after="0" w:line="67"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Chevron Corporation – 2022 Proxy Statement</w:t>
      </w:r>
    </w:p>
    <w:p>
      <w:pPr>
        <w:spacing w:after="0" w:line="7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86</w:t>
      </w:r>
    </w:p>
    <w:p>
      <w:pPr>
        <w:sectPr>
          <w:pgSz w:w="11900" w:h="16838" w:orient="portrait"/>
          <w:cols w:equalWidth="0" w:num="1">
            <w:col w:w="11100"/>
          </w:cols>
          <w:pgMar w:left="320" w:top="455" w:right="479" w:bottom="1440" w:gutter="0" w:footer="0" w:header="0"/>
          <w:type w:val="continuous"/>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208280</wp:posOffset>
            </wp:positionV>
            <wp:extent cx="3694430" cy="1454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694430" cy="145415"/>
                    </a:xfrm>
                    <a:prstGeom prst="rect">
                      <a:avLst/>
                    </a:prstGeom>
                    <a:noFill/>
                  </pic:spPr>
                </pic:pic>
              </a:graphicData>
            </a:graphic>
          </wp:anchor>
        </w:drawing>
      </w:r>
    </w:p>
    <w:p>
      <w:pPr>
        <w:spacing w:after="0" w:line="339"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FFFFFF"/>
        </w:rPr>
        <w:t>Board proposal to approve 2022 Long-Term Incentive Plan of Chevron Corporation</w:t>
      </w:r>
    </w:p>
    <w:p>
      <w:pPr>
        <w:sectPr>
          <w:pgSz w:w="11900" w:h="16838" w:orient="portrait"/>
          <w:cols w:equalWidth="0" w:num="1">
            <w:col w:w="11100"/>
          </w:cols>
          <w:pgMar w:left="320" w:top="455" w:right="479" w:bottom="1440" w:gutter="0" w:footer="0" w:header="0"/>
        </w:sectPr>
      </w:pPr>
    </w:p>
    <w:p>
      <w:pPr>
        <w:spacing w:after="0" w:line="226"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other awards under the 2022 LTIP. Subject to certain limited exceptions, such awards may not vest prior to the one-year anniversary of the date of grant. Any dividends or dividend equivalents with respect to such awards will be subject to the same terms as the underlying award, including vesting terms.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22"/>
          <w:szCs w:val="22"/>
          <w:color w:val="0B2D71"/>
        </w:rPr>
        <w:t>Assignability and transferability</w:t>
      </w:r>
    </w:p>
    <w:p>
      <w:pPr>
        <w:spacing w:after="0" w:line="110"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color w:val="auto"/>
        </w:rPr>
        <w:t>An award of performance shares, restricted stock units and other share-based awards may not be assigned or transferred except as otherwise determined by the Committee or upon the recipient’s death to a designated beneficiary.</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Performance goals in the 2022 LTIP</w:t>
      </w:r>
    </w:p>
    <w:p>
      <w:pPr>
        <w:spacing w:after="0" w:line="112" w:lineRule="exact"/>
        <w:rPr>
          <w:sz w:val="20"/>
          <w:szCs w:val="20"/>
          <w:color w:val="auto"/>
        </w:rPr>
      </w:pPr>
    </w:p>
    <w:p>
      <w:pPr>
        <w:ind w:left="120" w:right="60"/>
        <w:spacing w:after="0" w:line="249" w:lineRule="auto"/>
        <w:rPr>
          <w:sz w:val="20"/>
          <w:szCs w:val="20"/>
          <w:color w:val="auto"/>
        </w:rPr>
      </w:pPr>
      <w:r>
        <w:rPr>
          <w:rFonts w:ascii="Arial" w:cs="Arial" w:eastAsia="Arial" w:hAnsi="Arial"/>
          <w:sz w:val="16"/>
          <w:szCs w:val="16"/>
          <w:color w:val="auto"/>
        </w:rPr>
        <w:t>The Committee may condition the payment of awards under the 2022 LTIP upon achievement of certain performance goals or criteria that are specified by the Committee at or about the time the award is granted. These performance goals or criteria can include: (i) earnings or earnings per share, (ii) EBITDA, (iii) stock price, (iv) return on equity, (v) total stockholder return, (vi) return on capital, (vii) return on investment, (viii) return on capital employed, (ix) return on assets or net assets,</w:t>
      </w:r>
    </w:p>
    <w:p>
      <w:pPr>
        <w:spacing w:after="0" w:line="3" w:lineRule="exact"/>
        <w:rPr>
          <w:sz w:val="20"/>
          <w:szCs w:val="20"/>
          <w:color w:val="auto"/>
        </w:rPr>
      </w:pPr>
    </w:p>
    <w:p>
      <w:pPr>
        <w:ind w:left="120" w:right="40" w:hanging="4"/>
        <w:spacing w:after="0" w:line="246" w:lineRule="auto"/>
        <w:tabs>
          <w:tab w:leader="none" w:pos="354" w:val="left"/>
        </w:tabs>
        <w:numPr>
          <w:ilvl w:val="0"/>
          <w:numId w:val="131"/>
        </w:numPr>
        <w:rPr>
          <w:rFonts w:ascii="Arial" w:cs="Arial" w:eastAsia="Arial" w:hAnsi="Arial"/>
          <w:sz w:val="16"/>
          <w:szCs w:val="16"/>
          <w:color w:val="auto"/>
        </w:rPr>
      </w:pPr>
      <w:r>
        <w:rPr>
          <w:rFonts w:ascii="Arial" w:cs="Arial" w:eastAsia="Arial" w:hAnsi="Arial"/>
          <w:sz w:val="16"/>
          <w:szCs w:val="16"/>
          <w:color w:val="auto"/>
        </w:rPr>
        <w:t>market capitalization, (xi) economic value added, (xii) debt leverage (debt to capital), (xiii) revenue, (xiv) income or net income, (xv) operating income, (xvi) operating profit or net operating profit, (xvii) operating margin or profit margin, (xviii) return on operating revenue, (ixx) cash from operations, (xx) operating ratio, (xxi) operating revenue,</w:t>
      </w:r>
    </w:p>
    <w:p>
      <w:pPr>
        <w:spacing w:after="0" w:line="2" w:lineRule="exact"/>
        <w:rPr>
          <w:rFonts w:ascii="Arial" w:cs="Arial" w:eastAsia="Arial" w:hAnsi="Arial"/>
          <w:sz w:val="16"/>
          <w:szCs w:val="16"/>
          <w:color w:val="auto"/>
        </w:rPr>
      </w:pPr>
    </w:p>
    <w:p>
      <w:pPr>
        <w:ind w:left="120" w:right="40" w:hanging="4"/>
        <w:spacing w:after="0" w:line="256" w:lineRule="auto"/>
        <w:tabs>
          <w:tab w:leader="none" w:pos="50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operating expense, (xxiii) cash flow, each with respect to Chevron and/or one or more of its affiliates or operating units, and (xxiv) any other measure or metric the Committee deems appropriate.</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Other 2022 LTIP provisions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22"/>
          <w:szCs w:val="22"/>
          <w:color w:val="0B2D71"/>
        </w:rPr>
        <w:t>Change-in-Control</w:t>
      </w:r>
    </w:p>
    <w:p>
      <w:pPr>
        <w:spacing w:after="0" w:line="110"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color w:val="auto"/>
        </w:rPr>
        <w:t>Within 30 days following a “change-in-control,” as defined in the 2022 LTIP, the Committee will appoint an independent organization that shall thereafter administer the 2022 LTIP. Pursuant to Article VI of Chevron’s By-Laws (“Change in Control Benefit Protection”), in the event of a change in control, Chevron shall cause any surviving corporation (or any other successor to Chevron’s business and assets) to assume any outstanding and unvested obligations under the 2022 LTIP and make effective provision for such awards.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22"/>
          <w:szCs w:val="22"/>
          <w:color w:val="0B2D71"/>
        </w:rPr>
        <w:t>Changes in capitalization</w:t>
      </w:r>
    </w:p>
    <w:p>
      <w:pPr>
        <w:spacing w:after="0" w:line="110"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color w:val="auto"/>
        </w:rPr>
        <w:t>In the event any change is made to the outstanding shares of common stock by reason of any stock dividend, stock split, or other subdivision or combination of shares, appropriate adjustments will be made to (i) the maximum number and/or class of securities issuable under the 2022 LTIP, (ii) the maximum number of securities that may be granted to an individual in a calendar year, and (iii) the number and/or class of securities and exercise price (if applicable) for which awards are outstanding under the 2022 LTIP.</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0B2D71"/>
        </w:rPr>
        <w:t>Amendment and termination</w:t>
      </w:r>
    </w:p>
    <w:p>
      <w:pPr>
        <w:spacing w:after="0" w:line="110"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Board may amend or terminate the 2022 LTIP at any time, provided, however, that unless the Board specifically determines otherwise, any revision or amendment that would cause the 2022 LTIP to fail to comply with any requirement of applicable law or regulation if such amendment were not approved by the stockholders will not be effective unless and until approval of the stockholders is obtained. Rights under any award granted before amendment of the 2022 LTIP cannot be impaired without the consent of the affected participant.</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0B2D71"/>
        </w:rPr>
        <w:t>Governing law</w:t>
      </w:r>
    </w:p>
    <w:p>
      <w:pPr>
        <w:spacing w:after="0" w:line="110"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The 2022 LTIP is construed and enforced in accordance with the laws of the State of California without regard to the application of the principles of conflicts or choice of laws.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0B2D71"/>
        </w:rPr>
        <w:t>Federal income tax consequences</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following is only a brief summary of the effect of U.S. federal income taxation on the recipient of an award and on Chevron and does not discuss the income tax laws of any other jurisdiction (such as municipality or state) in which the recipient of the award may reside.</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0B2D71"/>
        </w:rPr>
        <w:t>Stock options and stock appreciation rights</w:t>
      </w:r>
    </w:p>
    <w:p>
      <w:pPr>
        <w:spacing w:after="0" w:line="11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Only nonstatutory stock options may be granted under the 2022 LTIP. Generally, no taxable income is recognized by an optionee upon the grant of a nonstatutory option, nor will Chevron (and/or its subsidiaries) be entitled to a deduction at that time. The optionee will generally recognize ordinary income in the year in which the option is exercised equal to the excess of the fair market value of the option shares on the exercise date over the exercise price paid. The ordinary income from the option exercises will be subject to employment tax withholding, and no distribution will be made to the optionee until the withholding requirements are satisfied. Chevron (and/or its subsidiaries) will be entitled to an income tax deduction in the year of exercise equal to the amount of ordinary income recognized by the optionee with respect to the exercised nonstatutory option. The taxation principles for stock appreciation rights granted in conjunction with stock options are analogous to those for the associated stock options.</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0B2D71"/>
        </w:rPr>
        <w:t>Restricted stock awards</w:t>
      </w:r>
    </w:p>
    <w:p>
      <w:pPr>
        <w:spacing w:after="0" w:line="110"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Generally, the grantee of a restricted stock award will not be deemed to have received any income subject to tax at the time of grant, nor will Chevron (and/or its subsidiaries) be entitled to a tax deduction at that time. The grantee, however, may elect under Section 83(b) of the U.S. Internal Revenue Code (Code Section 83(b)) to recognize compensation income in the year of the award in an amount equal to the fair market value of the shares on the date of the award, determined without regard to the restrictions. If such an</w:t>
      </w:r>
    </w:p>
    <w:p>
      <w:pPr>
        <w:spacing w:after="0" w:line="577" w:lineRule="exact"/>
        <w:rPr>
          <w:sz w:val="20"/>
          <w:szCs w:val="20"/>
          <w:color w:val="auto"/>
        </w:rPr>
      </w:pPr>
    </w:p>
    <w:p>
      <w:pPr>
        <w:sectPr>
          <w:pgSz w:w="11900" w:h="16838" w:orient="portrait"/>
          <w:cols w:equalWidth="0" w:num="2">
            <w:col w:w="5360" w:space="380"/>
            <w:col w:w="5360"/>
          </w:cols>
          <w:pgMar w:left="320" w:top="455" w:right="479" w:bottom="1440" w:gutter="0" w:footer="0" w:header="0"/>
          <w:type w:val="continuous"/>
        </w:sectPr>
      </w:pPr>
    </w:p>
    <w:p>
      <w:pPr>
        <w:spacing w:after="0" w:line="60"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Chevron Corporation – 2022 Proxy Statement</w:t>
      </w:r>
    </w:p>
    <w:p>
      <w:pPr>
        <w:spacing w:after="0" w:line="7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87</w:t>
      </w:r>
    </w:p>
    <w:p>
      <w:pPr>
        <w:sectPr>
          <w:pgSz w:w="11900" w:h="16838" w:orient="portrait"/>
          <w:cols w:equalWidth="0" w:num="1">
            <w:col w:w="11100"/>
          </w:cols>
          <w:pgMar w:left="320" w:top="455" w:right="479" w:bottom="1440" w:gutter="0" w:footer="0" w:header="0"/>
          <w:type w:val="continuous"/>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5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shd w:val="clear" w:color="auto" w:fill="0B2D71"/>
        </w:rPr>
        <w:t>Board proposal to approve 2022 Long-Term Incentive Plan of Chevron Corporation</w:t>
      </w:r>
    </w:p>
    <w:p>
      <w:pPr>
        <w:sectPr>
          <w:pgSz w:w="11900" w:h="16838" w:orient="portrait"/>
          <w:cols w:equalWidth="0" w:num="1">
            <w:col w:w="11120"/>
          </w:cols>
          <w:pgMar w:left="320" w:top="455" w:right="459" w:bottom="1440" w:gutter="0" w:footer="0" w:header="0"/>
        </w:sectPr>
      </w:pPr>
    </w:p>
    <w:p>
      <w:pPr>
        <w:spacing w:after="0" w:line="226"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election is made under Code Section 83(b), Chevron (and/or its subsidiaries) will be entitled to a deduction at the time equal to the amount of the ordinary income recognized by the grantee. If the grantee does not make such an election, the fair market value of the shares on the date on which the restrictions lapse will be treated as compensation income to the grantee. At that time, Chevron (and/or its subsidiaries) will be entitled to a deduction equal to the amount of the ordinary income recognized by the grantee. Compensation income from the restricted stock award will be subject to employment tax withholdings.</w:t>
      </w:r>
    </w:p>
    <w:p>
      <w:pPr>
        <w:spacing w:after="0" w:line="65" w:lineRule="exact"/>
        <w:rPr>
          <w:sz w:val="20"/>
          <w:szCs w:val="20"/>
          <w:color w:val="auto"/>
        </w:rPr>
      </w:pPr>
    </w:p>
    <w:p>
      <w:pPr>
        <w:ind w:left="120" w:right="220"/>
        <w:spacing w:after="0" w:line="259" w:lineRule="auto"/>
        <w:rPr>
          <w:sz w:val="20"/>
          <w:szCs w:val="20"/>
          <w:color w:val="auto"/>
        </w:rPr>
      </w:pPr>
      <w:r>
        <w:rPr>
          <w:rFonts w:ascii="Arial" w:cs="Arial" w:eastAsia="Arial" w:hAnsi="Arial"/>
          <w:sz w:val="22"/>
          <w:szCs w:val="22"/>
          <w:color w:val="0B2D71"/>
        </w:rPr>
        <w:t>Performance shares, restricted stock units and other share-based awards</w:t>
      </w:r>
    </w:p>
    <w:p>
      <w:pPr>
        <w:spacing w:after="0" w:line="60"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A participant will not be deemed to have received any income subject to federal income tax at the time of grant of performance shares, restricted stock units or other share-based awards, nor will Chevron (and/or its subsidiaries) be entitled to a deduction at that time. When shares or cash</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subject to performance shares or other share-based awards are issued and/or paid, the participant will be deemed to have received an amount of ordinary income equal to the amount of cash and/or the fair market value of the shares received. Chevron (and/or its subsidiaries) will be allowed a deduction in an amount equal to the ordinary income that the participant has been paid. Compensation income from the performance shares, restricted stock units or other share-based awards will be subject to employment tax withholdings.</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0B2D71"/>
        </w:rPr>
        <w:t>Section 162(m)</w:t>
      </w:r>
    </w:p>
    <w:p>
      <w:pPr>
        <w:spacing w:after="0" w:line="110"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Section 162(m) of the U.S. Internal Revenue Code (Code Section 162(m)) limits a publicly traded company’s federal income tax deduction for compensation in excess of $1 million paid to certain executive officers that constitute “covered employees” under Code Section 162(m), and thus we expect that we will be unable to deduct all compensation in excess of $1 million paid to certain of our executive officers.</w:t>
      </w:r>
    </w:p>
    <w:p>
      <w:pPr>
        <w:spacing w:after="0" w:line="257" w:lineRule="exact"/>
        <w:rPr>
          <w:sz w:val="20"/>
          <w:szCs w:val="20"/>
          <w:color w:val="auto"/>
        </w:rPr>
      </w:pPr>
    </w:p>
    <w:p>
      <w:pPr>
        <w:sectPr>
          <w:pgSz w:w="11900" w:h="16838" w:orient="portrait"/>
          <w:cols w:equalWidth="0" w:num="2">
            <w:col w:w="5340" w:space="400"/>
            <w:col w:w="5380"/>
          </w:cols>
          <w:pgMar w:left="320" w:top="455" w:right="459" w:bottom="1440" w:gutter="0" w:footer="0" w:header="0"/>
          <w:type w:val="continuous"/>
        </w:sectPr>
      </w:pPr>
    </w:p>
    <w:p>
      <w:pPr>
        <w:spacing w:after="0" w:line="232"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0B2D71"/>
        </w:rPr>
        <w:t>Vote required</w:t>
      </w:r>
    </w:p>
    <w:p>
      <w:pPr>
        <w:spacing w:after="0" w:line="350" w:lineRule="exact"/>
        <w:rPr>
          <w:sz w:val="20"/>
          <w:szCs w:val="20"/>
          <w:color w:val="auto"/>
        </w:rPr>
      </w:pPr>
    </w:p>
    <w:p>
      <w:pPr>
        <w:ind w:left="120" w:right="200"/>
        <w:spacing w:after="0" w:line="266" w:lineRule="auto"/>
        <w:rPr>
          <w:sz w:val="20"/>
          <w:szCs w:val="20"/>
          <w:color w:val="auto"/>
        </w:rPr>
      </w:pPr>
      <w:r>
        <w:rPr>
          <w:rFonts w:ascii="Arial" w:cs="Arial" w:eastAsia="Arial" w:hAnsi="Arial"/>
          <w:sz w:val="16"/>
          <w:szCs w:val="16"/>
          <w:color w:val="auto"/>
        </w:rPr>
        <w:t xml:space="preserve">This proposal is approved if the number of shares voted FOR exceeds the number of shares voted AGAINST. Any shares not voted on this proposal (whether by abstention or otherwise) will have no impact on this proposal. If you are a street name stockholder and do not vote your shares, your bank, broker or other holder of record </w:t>
      </w:r>
      <w:r>
        <w:rPr>
          <w:rFonts w:ascii="Arial" w:cs="Arial" w:eastAsia="Arial" w:hAnsi="Arial"/>
          <w:sz w:val="16"/>
          <w:szCs w:val="16"/>
          <w:u w:val="single" w:color="auto"/>
          <w:color w:val="auto"/>
        </w:rPr>
        <w:t>cannot</w:t>
      </w:r>
      <w:r>
        <w:rPr>
          <w:rFonts w:ascii="Arial" w:cs="Arial" w:eastAsia="Arial" w:hAnsi="Arial"/>
          <w:sz w:val="16"/>
          <w:szCs w:val="16"/>
          <w:color w:val="auto"/>
        </w:rPr>
        <w:t xml:space="preserve"> vote your shares at its discretion on this proposal.</w:t>
      </w:r>
    </w:p>
    <w:p>
      <w:pPr>
        <w:spacing w:after="0" w:line="263"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0B2D71"/>
        </w:rPr>
        <w:t>Your board’s recommendation</w:t>
      </w:r>
    </w:p>
    <w:p>
      <w:pPr>
        <w:spacing w:after="0" w:line="336" w:lineRule="exact"/>
        <w:rPr>
          <w:sz w:val="20"/>
          <w:szCs w:val="20"/>
          <w:color w:val="auto"/>
        </w:rPr>
      </w:pPr>
    </w:p>
    <w:p>
      <w:pPr>
        <w:ind w:left="120" w:right="960"/>
        <w:spacing w:after="0" w:line="261" w:lineRule="auto"/>
        <w:rPr>
          <w:sz w:val="20"/>
          <w:szCs w:val="20"/>
          <w:color w:val="auto"/>
        </w:rPr>
      </w:pPr>
      <w:r>
        <w:rPr>
          <w:rFonts w:ascii="Arial" w:cs="Arial" w:eastAsia="Arial" w:hAnsi="Arial"/>
          <w:sz w:val="22"/>
          <w:szCs w:val="22"/>
          <w:color w:val="0B2D71"/>
        </w:rPr>
        <w:t xml:space="preserve">Your Board recommends that you vote </w:t>
      </w:r>
      <w:r>
        <w:rPr>
          <w:rFonts w:ascii="Arial" w:cs="Arial" w:eastAsia="Arial" w:hAnsi="Arial"/>
          <w:sz w:val="22"/>
          <w:szCs w:val="22"/>
          <w:b w:val="1"/>
          <w:bCs w:val="1"/>
          <w:color w:val="0B2D71"/>
        </w:rPr>
        <w:t>for</w:t>
      </w:r>
      <w:r>
        <w:rPr>
          <w:rFonts w:ascii="Arial" w:cs="Arial" w:eastAsia="Arial" w:hAnsi="Arial"/>
          <w:sz w:val="22"/>
          <w:szCs w:val="22"/>
          <w:color w:val="0B2D71"/>
        </w:rPr>
        <w:t xml:space="preserve"> the approval of the 2022 Long-Term Incentive Plan of Chevron Corporation (2022 LTIP).</w:t>
      </w:r>
    </w:p>
    <w:p>
      <w:pPr>
        <w:spacing w:after="0" w:line="95"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88</w:t>
      </w:r>
    </w:p>
    <w:p>
      <w:pPr>
        <w:sectPr>
          <w:pgSz w:w="11900" w:h="16838" w:orient="portrait"/>
          <w:cols w:equalWidth="0" w:num="1">
            <w:col w:w="11120"/>
          </w:cols>
          <w:pgMar w:left="320" w:top="455" w:right="459" w:bottom="1440" w:gutter="0" w:footer="0" w:header="0"/>
          <w:type w:val="continuous"/>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0B2D71"/>
        </w:rPr>
        <w:t>Rule 14a-8 stockholder proposals</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0B2D71"/>
        </w:rPr>
        <w:t>(Items 5 through 10 on the proxy card)</w:t>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Your Board welcomes dialogue on the topics presented in the Rule 14a-8 stockholder proposals on the following pages. Chevron strives to communicate proactively and transparently on these and other issues of interest to the Company and its stockholders. Some of the following stockholder proposals may contain assertions about Chevron that we believe are incorrect. Your Board has not attempted to refute all such assertions. However, your Board has considered each proposal and recommended a vote based on the specific reasons set forth in each Board response.</w:t>
      </w:r>
    </w:p>
    <w:p>
      <w:pPr>
        <w:spacing w:after="0" w:line="77"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We received a number of proposals requesting specific reports. As a general principle, your Board opposes developing specially requested reports because producing them is a poor use of Chevron’s resources when the issues are addressed sufficiently through existing communications. Moreover, your Board believes that stockholders benefit from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reading about these issues in the context of Chevron’s other activities rather than in isolation. Many of the issues raised in the following stockholder proposals are discussed in Chevron’s Corporate Sustainability Report, our Annual Report, this Proxy Statement and our Climate Change Resilience Report. Additional information on Chevron’s corporate governance and corporate social responsibility philosophies and initiatives is available on our website at www.chevron.com</w:t>
      </w:r>
      <w:r>
        <w:rPr>
          <w:rFonts w:ascii="Arial" w:cs="Arial" w:eastAsia="Arial" w:hAnsi="Arial"/>
          <w:sz w:val="16"/>
          <w:szCs w:val="16"/>
          <w:i w:val="1"/>
          <w:iCs w:val="1"/>
          <w:color w:val="auto"/>
        </w:rPr>
        <w:t>.</w:t>
      </w:r>
    </w:p>
    <w:p>
      <w:pPr>
        <w:spacing w:after="0" w:line="73"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Your Board urges stockholders to read this Proxy Statement, the Annual Report, the Annual Report Supplement, the Corporate Sustainability Report and the Climate Change Resilience Report, as well as the other information presented on Chevron’s website.</w:t>
      </w:r>
    </w:p>
    <w:p>
      <w:pPr>
        <w:spacing w:after="0" w:line="70"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We will provide the name, address, and share ownership of the stockholders who submitted a Rule 14a-8 stockholder proposal upon a stockholder’s request.</w:t>
      </w:r>
    </w:p>
    <w:p>
      <w:pPr>
        <w:spacing w:after="0" w:line="270" w:lineRule="exact"/>
        <w:rPr>
          <w:sz w:val="20"/>
          <w:szCs w:val="20"/>
          <w:color w:val="auto"/>
        </w:rPr>
      </w:pPr>
    </w:p>
    <w:p>
      <w:pPr>
        <w:sectPr>
          <w:pgSz w:w="11900" w:h="16838" w:orient="portrait"/>
          <w:cols w:equalWidth="0" w:num="2">
            <w:col w:w="5380" w:space="360"/>
            <w:col w:w="5340"/>
          </w:cols>
          <w:pgMar w:left="320" w:top="455" w:right="499"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0B2D71"/>
        </w:rPr>
        <w:t>Vote required</w:t>
      </w:r>
    </w:p>
    <w:p>
      <w:pPr>
        <w:spacing w:after="0" w:line="242"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Stockholder proposals are approved if the number of shares voted FOR exceeds the number of shares voted AGAINST. Any shares not voted on these proposals (whether by abstention or otherwise) will have no impact on these proposals. If you are a street name stockholder and do not vote your shares, your bank, broker, or other holder of record cannot vote your shares at its discretion on these proposals.</w:t>
      </w:r>
    </w:p>
    <w:p>
      <w:pPr>
        <w:spacing w:after="0" w:line="47"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0B2D71"/>
        </w:rPr>
        <w:t>Your board’s recommendation</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22"/>
          <w:szCs w:val="22"/>
          <w:color w:val="0B2D71"/>
        </w:rPr>
        <w:t xml:space="preserve">Your Board recommends that you vote </w:t>
      </w:r>
      <w:r>
        <w:rPr>
          <w:rFonts w:ascii="Arial" w:cs="Arial" w:eastAsia="Arial" w:hAnsi="Arial"/>
          <w:sz w:val="22"/>
          <w:szCs w:val="22"/>
          <w:b w:val="1"/>
          <w:bCs w:val="1"/>
          <w:color w:val="0B2D71"/>
        </w:rPr>
        <w:t>against</w:t>
      </w:r>
      <w:r>
        <w:rPr>
          <w:rFonts w:ascii="Arial" w:cs="Arial" w:eastAsia="Arial" w:hAnsi="Arial"/>
          <w:sz w:val="22"/>
          <w:szCs w:val="22"/>
          <w:color w:val="0B2D71"/>
        </w:rPr>
        <w:t xml:space="preserve"> items 5, 6, and 8–10 and </w:t>
      </w:r>
      <w:r>
        <w:rPr>
          <w:rFonts w:ascii="Arial" w:cs="Arial" w:eastAsia="Arial" w:hAnsi="Arial"/>
          <w:sz w:val="22"/>
          <w:szCs w:val="22"/>
          <w:b w:val="1"/>
          <w:bCs w:val="1"/>
          <w:color w:val="0B2D71"/>
        </w:rPr>
        <w:t>for</w:t>
      </w:r>
      <w:r>
        <w:rPr>
          <w:rFonts w:ascii="Arial" w:cs="Arial" w:eastAsia="Arial" w:hAnsi="Arial"/>
          <w:sz w:val="22"/>
          <w:szCs w:val="22"/>
          <w:color w:val="0B2D71"/>
        </w:rPr>
        <w:t xml:space="preserve"> item 7 on the following pages.</w:t>
      </w:r>
    </w:p>
    <w:p>
      <w:pPr>
        <w:spacing w:after="0" w:line="149"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auto"/>
        </w:rPr>
        <w:t>89</w:t>
      </w:r>
    </w:p>
    <w:p>
      <w:pPr>
        <w:sectPr>
          <w:pgSz w:w="11900" w:h="16838" w:orient="portrait"/>
          <w:cols w:equalWidth="0" w:num="1">
            <w:col w:w="11080"/>
          </w:cols>
          <w:pgMar w:left="320" w:top="455" w:right="499" w:bottom="1440" w:gutter="0" w:footer="0" w:header="0"/>
          <w:type w:val="continuous"/>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37310" cy="1454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337310" cy="145415"/>
                    </a:xfrm>
                    <a:prstGeom prst="rect">
                      <a:avLst/>
                    </a:prstGeom>
                    <a:noFill/>
                  </pic:spPr>
                </pic:pic>
              </a:graphicData>
            </a:graphic>
          </wp:anchor>
        </w:drawing>
      </w:r>
    </w:p>
    <w:p>
      <w:pPr>
        <w:spacing w:after="0" w:line="33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Stockholder proposals</w:t>
      </w:r>
    </w:p>
    <w:p>
      <w:pPr>
        <w:spacing w:after="0" w:line="161" w:lineRule="exact"/>
        <w:rPr>
          <w:sz w:val="20"/>
          <w:szCs w:val="20"/>
          <w:color w:val="auto"/>
        </w:rPr>
      </w:pPr>
    </w:p>
    <w:p>
      <w:pPr>
        <w:jc w:val="center"/>
        <w:ind w:left="1300"/>
        <w:spacing w:after="0" w:line="298" w:lineRule="auto"/>
        <w:rPr>
          <w:sz w:val="20"/>
          <w:szCs w:val="20"/>
          <w:color w:val="auto"/>
        </w:rPr>
      </w:pPr>
      <w:r>
        <w:rPr>
          <w:rFonts w:ascii="Arial" w:cs="Arial" w:eastAsia="Arial" w:hAnsi="Arial"/>
          <w:sz w:val="25"/>
          <w:szCs w:val="25"/>
          <w:b w:val="1"/>
          <w:bCs w:val="1"/>
          <w:color w:val="0B2D71"/>
        </w:rPr>
        <w:t>Stockholder proposal to adopt medium- and long-term GHG reduction targets (Item 5 on the proxy card)</w:t>
      </w:r>
    </w:p>
    <w:p>
      <w:pPr>
        <w:sectPr>
          <w:pgSz w:w="11900" w:h="16838" w:orient="portrait"/>
          <w:cols w:equalWidth="0" w:num="1">
            <w:col w:w="11120"/>
          </w:cols>
          <w:pgMar w:left="320" w:top="455" w:right="459" w:bottom="1440" w:gutter="0" w:footer="0" w:header="0"/>
        </w:sectPr>
      </w:pPr>
    </w:p>
    <w:p>
      <w:pPr>
        <w:spacing w:after="0" w:line="66" w:lineRule="exact"/>
        <w:rPr>
          <w:sz w:val="20"/>
          <w:szCs w:val="20"/>
          <w:color w:val="auto"/>
        </w:rPr>
      </w:pPr>
    </w:p>
    <w:p>
      <w:pPr>
        <w:ind w:left="120" w:right="20"/>
        <w:spacing w:after="0" w:line="271" w:lineRule="auto"/>
        <w:rPr>
          <w:sz w:val="20"/>
          <w:szCs w:val="20"/>
          <w:color w:val="auto"/>
        </w:rPr>
      </w:pPr>
      <w:r>
        <w:rPr>
          <w:rFonts w:ascii="Arial" w:cs="Arial" w:eastAsia="Arial" w:hAnsi="Arial"/>
          <w:sz w:val="16"/>
          <w:szCs w:val="16"/>
          <w:b w:val="1"/>
          <w:bCs w:val="1"/>
          <w:color w:val="auto"/>
        </w:rPr>
        <w:t>WHEREAS: We, the shareholders, must protect our assets against devastating climate change, and we therefore support companies to substantially reduce greenhouse gas (GHG) emissions.</w:t>
      </w:r>
    </w:p>
    <w:p>
      <w:pPr>
        <w:spacing w:after="0" w:line="52" w:lineRule="exact"/>
        <w:rPr>
          <w:sz w:val="20"/>
          <w:szCs w:val="20"/>
          <w:color w:val="auto"/>
        </w:rPr>
      </w:pPr>
    </w:p>
    <w:p>
      <w:pPr>
        <w:ind w:left="120"/>
        <w:spacing w:after="0" w:line="271" w:lineRule="auto"/>
        <w:rPr>
          <w:sz w:val="20"/>
          <w:szCs w:val="20"/>
          <w:color w:val="auto"/>
        </w:rPr>
      </w:pPr>
      <w:r>
        <w:rPr>
          <w:rFonts w:ascii="Arial" w:cs="Arial" w:eastAsia="Arial" w:hAnsi="Arial"/>
          <w:sz w:val="16"/>
          <w:szCs w:val="16"/>
          <w:b w:val="1"/>
          <w:bCs w:val="1"/>
          <w:color w:val="auto"/>
        </w:rPr>
        <w:t>RESOLVED: Shareholders request the Company to set and publish medium- and long-term targets to reduce the greenhouse gas (GHG) emissions of the Company’s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both"/>
        <w:ind w:right="220"/>
        <w:spacing w:after="0" w:line="263" w:lineRule="auto"/>
        <w:rPr>
          <w:sz w:val="20"/>
          <w:szCs w:val="20"/>
          <w:color w:val="auto"/>
        </w:rPr>
      </w:pPr>
      <w:r>
        <w:rPr>
          <w:rFonts w:ascii="Arial" w:cs="Arial" w:eastAsia="Arial" w:hAnsi="Arial"/>
          <w:sz w:val="16"/>
          <w:szCs w:val="16"/>
          <w:b w:val="1"/>
          <w:bCs w:val="1"/>
          <w:color w:val="auto"/>
        </w:rPr>
        <w:t>operations and energy products (Scope 1, 2, and 3) consistent with the goal of the Paris Climate Agreement: to limit global warming to well below 2°C above pre-industrial levels and to pursue efforts to limit the temperature increase to 1.5°C.</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 have our support.</w:t>
      </w:r>
    </w:p>
    <w:p>
      <w:pPr>
        <w:spacing w:after="0" w:line="449" w:lineRule="exact"/>
        <w:rPr>
          <w:sz w:val="20"/>
          <w:szCs w:val="20"/>
          <w:color w:val="auto"/>
        </w:rPr>
      </w:pPr>
    </w:p>
    <w:p>
      <w:pPr>
        <w:sectPr>
          <w:pgSz w:w="11900" w:h="16838" w:orient="portrait"/>
          <w:cols w:equalWidth="0" w:num="2">
            <w:col w:w="5380" w:space="360"/>
            <w:col w:w="5380"/>
          </w:cols>
          <w:pgMar w:left="320" w:top="455" w:right="459" w:bottom="1440" w:gutter="0" w:footer="0" w:header="0"/>
          <w:type w:val="continuous"/>
        </w:sectPr>
      </w:pPr>
    </w:p>
    <w:p>
      <w:pPr>
        <w:ind w:left="120"/>
        <w:spacing w:after="0"/>
        <w:rPr>
          <w:sz w:val="20"/>
          <w:szCs w:val="20"/>
          <w:color w:val="auto"/>
        </w:rPr>
      </w:pPr>
      <w:r>
        <w:rPr>
          <w:rFonts w:ascii="Arial" w:cs="Arial" w:eastAsia="Arial" w:hAnsi="Arial"/>
          <w:sz w:val="21"/>
          <w:szCs w:val="21"/>
          <w:b w:val="1"/>
          <w:bCs w:val="1"/>
          <w:color w:val="auto"/>
        </w:rPr>
        <w:t>SUPPORTING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53340</wp:posOffset>
            </wp:positionV>
            <wp:extent cx="69951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type w:val="continuous"/>
        </w:sectPr>
      </w:pPr>
    </w:p>
    <w:p>
      <w:pPr>
        <w:spacing w:after="0" w:line="299"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The policies of energy companies—the largest greenhouse gas (GHG) emitters—are crucial to confronting the climate crisis. Therefore shareholders support oil and gas companies to substantially reduce their emissions.</w:t>
      </w:r>
    </w:p>
    <w:p>
      <w:pPr>
        <w:spacing w:after="0" w:line="70"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color w:val="auto"/>
        </w:rPr>
        <w:t>We, the shareholders, understand this support to be essential in protecting all our assets in the global economy from devastating climate change.</w:t>
      </w:r>
    </w:p>
    <w:p>
      <w:pPr>
        <w:spacing w:after="0" w:line="63"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color w:val="auto"/>
        </w:rPr>
        <w:t>We therefore support the Company to set emission reduction targets for all emissions: the emissions of the company’s operations and the emissions of its energy products (Scope 1, 2, and 3). Reducing Scope 3 emissions, the vast majority, is essential to limiting global heating.</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Scientific consensus</w:t>
      </w:r>
    </w:p>
    <w:p>
      <w:pPr>
        <w:spacing w:after="0" w:line="113"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The world’s leading international scientific bodies recently released reports which clearly state the need for deep cuts in emissions in order to limit global warming to safe levels.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Financial momentum</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Backing from investors that insist on targets for all emissions continues to gain momentum: 2021 saw unprecedented investor support for climate resolutions. In the US, three of these climate resolutions passed with a historic majority. In Europe, support for these climate resolutions continued to build.</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risk</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In 2021, a Dutch court ordered Shell to severely reduce their worldwide emissions (Scope 1, 2, and 3) by 2030. This indicates that oil majors and large investors have an individual legal responsibility to combat dangerous climate change by reducing emissions and confirms the risk of liability.</w:t>
      </w:r>
    </w:p>
    <w:p>
      <w:pPr>
        <w:spacing w:after="0" w:line="7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believe that the Company could lead and thrive in the energy transition. We therefore encourage you to set targets that are inspirational for society, employees, shareholders, and the energy sector, allowing the company to meet an increasing demand for energy while reducing GHG emissions to levels consistent with curbing climate change.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You have our support.</w:t>
      </w:r>
    </w:p>
    <w:p>
      <w:pPr>
        <w:spacing w:after="0" w:line="261" w:lineRule="exact"/>
        <w:rPr>
          <w:sz w:val="20"/>
          <w:szCs w:val="20"/>
          <w:color w:val="auto"/>
        </w:rPr>
      </w:pPr>
    </w:p>
    <w:p>
      <w:pPr>
        <w:sectPr>
          <w:pgSz w:w="11900" w:h="16838" w:orient="portrait"/>
          <w:cols w:equalWidth="0" w:num="2">
            <w:col w:w="5360" w:space="380"/>
            <w:col w:w="5380"/>
          </w:cols>
          <w:pgMar w:left="320" w:top="455"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A growing international consensus has emerged among financial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institutions that climate-related risks are a source of financial risk, and</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therefore limiting global warming is essential to risk management and</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responsible stewardship of the economy.</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Chevron Corporation – 2022 Proxy Statement</w:t>
      </w:r>
    </w:p>
    <w:p>
      <w:pPr>
        <w:spacing w:after="0" w:line="65"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90</w:t>
      </w:r>
    </w:p>
    <w:p>
      <w:pPr>
        <w:sectPr>
          <w:pgSz w:w="11900" w:h="16838" w:orient="portrait"/>
          <w:cols w:equalWidth="0" w:num="1">
            <w:col w:w="11120"/>
          </w:cols>
          <w:pgMar w:left="320" w:top="455" w:right="459" w:bottom="1440" w:gutter="0" w:footer="0" w:header="0"/>
          <w:type w:val="continuous"/>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208280</wp:posOffset>
            </wp:positionV>
            <wp:extent cx="1405890" cy="1454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405890" cy="145415"/>
                    </a:xfrm>
                    <a:prstGeom prst="rect">
                      <a:avLst/>
                    </a:prstGeom>
                    <a:noFill/>
                  </pic:spPr>
                </pic:pic>
              </a:graphicData>
            </a:graphic>
          </wp:anchor>
        </w:drawing>
      </w:r>
    </w:p>
    <w:p>
      <w:pPr>
        <w:spacing w:after="0" w:line="339"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FFFFFF"/>
        </w:rPr>
        <w:t>Stockholder proposals</w:t>
      </w:r>
    </w:p>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0B2D71"/>
        </w:rPr>
        <w:t>Board of directors’ response</w:t>
      </w:r>
    </w:p>
    <w:p>
      <w:pPr>
        <w:spacing w:after="0" w:line="128"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Your Board shares the interest of Chevron’s investors and stakeholders in addressing climate change and the role of greenhouse gas (“GHG”) emissions as a contributor to climate change. We are also mindful that the journey to a lower carbon future will still require oil and gas, particularly in areas where there are currently no effective substitutes, such as shipping and transportation.</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An honest conversation</w:t>
      </w:r>
    </w:p>
    <w:p>
      <w:pPr>
        <w:spacing w:after="0" w:line="112" w:lineRule="exact"/>
        <w:rPr>
          <w:sz w:val="20"/>
          <w:szCs w:val="20"/>
          <w:color w:val="auto"/>
        </w:rPr>
      </w:pPr>
    </w:p>
    <w:p>
      <w:pPr>
        <w:ind w:left="120" w:right="240"/>
        <w:spacing w:after="0" w:line="259" w:lineRule="auto"/>
        <w:rPr>
          <w:sz w:val="20"/>
          <w:szCs w:val="20"/>
          <w:color w:val="auto"/>
        </w:rPr>
      </w:pPr>
      <w:r>
        <w:rPr>
          <w:rFonts w:ascii="Arial" w:cs="Arial" w:eastAsia="Arial" w:hAnsi="Arial"/>
          <w:sz w:val="16"/>
          <w:szCs w:val="16"/>
          <w:color w:val="auto"/>
        </w:rPr>
        <w:t>Climate change is a challenge for all of us, and we need to address it holistically. Chevron is committed to an honest conversation about the energy transition. We could reduce our GHG emissions by changing our portfolio and selling our emissions-producing assets, but that would not serve our stockholders, who benefit from our strong asset base. Moreover, it would not benefit the global effort to combat climate change if we were to sell such assets to another company, who would still operate the assets, but perhaps to a less carbon-efficient standard.</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We have addressed Scope 3 with our Portfolio Carbon Intensity metric</w:t>
      </w:r>
    </w:p>
    <w:p>
      <w:pPr>
        <w:spacing w:after="0" w:line="112"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We have heard our stockholders’ requests for relevant and comparable data to allow them to evaluate how we are performing on GHG management compared to others in our industry. Chevron has developed the Portfolio Carbon Intensity (“PCI”) methodology, which we believe addresses the interests of stakeholders wanting comparable metrics that address Scopes 1, 2 and 3 emissions. PCI covers the full value chain emissions of our products, from production to use by customers. PCI is transparent and replicable by leveraging information readily found in financial statements, emissions disclosures, and emission factors. We encourage you to learn more about PCI in our 2021 Climate Change Resilience Report, and we invite you to explore the PCI tool on www.chevron.com.</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Accountability</w:t>
      </w:r>
    </w:p>
    <w:p>
      <w:pPr>
        <w:spacing w:after="0" w:line="112"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Your Board is holding Chevron accountable by endorsing PCI reduction targets. Chevron intends to reach these goals through innovation and top-tier performance. As part of this, and as you will see from our support of Proxy Item 7, Chevron is committed to detecting and mitigating methane emissions. We ask that you support Chevron’s efforts and allow us to demonstrate that Chevron’s GHG reduction ambitions and metrics are a sound strategy for stockholders and for addressing climate change.</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22"/>
          <w:szCs w:val="22"/>
          <w:color w:val="0B2D71"/>
        </w:rPr>
        <w:t xml:space="preserve">Therefore, your Board recommends that you vote </w:t>
      </w:r>
      <w:r>
        <w:rPr>
          <w:rFonts w:ascii="Arial" w:cs="Arial" w:eastAsia="Arial" w:hAnsi="Arial"/>
          <w:sz w:val="22"/>
          <w:szCs w:val="22"/>
          <w:b w:val="1"/>
          <w:bCs w:val="1"/>
          <w:color w:val="0B2D71"/>
        </w:rPr>
        <w:t>against</w:t>
      </w:r>
      <w:r>
        <w:rPr>
          <w:rFonts w:ascii="Arial" w:cs="Arial" w:eastAsia="Arial" w:hAnsi="Arial"/>
          <w:sz w:val="22"/>
          <w:szCs w:val="22"/>
          <w:color w:val="0B2D71"/>
        </w:rPr>
        <w:t xml:space="preserve"> this proposal.</w:t>
      </w:r>
    </w:p>
    <w:p>
      <w:pPr>
        <w:spacing w:after="0" w:line="149"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91</w:t>
      </w:r>
    </w:p>
    <w:p>
      <w:pPr>
        <w:sectPr>
          <w:pgSz w:w="11900" w:h="16838" w:orient="portrait"/>
          <w:cols w:equalWidth="0" w:num="1">
            <w:col w:w="11040"/>
          </w:cols>
          <w:pgMar w:left="320" w:top="455" w:right="5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37310" cy="1454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337310" cy="145415"/>
                    </a:xfrm>
                    <a:prstGeom prst="rect">
                      <a:avLst/>
                    </a:prstGeom>
                    <a:noFill/>
                  </pic:spPr>
                </pic:pic>
              </a:graphicData>
            </a:graphic>
          </wp:anchor>
        </w:drawing>
      </w:r>
    </w:p>
    <w:p>
      <w:pPr>
        <w:spacing w:after="0" w:line="33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Stockholder proposals</w:t>
      </w:r>
    </w:p>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0B2D71"/>
        </w:rPr>
        <w:t>Stockholder proposal to report on impacts of net zero 2050 scenario</w:t>
      </w:r>
    </w:p>
    <w:p>
      <w:pPr>
        <w:spacing w:after="0" w:line="36"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0B2D71"/>
        </w:rPr>
        <w:t>(Item 6 on the proxy card)</w:t>
      </w:r>
    </w:p>
    <w:p>
      <w:pPr>
        <w:sectPr>
          <w:pgSz w:w="11900" w:h="16838" w:orient="portrait"/>
          <w:cols w:equalWidth="0" w:num="1">
            <w:col w:w="11080"/>
          </w:cols>
          <w:pgMar w:left="320" w:top="455" w:right="499" w:bottom="1440" w:gutter="0" w:footer="0" w:header="0"/>
        </w:sectPr>
      </w:pPr>
    </w:p>
    <w:p>
      <w:pPr>
        <w:spacing w:after="0" w:line="169" w:lineRule="exact"/>
        <w:rPr>
          <w:sz w:val="20"/>
          <w:szCs w:val="20"/>
          <w:color w:val="auto"/>
        </w:rPr>
      </w:pPr>
    </w:p>
    <w:p>
      <w:pPr>
        <w:ind w:left="120" w:right="180"/>
        <w:spacing w:after="0" w:line="225"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Markets require information to operate and deploy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effectively. In 2019 and 2020, global and U.S. accounting and auditing standard-setters reiterated that material climate-related risks should be accounted for in company financial statements and audits.</w:t>
      </w:r>
      <w:r>
        <w:rPr>
          <w:rFonts w:ascii="Arial" w:cs="Arial" w:eastAsia="Arial" w:hAnsi="Arial"/>
          <w:sz w:val="27"/>
          <w:szCs w:val="27"/>
          <w:color w:val="auto"/>
          <w:vertAlign w:val="superscript"/>
        </w:rPr>
        <w:t>1,2,3</w:t>
      </w:r>
      <w:r>
        <w:rPr>
          <w:rFonts w:ascii="Arial" w:cs="Arial" w:eastAsia="Arial" w:hAnsi="Arial"/>
          <w:sz w:val="16"/>
          <w:szCs w:val="16"/>
          <w:color w:val="auto"/>
        </w:rPr>
        <w:t xml:space="preserve"> Major investor groups, representing assets worth over $103 trillion, have also called on companies and auditors to fully reflect climate risks to companies’ financial results and position.</w:t>
      </w:r>
      <w:r>
        <w:rPr>
          <w:rFonts w:ascii="Arial" w:cs="Arial" w:eastAsia="Arial" w:hAnsi="Arial"/>
          <w:sz w:val="27"/>
          <w:szCs w:val="27"/>
          <w:color w:val="auto"/>
          <w:vertAlign w:val="superscript"/>
        </w:rPr>
        <w:t>4</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These concerns reflect a converging consensus by policymakers, investors, and companies on growing climate risk, the need to limit global temperature increase to 1.5° C (net zero global greenhouse gas (GHG) emissions by 2050),</w:t>
      </w:r>
      <w:r>
        <w:rPr>
          <w:rFonts w:ascii="Arial" w:cs="Arial" w:eastAsia="Arial" w:hAnsi="Arial"/>
          <w:sz w:val="27"/>
          <w:szCs w:val="27"/>
          <w:color w:val="auto"/>
          <w:vertAlign w:val="superscript"/>
        </w:rPr>
        <w:t>5</w:t>
      </w:r>
      <w:r>
        <w:rPr>
          <w:rFonts w:ascii="Arial" w:cs="Arial" w:eastAsia="Arial" w:hAnsi="Arial"/>
          <w:sz w:val="16"/>
          <w:szCs w:val="16"/>
          <w:color w:val="auto"/>
        </w:rPr>
        <w:t xml:space="preserve"> and the impact of such actions to companies.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International Energy Agency’s (IEA) Net Zero Scenario describes an energy sector pathway to achieve net zero emissions. The Scenario finds that no new investment in fossil supply projects is needed, and anticipates oil prices dropping as low as $36/ barrel in 2030 and $24/ barrel in 2050.</w:t>
      </w:r>
      <w:r>
        <w:rPr>
          <w:rFonts w:ascii="Arial" w:cs="Arial" w:eastAsia="Arial" w:hAnsi="Arial"/>
          <w:sz w:val="27"/>
          <w:szCs w:val="27"/>
          <w:color w:val="auto"/>
          <w:vertAlign w:val="superscript"/>
        </w:rPr>
        <w:t>6</w:t>
      </w:r>
    </w:p>
    <w:p>
      <w:pPr>
        <w:spacing w:after="0" w:line="191" w:lineRule="exact"/>
        <w:rPr>
          <w:sz w:val="20"/>
          <w:szCs w:val="20"/>
          <w:color w:val="auto"/>
        </w:rPr>
      </w:pPr>
    </w:p>
    <w:p>
      <w:pPr>
        <w:ind w:left="120" w:right="80"/>
        <w:spacing w:after="0" w:line="242" w:lineRule="auto"/>
        <w:rPr>
          <w:sz w:val="20"/>
          <w:szCs w:val="20"/>
          <w:color w:val="auto"/>
        </w:rPr>
      </w:pPr>
      <w:r>
        <w:rPr>
          <w:rFonts w:ascii="Arial" w:cs="Arial" w:eastAsia="Arial" w:hAnsi="Arial"/>
          <w:sz w:val="16"/>
          <w:szCs w:val="16"/>
          <w:color w:val="auto"/>
        </w:rPr>
        <w:t>Given these global climate imperatives, to best allocate investments, investors are calling for information to assess the financial impacts of climate-related physical and transition risks on companies and identify companies best positioned to thrive in a low carbon economy. Yet, more than 70% of listed companies, representing some of the world’s largest carbon-polluters, are not fully accounting for climate-related risks in their financial statements.</w:t>
      </w:r>
      <w:r>
        <w:rPr>
          <w:rFonts w:ascii="Arial" w:cs="Arial" w:eastAsia="Arial" w:hAnsi="Arial"/>
          <w:sz w:val="27"/>
          <w:szCs w:val="27"/>
          <w:color w:val="auto"/>
          <w:vertAlign w:val="superscript"/>
        </w:rPr>
        <w:t>7</w:t>
      </w:r>
    </w:p>
    <w:p>
      <w:pPr>
        <w:spacing w:after="0" w:line="5" w:lineRule="exact"/>
        <w:rPr>
          <w:sz w:val="20"/>
          <w:szCs w:val="20"/>
          <w:color w:val="auto"/>
        </w:rPr>
      </w:pPr>
    </w:p>
    <w:p>
      <w:pPr>
        <w:ind w:left="120" w:right="140"/>
        <w:spacing w:after="0" w:line="203" w:lineRule="auto"/>
        <w:rPr>
          <w:sz w:val="20"/>
          <w:szCs w:val="20"/>
          <w:color w:val="auto"/>
        </w:rPr>
      </w:pPr>
      <w:r>
        <w:rPr>
          <w:rFonts w:ascii="Arial" w:cs="Arial" w:eastAsia="Arial" w:hAnsi="Arial"/>
          <w:sz w:val="16"/>
          <w:szCs w:val="16"/>
          <w:color w:val="auto"/>
        </w:rPr>
        <w:t>Chevron continues to develop new fossil fuel resources while acknowledging climate related risks</w:t>
      </w:r>
      <w:r>
        <w:rPr>
          <w:rFonts w:ascii="Arial" w:cs="Arial" w:eastAsia="Arial" w:hAnsi="Arial"/>
          <w:sz w:val="27"/>
          <w:szCs w:val="27"/>
          <w:color w:val="auto"/>
          <w:vertAlign w:val="superscript"/>
        </w:rPr>
        <w:t>8</w:t>
      </w:r>
      <w:r>
        <w:rPr>
          <w:rFonts w:ascii="Arial" w:cs="Arial" w:eastAsia="Arial" w:hAnsi="Arial"/>
          <w:sz w:val="16"/>
          <w:szCs w:val="16"/>
          <w:color w:val="auto"/>
        </w:rPr>
        <w:t xml:space="preserve"> that could lead to increased future impairments. Despite the materiality of this</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SUPPORTING STATEMENT: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issue, Chevron’s audited annual disclosures do not currently provide investors with sufficient insight into assumptions used to assess productive assets for impairment and stranded asset risk. Further, an independent 2021 analysis concluded that Chevron’s financial statements lack the requisite transparency about climate-related assumptions and estimates, and that the company does not appear to use Paris-aligned assumptions and estimates.</w:t>
      </w:r>
      <w:r>
        <w:rPr>
          <w:rFonts w:ascii="Arial" w:cs="Arial" w:eastAsia="Arial" w:hAnsi="Arial"/>
          <w:sz w:val="27"/>
          <w:szCs w:val="27"/>
          <w:color w:val="auto"/>
          <w:vertAlign w:val="superscript"/>
        </w:rPr>
        <w:t>9</w:t>
      </w:r>
    </w:p>
    <w:p>
      <w:pPr>
        <w:spacing w:after="0" w:line="3" w:lineRule="exact"/>
        <w:rPr>
          <w:sz w:val="20"/>
          <w:szCs w:val="20"/>
          <w:color w:val="auto"/>
        </w:rPr>
      </w:pPr>
    </w:p>
    <w:p>
      <w:pPr>
        <w:ind w:right="200"/>
        <w:spacing w:after="0" w:line="238" w:lineRule="auto"/>
        <w:rPr>
          <w:sz w:val="20"/>
          <w:szCs w:val="20"/>
          <w:color w:val="auto"/>
        </w:rPr>
      </w:pPr>
      <w:r>
        <w:rPr>
          <w:rFonts w:ascii="Arial" w:cs="Arial" w:eastAsia="Arial" w:hAnsi="Arial"/>
          <w:sz w:val="16"/>
          <w:szCs w:val="16"/>
          <w:color w:val="auto"/>
        </w:rPr>
        <w:t>In contrast, peers (Shell, bp, TotalEnergies) have released more transparent disclosures in their audited financial statements, articulating the extent of consideration of climate change contingencies and risks.</w:t>
      </w:r>
      <w:r>
        <w:rPr>
          <w:rFonts w:ascii="Arial" w:cs="Arial" w:eastAsia="Arial" w:hAnsi="Arial"/>
          <w:sz w:val="27"/>
          <w:szCs w:val="27"/>
          <w:color w:val="auto"/>
          <w:vertAlign w:val="superscript"/>
        </w:rPr>
        <w:t>10</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Accurate accounting assists investors in understanding the drivers of risk and return. Investors seek additional information from Chevron to understand the impact of climate-related factors on its business model and current financial reporting.</w:t>
      </w:r>
    </w:p>
    <w:p>
      <w:pPr>
        <w:spacing w:after="0" w:line="75"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Shareholders request Chevron’s Board of Directors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an audited report addressing how application of the assumptions of the IEA’s Net Zero by 2050 pathway would affect the assumptions and estimates underlying its financial statements, including its long-term commodity and carbon prices, remaining asset lives, existing and future asset retirement obligations, capital expenditures, and asset valuations (impairments). The report should be produced at reasonable cost and omitting proprietary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896620</wp:posOffset>
            </wp:positionV>
            <wp:extent cx="699516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19" w:lineRule="exact"/>
        <w:rPr>
          <w:sz w:val="20"/>
          <w:szCs w:val="20"/>
          <w:color w:val="auto"/>
        </w:rPr>
      </w:pPr>
    </w:p>
    <w:p>
      <w:pPr>
        <w:sectPr>
          <w:pgSz w:w="11900" w:h="16838" w:orient="portrait"/>
          <w:cols w:equalWidth="0" w:num="2">
            <w:col w:w="5360" w:space="380"/>
            <w:col w:w="5340"/>
          </w:cols>
          <w:pgMar w:left="320" w:top="455" w:right="49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Proponents recommend the report be supported with reasonable assurance from an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97790</wp:posOffset>
            </wp:positionV>
            <wp:extent cx="223710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139" w:lineRule="exact"/>
        <w:rPr>
          <w:sz w:val="20"/>
          <w:szCs w:val="20"/>
          <w:color w:val="auto"/>
        </w:rPr>
      </w:pPr>
    </w:p>
    <w:p>
      <w:pPr>
        <w:ind w:left="340" w:hanging="224"/>
        <w:spacing w:after="0"/>
        <w:tabs>
          <w:tab w:leader="none" w:pos="340" w:val="left"/>
        </w:tabs>
        <w:numPr>
          <w:ilvl w:val="0"/>
          <w:numId w:val="133"/>
        </w:numPr>
        <w:rPr>
          <w:rFonts w:ascii="Arial" w:cs="Arial" w:eastAsia="Arial" w:hAnsi="Arial"/>
          <w:sz w:val="24"/>
          <w:szCs w:val="24"/>
          <w:color w:val="auto"/>
          <w:vertAlign w:val="superscript"/>
        </w:rPr>
      </w:pPr>
      <w:r>
        <w:rPr>
          <w:rFonts w:ascii="Arial" w:cs="Arial" w:eastAsia="Arial" w:hAnsi="Arial"/>
          <w:sz w:val="14"/>
          <w:szCs w:val="14"/>
          <w:color w:val="auto"/>
        </w:rPr>
        <w:t>https://www.ifrs.org/news-and-events/news/2019/11/nick-anderson-ifrs-standards-and-climate-related-disclosures/</w:t>
      </w:r>
    </w:p>
    <w:p>
      <w:pPr>
        <w:ind w:left="340" w:right="2120" w:hanging="224"/>
        <w:spacing w:after="0" w:line="195" w:lineRule="auto"/>
        <w:tabs>
          <w:tab w:leader="none" w:pos="340" w:val="left"/>
        </w:tabs>
        <w:numPr>
          <w:ilvl w:val="0"/>
          <w:numId w:val="134"/>
        </w:numPr>
        <w:rPr>
          <w:rFonts w:ascii="Arial" w:cs="Arial" w:eastAsia="Arial" w:hAnsi="Arial"/>
          <w:sz w:val="24"/>
          <w:szCs w:val="24"/>
          <w:color w:val="auto"/>
          <w:vertAlign w:val="superscript"/>
        </w:rPr>
      </w:pPr>
      <w:r>
        <w:rPr>
          <w:rFonts w:ascii="Arial" w:cs="Arial" w:eastAsia="Arial" w:hAnsi="Arial"/>
          <w:sz w:val="14"/>
          <w:szCs w:val="14"/>
          <w:color w:val="auto"/>
        </w:rPr>
        <w:t>https://www.fasb.org/cs/BlobServer?blobkey=id&amp;blobnocache=true&amp;blobwhere=1175836268408&amp;blobheader=application%2Fpdf&amp; blobheadername2=Content-Length&amp;blobheadername1=Content-Disposition&amp;blobheadervalue2=333644&amp;blobheadervalue1=filename% 3DFASB_Staff_ESG_Educational_Paper_FINAL.pdf&amp;blob col=urldata&amp;blobtable=MungoBlobs</w:t>
      </w:r>
    </w:p>
    <w:p>
      <w:pPr>
        <w:ind w:left="340" w:hanging="224"/>
        <w:spacing w:after="0" w:line="186" w:lineRule="auto"/>
        <w:tabs>
          <w:tab w:leader="none" w:pos="340" w:val="left"/>
        </w:tabs>
        <w:numPr>
          <w:ilvl w:val="0"/>
          <w:numId w:val="135"/>
        </w:numPr>
        <w:rPr>
          <w:rFonts w:ascii="Arial" w:cs="Arial" w:eastAsia="Arial" w:hAnsi="Arial"/>
          <w:sz w:val="19"/>
          <w:szCs w:val="19"/>
          <w:color w:val="auto"/>
          <w:vertAlign w:val="superscript"/>
        </w:rPr>
      </w:pPr>
      <w:r>
        <w:rPr>
          <w:rFonts w:ascii="Arial" w:cs="Arial" w:eastAsia="Arial" w:hAnsi="Arial"/>
          <w:sz w:val="12"/>
          <w:szCs w:val="12"/>
          <w:color w:val="auto"/>
        </w:rPr>
        <w:t>https://www.iaasb.org/news-events/2020-10/iaasb-issues-staff-audit-practice-alert-climate-related-risks</w:t>
      </w:r>
    </w:p>
    <w:p>
      <w:pPr>
        <w:ind w:left="120"/>
        <w:spacing w:after="0" w:line="189" w:lineRule="auto"/>
        <w:rPr>
          <w:rFonts w:ascii="Arial" w:cs="Arial" w:eastAsia="Arial" w:hAnsi="Arial"/>
          <w:sz w:val="19"/>
          <w:szCs w:val="19"/>
          <w:color w:val="auto"/>
          <w:vertAlign w:val="superscript"/>
        </w:rPr>
      </w:pPr>
      <w:r>
        <w:rPr>
          <w:rFonts w:ascii="Arial" w:cs="Arial" w:eastAsia="Arial" w:hAnsi="Arial"/>
          <w:sz w:val="17"/>
          <w:szCs w:val="17"/>
          <w:color w:val="auto"/>
          <w:vertAlign w:val="superscript"/>
        </w:rPr>
        <w:t>4</w:t>
      </w:r>
      <w:r>
        <w:rPr>
          <w:rFonts w:ascii="Arial" w:cs="Arial" w:eastAsia="Arial" w:hAnsi="Arial"/>
          <w:sz w:val="11"/>
          <w:szCs w:val="11"/>
          <w:color w:val="auto"/>
        </w:rPr>
        <w:t xml:space="preserve">  https://www.unpri.org/download?ac=11558</w:t>
      </w:r>
    </w:p>
    <w:p>
      <w:pPr>
        <w:ind w:left="340" w:hanging="224"/>
        <w:spacing w:after="0" w:line="188" w:lineRule="auto"/>
        <w:tabs>
          <w:tab w:leader="none" w:pos="340" w:val="left"/>
        </w:tabs>
        <w:numPr>
          <w:ilvl w:val="0"/>
          <w:numId w:val="136"/>
        </w:numPr>
        <w:rPr>
          <w:rFonts w:ascii="Arial" w:cs="Arial" w:eastAsia="Arial" w:hAnsi="Arial"/>
          <w:sz w:val="18"/>
          <w:szCs w:val="18"/>
          <w:color w:val="auto"/>
          <w:vertAlign w:val="superscript"/>
        </w:rPr>
      </w:pPr>
      <w:r>
        <w:rPr>
          <w:rFonts w:ascii="Arial" w:cs="Arial" w:eastAsia="Arial" w:hAnsi="Arial"/>
          <w:sz w:val="11"/>
          <w:szCs w:val="11"/>
          <w:color w:val="auto"/>
        </w:rPr>
        <w:t>See e.g. https://www.gfanzero.com/press/amount-of-finance-committed-to-achieving-1-5c-now-at-scale-needed-to-deliver- the-transition/</w:t>
      </w:r>
    </w:p>
    <w:p>
      <w:pPr>
        <w:ind w:left="340" w:hanging="224"/>
        <w:spacing w:after="0" w:line="188" w:lineRule="auto"/>
        <w:tabs>
          <w:tab w:leader="none" w:pos="340" w:val="left"/>
        </w:tabs>
        <w:numPr>
          <w:ilvl w:val="0"/>
          <w:numId w:val="137"/>
        </w:numPr>
        <w:rPr>
          <w:rFonts w:ascii="Arial" w:cs="Arial" w:eastAsia="Arial" w:hAnsi="Arial"/>
          <w:sz w:val="18"/>
          <w:szCs w:val="18"/>
          <w:color w:val="auto"/>
          <w:vertAlign w:val="superscript"/>
        </w:rPr>
      </w:pPr>
      <w:r>
        <w:rPr>
          <w:rFonts w:ascii="Arial" w:cs="Arial" w:eastAsia="Arial" w:hAnsi="Arial"/>
          <w:sz w:val="11"/>
          <w:szCs w:val="11"/>
          <w:color w:val="auto"/>
        </w:rPr>
        <w:t>https://www.iea.org/reports/world-energy-outlook-2021 p. 101</w:t>
      </w:r>
    </w:p>
    <w:p>
      <w:pPr>
        <w:ind w:left="340" w:hanging="224"/>
        <w:spacing w:after="0" w:line="188" w:lineRule="auto"/>
        <w:tabs>
          <w:tab w:leader="none" w:pos="340" w:val="left"/>
        </w:tabs>
        <w:numPr>
          <w:ilvl w:val="0"/>
          <w:numId w:val="138"/>
        </w:numPr>
        <w:rPr>
          <w:rFonts w:ascii="Arial" w:cs="Arial" w:eastAsia="Arial" w:hAnsi="Arial"/>
          <w:sz w:val="18"/>
          <w:szCs w:val="18"/>
          <w:color w:val="auto"/>
          <w:vertAlign w:val="superscript"/>
        </w:rPr>
      </w:pPr>
      <w:r>
        <w:rPr>
          <w:rFonts w:ascii="Arial" w:cs="Arial" w:eastAsia="Arial" w:hAnsi="Arial"/>
          <w:sz w:val="11"/>
          <w:szCs w:val="11"/>
          <w:color w:val="auto"/>
        </w:rPr>
        <w:t>https://carbontracker.org/reports/flying-blind-the-glaring-absence-of-climate-risks-in-financial-reporting/</w:t>
      </w:r>
    </w:p>
    <w:p>
      <w:pPr>
        <w:ind w:left="340" w:hanging="224"/>
        <w:spacing w:after="0" w:line="188" w:lineRule="auto"/>
        <w:tabs>
          <w:tab w:leader="none" w:pos="340" w:val="left"/>
        </w:tabs>
        <w:numPr>
          <w:ilvl w:val="0"/>
          <w:numId w:val="139"/>
        </w:numPr>
        <w:rPr>
          <w:rFonts w:ascii="Arial" w:cs="Arial" w:eastAsia="Arial" w:hAnsi="Arial"/>
          <w:sz w:val="18"/>
          <w:szCs w:val="18"/>
          <w:color w:val="auto"/>
          <w:vertAlign w:val="superscript"/>
        </w:rPr>
      </w:pPr>
      <w:r>
        <w:rPr>
          <w:rFonts w:ascii="Arial" w:cs="Arial" w:eastAsia="Arial" w:hAnsi="Arial"/>
          <w:sz w:val="11"/>
          <w:szCs w:val="11"/>
          <w:color w:val="auto"/>
        </w:rPr>
        <w:t>executive-summary-climate-resiliency-report.pdf, p. 3</w:t>
      </w:r>
    </w:p>
    <w:p>
      <w:pPr>
        <w:ind w:left="340" w:hanging="224"/>
        <w:spacing w:after="0" w:line="186" w:lineRule="auto"/>
        <w:tabs>
          <w:tab w:leader="none" w:pos="340" w:val="left"/>
        </w:tabs>
        <w:numPr>
          <w:ilvl w:val="0"/>
          <w:numId w:val="140"/>
        </w:numPr>
        <w:rPr>
          <w:rFonts w:ascii="Arial" w:cs="Arial" w:eastAsia="Arial" w:hAnsi="Arial"/>
          <w:sz w:val="19"/>
          <w:szCs w:val="19"/>
          <w:color w:val="auto"/>
          <w:vertAlign w:val="superscript"/>
        </w:rPr>
      </w:pPr>
      <w:r>
        <w:rPr>
          <w:rFonts w:ascii="Arial" w:cs="Arial" w:eastAsia="Arial" w:hAnsi="Arial"/>
          <w:sz w:val="12"/>
          <w:szCs w:val="12"/>
          <w:color w:val="auto"/>
        </w:rPr>
        <w:t>https://carbontracker.org/reports/flying-blind-the-glaring-absence-of-climate-risks-in-financial-reporting/</w:t>
      </w:r>
    </w:p>
    <w:p>
      <w:pPr>
        <w:ind w:left="120"/>
        <w:spacing w:after="0"/>
        <w:rPr>
          <w:rFonts w:ascii="Arial" w:cs="Arial" w:eastAsia="Arial" w:hAnsi="Arial"/>
          <w:sz w:val="19"/>
          <w:szCs w:val="19"/>
          <w:color w:val="auto"/>
          <w:vertAlign w:val="superscript"/>
        </w:rPr>
      </w:pPr>
      <w:r>
        <w:rPr>
          <w:rFonts w:ascii="Arial" w:cs="Arial" w:eastAsia="Arial" w:hAnsi="Arial"/>
          <w:sz w:val="24"/>
          <w:szCs w:val="24"/>
          <w:color w:val="auto"/>
          <w:vertAlign w:val="superscript"/>
        </w:rPr>
        <w:t>10</w:t>
      </w:r>
      <w:r>
        <w:rPr>
          <w:rFonts w:ascii="Arial" w:cs="Arial" w:eastAsia="Arial" w:hAnsi="Arial"/>
          <w:sz w:val="14"/>
          <w:szCs w:val="14"/>
          <w:color w:val="auto"/>
        </w:rPr>
        <w:t xml:space="preserve"> https://www.sec.gov/Archives/edgar/data/34088/000121465921004380/cg421210px14a6g.htm, p. 6</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Chevron Corporation – 2022 Proxy Statement</w:t>
      </w:r>
    </w:p>
    <w:p>
      <w:pPr>
        <w:spacing w:after="0" w:line="41"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92</w:t>
      </w:r>
    </w:p>
    <w:p>
      <w:pPr>
        <w:sectPr>
          <w:pgSz w:w="11900" w:h="16838" w:orient="portrait"/>
          <w:cols w:equalWidth="0" w:num="1">
            <w:col w:w="11080"/>
          </w:cols>
          <w:pgMar w:left="320" w:top="455" w:right="499" w:bottom="1440" w:gutter="0" w:footer="0" w:header="0"/>
          <w:type w:val="continuous"/>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208280</wp:posOffset>
            </wp:positionV>
            <wp:extent cx="1405890" cy="1454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405890" cy="145415"/>
                    </a:xfrm>
                    <a:prstGeom prst="rect">
                      <a:avLst/>
                    </a:prstGeom>
                    <a:noFill/>
                  </pic:spPr>
                </pic:pic>
              </a:graphicData>
            </a:graphic>
          </wp:anchor>
        </w:drawing>
      </w:r>
    </w:p>
    <w:p>
      <w:pPr>
        <w:spacing w:after="0" w:line="339"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FFFFFF"/>
        </w:rPr>
        <w:t>Stockholder proposals</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0B2D71"/>
        </w:rPr>
        <w:t>Board of directors’ response</w:t>
      </w:r>
    </w:p>
    <w:p>
      <w:pPr>
        <w:spacing w:after="0" w:line="128" w:lineRule="exact"/>
        <w:rPr>
          <w:sz w:val="20"/>
          <w:szCs w:val="20"/>
          <w:color w:val="auto"/>
        </w:rPr>
      </w:pPr>
    </w:p>
    <w:p>
      <w:pPr>
        <w:ind w:left="120" w:right="280"/>
        <w:spacing w:after="0" w:line="286" w:lineRule="auto"/>
        <w:rPr>
          <w:sz w:val="20"/>
          <w:szCs w:val="20"/>
          <w:color w:val="auto"/>
        </w:rPr>
      </w:pPr>
      <w:r>
        <w:rPr>
          <w:rFonts w:ascii="Arial" w:cs="Arial" w:eastAsia="Arial" w:hAnsi="Arial"/>
          <w:sz w:val="16"/>
          <w:szCs w:val="16"/>
          <w:color w:val="auto"/>
        </w:rPr>
        <w:t>Your Board appreciates the focus of our investors and stakeholders on achieving the goals of the Paris Agreement. Chevron supports the goals of the Paris Agreement and is committed to lowering our portfolio carbon intensity, on a full-cycle basis, and to being transparent about our progress.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We have substantially addressed the request</w:t>
      </w:r>
    </w:p>
    <w:p>
      <w:pPr>
        <w:spacing w:after="0" w:line="112"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Chevron received a similar proposal last year, seeking an audited report on how the energy sector pathway hypothesized in the IEA Net Zero 2050 scenario (NZE 2050) would affect Chevron’s financial position and underlying assumptions. Subsequent to that proposal, we tested our portfolio using NZE 2050 demand and commodity price projections. We reported on the results of this scenario test in our updated Climate Change Resilience Report in October 2021. That report discusses how our portfolio would fare from a financial viability perspective and also the changes we would need to make under the NZE 2050 assumptions. Chevron’s Corporate Audit department, which performs the internal audit function at Chevron, conducted a non-rated assurance review of the NZE 2050 scenario analysis, and determined that the analysis was conducted in accordance with established internal process and emerging external guidance.</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We report in accordance with established standards</w:t>
      </w:r>
    </w:p>
    <w:p>
      <w:pPr>
        <w:spacing w:after="0" w:line="112"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We regularly analyze alternative scenarios to stress-test our portfolio, and we integrate those learnings to help us remain competitive and resilient in any environment. This information is confidential and competitively sensitive. We do not report audited outcomes on these scenarios. Rather, we report and disclose in accordance with U.S. GAAP and are audited in accordance with the standards of the Public Company Accounting Oversight Board. With this oversight framework, our strategic plans reflect management’s best assessment of the longer-term outlook on supply, demand and commodity prices and its judgment in deploying the Company’s strategy in that environment. We consider the likelihood of the IEA’s NZE 2050 scenario to be remote and do not rely on the NZE 2050 scenario for our business planning. Your Board believes it would not be a responsible use of Company resources to produce a further report to address a speculative scenario, as the Proposal requests.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22"/>
          <w:szCs w:val="22"/>
          <w:color w:val="0B2D71"/>
        </w:rPr>
        <w:t xml:space="preserve">Therefore, your Board recommends that you vote </w:t>
      </w:r>
      <w:r>
        <w:rPr>
          <w:rFonts w:ascii="Arial" w:cs="Arial" w:eastAsia="Arial" w:hAnsi="Arial"/>
          <w:sz w:val="22"/>
          <w:szCs w:val="22"/>
          <w:b w:val="1"/>
          <w:bCs w:val="1"/>
          <w:color w:val="0B2D71"/>
        </w:rPr>
        <w:t>against</w:t>
      </w:r>
      <w:r>
        <w:rPr>
          <w:rFonts w:ascii="Arial" w:cs="Arial" w:eastAsia="Arial" w:hAnsi="Arial"/>
          <w:sz w:val="22"/>
          <w:szCs w:val="22"/>
          <w:color w:val="0B2D71"/>
        </w:rPr>
        <w:t xml:space="preserve"> this proposal.</w:t>
      </w:r>
    </w:p>
    <w:p>
      <w:pPr>
        <w:spacing w:after="0" w:line="149"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93</w:t>
      </w:r>
    </w:p>
    <w:p>
      <w:pPr>
        <w:sectPr>
          <w:pgSz w:w="11900" w:h="16838" w:orient="portrait"/>
          <w:cols w:equalWidth="0" w:num="1">
            <w:col w:w="11100"/>
          </w:cols>
          <w:pgMar w:left="320" w:top="455" w:right="47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37310" cy="1454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337310" cy="145415"/>
                    </a:xfrm>
                    <a:prstGeom prst="rect">
                      <a:avLst/>
                    </a:prstGeom>
                    <a:noFill/>
                  </pic:spPr>
                </pic:pic>
              </a:graphicData>
            </a:graphic>
          </wp:anchor>
        </w:drawing>
      </w:r>
    </w:p>
    <w:p>
      <w:pPr>
        <w:spacing w:after="0" w:line="33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Stockholder proposals</w:t>
      </w:r>
    </w:p>
    <w:p>
      <w:pPr>
        <w:spacing w:after="0" w:line="161" w:lineRule="exact"/>
        <w:rPr>
          <w:sz w:val="20"/>
          <w:szCs w:val="20"/>
          <w:color w:val="auto"/>
        </w:rPr>
      </w:pPr>
    </w:p>
    <w:p>
      <w:pPr>
        <w:jc w:val="center"/>
        <w:ind w:left="1300"/>
        <w:spacing w:after="0" w:line="298" w:lineRule="auto"/>
        <w:rPr>
          <w:sz w:val="20"/>
          <w:szCs w:val="20"/>
          <w:color w:val="auto"/>
        </w:rPr>
      </w:pPr>
      <w:r>
        <w:rPr>
          <w:rFonts w:ascii="Arial" w:cs="Arial" w:eastAsia="Arial" w:hAnsi="Arial"/>
          <w:sz w:val="25"/>
          <w:szCs w:val="25"/>
          <w:b w:val="1"/>
          <w:bCs w:val="1"/>
          <w:color w:val="0B2D71"/>
        </w:rPr>
        <w:t>Stockholder proposal to report on reliability of methane emission disclosures (Item 7 on the proxy card)</w:t>
      </w:r>
    </w:p>
    <w:p>
      <w:pPr>
        <w:sectPr>
          <w:pgSz w:w="11900" w:h="16838" w:orient="portrait"/>
          <w:cols w:equalWidth="0" w:num="1">
            <w:col w:w="11080"/>
          </w:cols>
          <w:pgMar w:left="320" w:top="455" w:right="499" w:bottom="1440" w:gutter="0" w:footer="0" w:header="0"/>
        </w:sectPr>
      </w:pPr>
    </w:p>
    <w:p>
      <w:pPr>
        <w:spacing w:after="0" w:line="66" w:lineRule="exact"/>
        <w:rPr>
          <w:sz w:val="20"/>
          <w:szCs w:val="20"/>
          <w:color w:val="auto"/>
        </w:rPr>
      </w:pPr>
    </w:p>
    <w:p>
      <w:pPr>
        <w:ind w:left="120" w:right="340"/>
        <w:spacing w:after="0" w:line="21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at least a quarter of today’s global warming is caused by</w:t>
      </w:r>
      <w:r>
        <w:rPr>
          <w:rFonts w:ascii="Arial" w:cs="Arial" w:eastAsia="Arial" w:hAnsi="Arial"/>
          <w:sz w:val="16"/>
          <w:szCs w:val="16"/>
          <w:b w:val="1"/>
          <w:bCs w:val="1"/>
          <w:color w:val="auto"/>
        </w:rPr>
        <w:t xml:space="preserve"> </w:t>
      </w:r>
      <w:r>
        <w:rPr>
          <w:rFonts w:ascii="Arial" w:cs="Arial" w:eastAsia="Arial" w:hAnsi="Arial"/>
          <w:sz w:val="16"/>
          <w:szCs w:val="16"/>
          <w:color w:val="auto"/>
        </w:rPr>
        <w:t>methane emissions from human sources.</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Methane is 86 times more potent than carbon dioxide over a 20-year period, meaning reducing emissions now can buy valuable time to address the climate crisis.</w:t>
      </w:r>
    </w:p>
    <w:p>
      <w:pPr>
        <w:spacing w:after="0" w:line="84" w:lineRule="exact"/>
        <w:rPr>
          <w:sz w:val="20"/>
          <w:szCs w:val="20"/>
          <w:color w:val="auto"/>
        </w:rPr>
      </w:pPr>
    </w:p>
    <w:p>
      <w:pPr>
        <w:ind w:left="120" w:right="340"/>
        <w:spacing w:after="0" w:line="244" w:lineRule="auto"/>
        <w:rPr>
          <w:sz w:val="20"/>
          <w:szCs w:val="20"/>
          <w:color w:val="auto"/>
        </w:rPr>
      </w:pPr>
      <w:r>
        <w:rPr>
          <w:rFonts w:ascii="Arial" w:cs="Arial" w:eastAsia="Arial" w:hAnsi="Arial"/>
          <w:sz w:val="16"/>
          <w:szCs w:val="16"/>
          <w:color w:val="auto"/>
        </w:rPr>
        <w:t>In 2019, 30% of U.S. methane emissions from human activities came from natural gas and petroleum systems, from venting, flaring, and leaking.</w:t>
      </w:r>
      <w:r>
        <w:rPr>
          <w:rFonts w:ascii="Arial" w:cs="Arial" w:eastAsia="Arial" w:hAnsi="Arial"/>
          <w:sz w:val="27"/>
          <w:szCs w:val="27"/>
          <w:color w:val="auto"/>
          <w:vertAlign w:val="superscript"/>
        </w:rPr>
        <w:t>2</w:t>
      </w:r>
    </w:p>
    <w:p>
      <w:pPr>
        <w:spacing w:after="0" w:line="1" w:lineRule="exact"/>
        <w:rPr>
          <w:sz w:val="20"/>
          <w:szCs w:val="20"/>
          <w:color w:val="auto"/>
        </w:rPr>
      </w:pPr>
    </w:p>
    <w:p>
      <w:pPr>
        <w:ind w:left="120"/>
        <w:spacing w:after="0" w:line="211" w:lineRule="auto"/>
        <w:rPr>
          <w:sz w:val="20"/>
          <w:szCs w:val="20"/>
          <w:color w:val="auto"/>
        </w:rPr>
      </w:pPr>
      <w:r>
        <w:rPr>
          <w:rFonts w:ascii="Arial" w:cs="Arial" w:eastAsia="Arial" w:hAnsi="Arial"/>
          <w:sz w:val="16"/>
          <w:szCs w:val="16"/>
          <w:color w:val="auto"/>
        </w:rPr>
        <w:t>Methane emissions can be quantified directly through measurement (e.g., by detector, drone or satellite), or indirectly through calculations and modelling. However, the Environmental Protection Agency (EPA) formula used to estimate methane emissions is not a good foundation for a corporate mitigation strategy, failing to capture many major leaks, wasting valuable product (worth $2 billion per year) and substantially underestimating emissions.</w:t>
      </w:r>
      <w:r>
        <w:rPr>
          <w:rFonts w:ascii="Arial" w:cs="Arial" w:eastAsia="Arial" w:hAnsi="Arial"/>
          <w:sz w:val="27"/>
          <w:szCs w:val="27"/>
          <w:color w:val="auto"/>
          <w:vertAlign w:val="superscript"/>
        </w:rPr>
        <w:t>3</w:t>
      </w:r>
      <w:r>
        <w:rPr>
          <w:rFonts w:ascii="Arial" w:cs="Arial" w:eastAsia="Arial" w:hAnsi="Arial"/>
          <w:sz w:val="16"/>
          <w:szCs w:val="16"/>
          <w:color w:val="auto"/>
        </w:rPr>
        <w:t xml:space="preserve"> Studies have found actual emissions to be between 50 and 90% higher than estimated emissions reported using the formula.</w:t>
      </w:r>
      <w:r>
        <w:rPr>
          <w:rFonts w:ascii="Arial" w:cs="Arial" w:eastAsia="Arial" w:hAnsi="Arial"/>
          <w:sz w:val="27"/>
          <w:szCs w:val="27"/>
          <w:color w:val="auto"/>
          <w:vertAlign w:val="superscript"/>
        </w:rPr>
        <w:t>4</w:t>
      </w:r>
      <w:r>
        <w:rPr>
          <w:rFonts w:ascii="Arial" w:cs="Arial" w:eastAsia="Arial" w:hAnsi="Arial"/>
          <w:sz w:val="16"/>
          <w:szCs w:val="16"/>
          <w:color w:val="auto"/>
        </w:rPr>
        <w:t xml:space="preserve"> In certain basins, studies have found emissions to be more than 10 times higher than industry disclosed figures.</w:t>
      </w:r>
      <w:r>
        <w:rPr>
          <w:rFonts w:ascii="Arial" w:cs="Arial" w:eastAsia="Arial" w:hAnsi="Arial"/>
          <w:sz w:val="27"/>
          <w:szCs w:val="27"/>
          <w:color w:val="auto"/>
          <w:vertAlign w:val="superscript"/>
        </w:rPr>
        <w:t>5</w:t>
      </w:r>
      <w:r>
        <w:rPr>
          <w:rFonts w:ascii="Arial" w:cs="Arial" w:eastAsia="Arial" w:hAnsi="Arial"/>
          <w:sz w:val="16"/>
          <w:szCs w:val="16"/>
          <w:color w:val="auto"/>
        </w:rPr>
        <w:t xml:space="preserve"> As a result, oil and gas industry Scope 1 emissions may be significantly higher than currently reported.</w:t>
      </w:r>
    </w:p>
    <w:p>
      <w:pPr>
        <w:spacing w:after="0" w:line="85"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Companies that do not manage methane emissions jeopardize other industry decarbonization efforts, and risk their reputation and license to operate, as investors, regulators and civil society are setting expectations to address this issue.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6"/>
        <w:spacing w:after="0" w:line="203" w:lineRule="auto"/>
        <w:rPr>
          <w:sz w:val="20"/>
          <w:szCs w:val="20"/>
          <w:color w:val="auto"/>
        </w:rPr>
      </w:pPr>
      <w:r>
        <w:rPr>
          <w:rFonts w:ascii="Arial" w:cs="Arial" w:eastAsia="Arial" w:hAnsi="Arial"/>
          <w:sz w:val="16"/>
          <w:szCs w:val="16"/>
          <w:color w:val="auto"/>
        </w:rPr>
        <w:t>In 2021, investors managing more than $5.35 trillion supported strong federal methane regulations.</w:t>
      </w:r>
      <w:r>
        <w:rPr>
          <w:rFonts w:ascii="Arial" w:cs="Arial" w:eastAsia="Arial" w:hAnsi="Arial"/>
          <w:sz w:val="27"/>
          <w:szCs w:val="27"/>
          <w:color w:val="auto"/>
          <w:vertAlign w:val="superscript"/>
        </w:rPr>
        <w:t>6</w:t>
      </w:r>
      <w:r>
        <w:rPr>
          <w:rFonts w:ascii="Arial" w:cs="Arial" w:eastAsia="Arial" w:hAnsi="Arial"/>
          <w:sz w:val="16"/>
          <w:szCs w:val="16"/>
          <w:color w:val="auto"/>
        </w:rPr>
        <w:t xml:space="preserve"> The U.S. joined the Global Methane Pledge, committing to using best available inventory methodologies to quantify methane emissions.</w:t>
      </w:r>
      <w:r>
        <w:rPr>
          <w:rFonts w:ascii="Arial" w:cs="Arial" w:eastAsia="Arial" w:hAnsi="Arial"/>
          <w:sz w:val="27"/>
          <w:szCs w:val="27"/>
          <w:color w:val="auto"/>
          <w:vertAlign w:val="superscript"/>
        </w:rPr>
        <w:t>7</w:t>
      </w:r>
      <w:r>
        <w:rPr>
          <w:rFonts w:ascii="Arial" w:cs="Arial" w:eastAsia="Arial" w:hAnsi="Arial"/>
          <w:sz w:val="16"/>
          <w:szCs w:val="16"/>
          <w:color w:val="auto"/>
        </w:rPr>
        <w:t xml:space="preserve"> Companies, including U.S. companies EQT and Jonah Energy, have joined the Oil and Gas Methane Partnership, committing to improving methane data quality and consistency.</w:t>
      </w:r>
      <w:r>
        <w:rPr>
          <w:rFonts w:ascii="Arial" w:cs="Arial" w:eastAsia="Arial" w:hAnsi="Arial"/>
          <w:sz w:val="27"/>
          <w:szCs w:val="27"/>
          <w:color w:val="auto"/>
          <w:vertAlign w:val="superscript"/>
        </w:rPr>
        <w:t>8</w:t>
      </w:r>
    </w:p>
    <w:p>
      <w:pPr>
        <w:spacing w:after="0" w:line="3" w:lineRule="exact"/>
        <w:rPr>
          <w:sz w:val="20"/>
          <w:szCs w:val="20"/>
          <w:color w:val="auto"/>
        </w:rPr>
      </w:pPr>
    </w:p>
    <w:p>
      <w:pPr>
        <w:ind w:left="6" w:right="320"/>
        <w:spacing w:after="0" w:line="203" w:lineRule="auto"/>
        <w:rPr>
          <w:sz w:val="20"/>
          <w:szCs w:val="20"/>
          <w:color w:val="auto"/>
        </w:rPr>
      </w:pPr>
      <w:r>
        <w:rPr>
          <w:rFonts w:ascii="Arial" w:cs="Arial" w:eastAsia="Arial" w:hAnsi="Arial"/>
          <w:sz w:val="16"/>
          <w:szCs w:val="16"/>
          <w:color w:val="auto"/>
        </w:rPr>
        <w:t>According to EPA data, Chevron ranks 73d of U.S. top 100 oil and gas producers, with a methane intensity of 0.08%.</w:t>
      </w:r>
      <w:r>
        <w:rPr>
          <w:rFonts w:ascii="Arial" w:cs="Arial" w:eastAsia="Arial" w:hAnsi="Arial"/>
          <w:sz w:val="27"/>
          <w:szCs w:val="27"/>
          <w:color w:val="auto"/>
          <w:vertAlign w:val="superscript"/>
        </w:rPr>
        <w:t>9</w:t>
      </w:r>
      <w:r>
        <w:rPr>
          <w:rFonts w:ascii="Arial" w:cs="Arial" w:eastAsia="Arial" w:hAnsi="Arial"/>
          <w:sz w:val="16"/>
          <w:szCs w:val="16"/>
          <w:color w:val="auto"/>
        </w:rPr>
        <w:t xml:space="preserve"> However, given the limitations of EPA’s methodology this ranking lacks credibility.</w:t>
      </w:r>
    </w:p>
    <w:p>
      <w:pPr>
        <w:spacing w:after="0" w:line="85" w:lineRule="exact"/>
        <w:rPr>
          <w:sz w:val="20"/>
          <w:szCs w:val="20"/>
          <w:color w:val="auto"/>
        </w:rPr>
      </w:pPr>
    </w:p>
    <w:p>
      <w:pPr>
        <w:ind w:left="6" w:right="20"/>
        <w:spacing w:after="0" w:line="266"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shareholders request that the Board oversee the preparation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 report analyzing a critical climate change concern, the reliability of Chevron’s methane emission disclosures. The report should:</w:t>
      </w:r>
    </w:p>
    <w:p>
      <w:pPr>
        <w:spacing w:after="0" w:line="77" w:lineRule="exact"/>
        <w:rPr>
          <w:sz w:val="20"/>
          <w:szCs w:val="20"/>
          <w:color w:val="auto"/>
        </w:rPr>
      </w:pPr>
    </w:p>
    <w:p>
      <w:pPr>
        <w:ind w:left="166" w:right="380" w:hanging="166"/>
        <w:spacing w:after="0" w:line="286" w:lineRule="auto"/>
        <w:tabs>
          <w:tab w:leader="none" w:pos="16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summarize the outcome of any efforts to directly measure methane emissions by the Company;</w:t>
      </w:r>
    </w:p>
    <w:p>
      <w:pPr>
        <w:spacing w:after="0" w:line="61" w:lineRule="exact"/>
        <w:rPr>
          <w:rFonts w:ascii="Arial" w:cs="Arial" w:eastAsia="Arial" w:hAnsi="Arial"/>
          <w:sz w:val="16"/>
          <w:szCs w:val="16"/>
          <w:color w:val="auto"/>
        </w:rPr>
      </w:pPr>
    </w:p>
    <w:p>
      <w:pPr>
        <w:jc w:val="both"/>
        <w:ind w:left="166" w:right="560" w:hanging="166"/>
        <w:spacing w:after="0" w:line="266" w:lineRule="auto"/>
        <w:tabs>
          <w:tab w:leader="none" w:pos="16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provide investors with insight as to whether there is likely to be a material difference between direct measurement results and the Company’s published estimates of methane emissions;</w:t>
      </w:r>
    </w:p>
    <w:p>
      <w:pPr>
        <w:spacing w:after="0" w:line="76" w:lineRule="exact"/>
        <w:rPr>
          <w:rFonts w:ascii="Arial" w:cs="Arial" w:eastAsia="Arial" w:hAnsi="Arial"/>
          <w:sz w:val="16"/>
          <w:szCs w:val="16"/>
          <w:color w:val="auto"/>
        </w:rPr>
      </w:pPr>
    </w:p>
    <w:p>
      <w:pPr>
        <w:ind w:left="166" w:right="40" w:hanging="166"/>
        <w:spacing w:after="0" w:line="286" w:lineRule="auto"/>
        <w:tabs>
          <w:tab w:leader="none" w:pos="16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assess the degree to which any differences would alter estimates of the Company’s Scope 1 emissions.</w:t>
      </w:r>
    </w:p>
    <w:p>
      <w:pPr>
        <w:spacing w:after="0" w:line="48" w:lineRule="exact"/>
        <w:rPr>
          <w:sz w:val="20"/>
          <w:szCs w:val="20"/>
          <w:color w:val="auto"/>
        </w:rPr>
      </w:pPr>
    </w:p>
    <w:p>
      <w:pPr>
        <w:ind w:left="6" w:right="340"/>
        <w:spacing w:after="0" w:line="286" w:lineRule="auto"/>
        <w:rPr>
          <w:sz w:val="20"/>
          <w:szCs w:val="20"/>
          <w:color w:val="auto"/>
        </w:rPr>
      </w:pPr>
      <w:r>
        <w:rPr>
          <w:rFonts w:ascii="Arial" w:cs="Arial" w:eastAsia="Arial" w:hAnsi="Arial"/>
          <w:sz w:val="16"/>
          <w:szCs w:val="16"/>
          <w:color w:val="auto"/>
        </w:rPr>
        <w:t>The report should be made public, omit proprietary information and be prepared expeditiously at reasonable cost.</w:t>
      </w:r>
    </w:p>
    <w:p>
      <w:pPr>
        <w:spacing w:after="0" w:line="200" w:lineRule="exact"/>
        <w:rPr>
          <w:sz w:val="20"/>
          <w:szCs w:val="20"/>
          <w:color w:val="auto"/>
        </w:rPr>
      </w:pPr>
    </w:p>
    <w:p>
      <w:pPr>
        <w:sectPr>
          <w:pgSz w:w="11900" w:h="16838" w:orient="portrait"/>
          <w:cols w:equalWidth="0" w:num="2">
            <w:col w:w="5400" w:space="334"/>
            <w:col w:w="5346"/>
          </w:cols>
          <w:pgMar w:left="320" w:top="455" w:right="499" w:bottom="1440" w:gutter="0" w:footer="0" w:header="0"/>
          <w:type w:val="continuous"/>
        </w:sectPr>
      </w:pPr>
    </w:p>
    <w:p>
      <w:pPr>
        <w:spacing w:after="0" w:line="9"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auto"/>
        </w:rPr>
        <w:t>Supporting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53340</wp:posOffset>
            </wp:positionV>
            <wp:extent cx="69951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type w:val="continuous"/>
        </w:sectPr>
      </w:pPr>
    </w:p>
    <w:p>
      <w:pPr>
        <w:spacing w:after="0" w:line="29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At management’s discretion, we recommend that the report:</w:t>
      </w:r>
    </w:p>
    <w:p>
      <w:pPr>
        <w:spacing w:after="0" w:line="73" w:lineRule="exact"/>
        <w:rPr>
          <w:sz w:val="20"/>
          <w:szCs w:val="20"/>
          <w:color w:val="auto"/>
        </w:rPr>
      </w:pPr>
    </w:p>
    <w:p>
      <w:pPr>
        <w:ind w:left="380" w:right="274" w:hanging="264"/>
        <w:spacing w:after="0" w:line="286" w:lineRule="auto"/>
        <w:tabs>
          <w:tab w:leader="none" w:pos="380" w:val="left"/>
        </w:tabs>
        <w:numPr>
          <w:ilvl w:val="0"/>
          <w:numId w:val="142"/>
        </w:numPr>
        <w:rPr>
          <w:rFonts w:ascii="Arial" w:cs="Arial" w:eastAsia="Arial" w:hAnsi="Arial"/>
          <w:sz w:val="16"/>
          <w:szCs w:val="16"/>
          <w:color w:val="0B2D71"/>
        </w:rPr>
      </w:pPr>
      <w:r>
        <w:rPr>
          <w:rFonts w:ascii="Arial" w:cs="Arial" w:eastAsia="Arial" w:hAnsi="Arial"/>
          <w:sz w:val="16"/>
          <w:szCs w:val="16"/>
          <w:color w:val="auto"/>
        </w:rPr>
        <w:t>Provide a narrative explanation of the difference between the Company’s estimated methane emissions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262255</wp:posOffset>
            </wp:positionV>
            <wp:extent cx="223710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left="266" w:right="1040"/>
        <w:spacing w:after="0" w:line="286" w:lineRule="auto"/>
        <w:rPr>
          <w:sz w:val="20"/>
          <w:szCs w:val="20"/>
          <w:color w:val="auto"/>
        </w:rPr>
      </w:pPr>
      <w:r>
        <w:rPr>
          <w:rFonts w:ascii="Arial" w:cs="Arial" w:eastAsia="Arial" w:hAnsi="Arial"/>
          <w:sz w:val="16"/>
          <w:szCs w:val="16"/>
          <w:color w:val="auto"/>
        </w:rPr>
        <w:t>Company’s, own direct measurements, or any third party measurements, by site or region,</w:t>
      </w:r>
    </w:p>
    <w:p>
      <w:pPr>
        <w:spacing w:after="0" w:line="7" w:lineRule="exact"/>
        <w:rPr>
          <w:sz w:val="20"/>
          <w:szCs w:val="20"/>
          <w:color w:val="auto"/>
        </w:rPr>
      </w:pPr>
    </w:p>
    <w:p>
      <w:pPr>
        <w:ind w:left="266" w:right="280" w:hanging="266"/>
        <w:spacing w:after="0" w:line="286" w:lineRule="auto"/>
        <w:tabs>
          <w:tab w:leader="none" w:pos="266" w:val="left"/>
        </w:tabs>
        <w:numPr>
          <w:ilvl w:val="0"/>
          <w:numId w:val="143"/>
        </w:numPr>
        <w:rPr>
          <w:rFonts w:ascii="Arial" w:cs="Arial" w:eastAsia="Arial" w:hAnsi="Arial"/>
          <w:sz w:val="16"/>
          <w:szCs w:val="16"/>
          <w:color w:val="0B2D71"/>
        </w:rPr>
      </w:pPr>
      <w:r>
        <w:rPr>
          <w:rFonts w:ascii="Arial" w:cs="Arial" w:eastAsia="Arial" w:hAnsi="Arial"/>
          <w:sz w:val="16"/>
          <w:szCs w:val="16"/>
          <w:color w:val="auto"/>
        </w:rPr>
        <w:t>Describe any efforts to validate emissions estimates and disclosure through a third-party audit or evaluation.</w:t>
      </w:r>
    </w:p>
    <w:p>
      <w:pPr>
        <w:spacing w:after="0" w:line="200" w:lineRule="exact"/>
        <w:rPr>
          <w:sz w:val="20"/>
          <w:szCs w:val="20"/>
          <w:color w:val="auto"/>
        </w:rPr>
      </w:pPr>
    </w:p>
    <w:p>
      <w:pPr>
        <w:sectPr>
          <w:pgSz w:w="11900" w:h="16838" w:orient="portrait"/>
          <w:cols w:equalWidth="0" w:num="2">
            <w:col w:w="5014" w:space="720"/>
            <w:col w:w="5346"/>
          </w:cols>
          <w:pgMar w:left="320" w:top="455" w:right="499" w:bottom="1440" w:gutter="0" w:footer="0" w:header="0"/>
          <w:type w:val="continuous"/>
        </w:sectPr>
      </w:pPr>
    </w:p>
    <w:p>
      <w:pPr>
        <w:spacing w:after="0" w:line="36" w:lineRule="exact"/>
        <w:rPr>
          <w:sz w:val="20"/>
          <w:szCs w:val="20"/>
          <w:color w:val="auto"/>
        </w:rPr>
      </w:pPr>
    </w:p>
    <w:p>
      <w:pPr>
        <w:ind w:left="340" w:hanging="224"/>
        <w:spacing w:after="0"/>
        <w:tabs>
          <w:tab w:leader="none" w:pos="340" w:val="left"/>
        </w:tabs>
        <w:numPr>
          <w:ilvl w:val="0"/>
          <w:numId w:val="144"/>
        </w:numPr>
        <w:rPr>
          <w:rFonts w:ascii="Arial" w:cs="Arial" w:eastAsia="Arial" w:hAnsi="Arial"/>
          <w:sz w:val="24"/>
          <w:szCs w:val="24"/>
          <w:color w:val="auto"/>
          <w:vertAlign w:val="superscript"/>
        </w:rPr>
      </w:pPr>
      <w:r>
        <w:rPr>
          <w:rFonts w:ascii="Arial" w:cs="Arial" w:eastAsia="Arial" w:hAnsi="Arial"/>
          <w:sz w:val="14"/>
          <w:szCs w:val="14"/>
          <w:color w:val="auto"/>
        </w:rPr>
        <w:t>https://www.unep.org/news-and-stories/press-release/methane-observatory-launched-boost-action-powerful-climate-warming</w:t>
      </w:r>
    </w:p>
    <w:p>
      <w:pPr>
        <w:ind w:left="120"/>
        <w:spacing w:after="0" w:line="187" w:lineRule="auto"/>
        <w:rPr>
          <w:rFonts w:ascii="Arial" w:cs="Arial" w:eastAsia="Arial" w:hAnsi="Arial"/>
          <w:sz w:val="24"/>
          <w:szCs w:val="24"/>
          <w:color w:val="auto"/>
          <w:vertAlign w:val="superscript"/>
        </w:rPr>
      </w:pPr>
      <w:r>
        <w:rPr>
          <w:rFonts w:ascii="Arial" w:cs="Arial" w:eastAsia="Arial" w:hAnsi="Arial"/>
          <w:sz w:val="18"/>
          <w:szCs w:val="18"/>
          <w:color w:val="auto"/>
          <w:vertAlign w:val="superscript"/>
        </w:rPr>
        <w:t>2</w:t>
      </w:r>
      <w:r>
        <w:rPr>
          <w:rFonts w:ascii="Arial" w:cs="Arial" w:eastAsia="Arial" w:hAnsi="Arial"/>
          <w:sz w:val="11"/>
          <w:szCs w:val="11"/>
          <w:color w:val="auto"/>
        </w:rPr>
        <w:t xml:space="preserve">  https://www.epa.gov/ghgemissions/overview-greenhouse-gases</w:t>
      </w:r>
    </w:p>
    <w:p>
      <w:pPr>
        <w:ind w:left="120"/>
        <w:spacing w:after="0" w:line="187" w:lineRule="auto"/>
        <w:rPr>
          <w:rFonts w:ascii="Arial" w:cs="Arial" w:eastAsia="Arial" w:hAnsi="Arial"/>
          <w:sz w:val="24"/>
          <w:szCs w:val="24"/>
          <w:color w:val="auto"/>
          <w:vertAlign w:val="superscript"/>
        </w:rPr>
      </w:pPr>
      <w:r>
        <w:rPr>
          <w:rFonts w:ascii="Arial" w:cs="Arial" w:eastAsia="Arial" w:hAnsi="Arial"/>
          <w:sz w:val="18"/>
          <w:szCs w:val="18"/>
          <w:color w:val="auto"/>
          <w:vertAlign w:val="superscript"/>
        </w:rPr>
        <w:t>3</w:t>
      </w:r>
      <w:r>
        <w:rPr>
          <w:rFonts w:ascii="Arial" w:cs="Arial" w:eastAsia="Arial" w:hAnsi="Arial"/>
          <w:sz w:val="11"/>
          <w:szCs w:val="11"/>
          <w:color w:val="auto"/>
        </w:rPr>
        <w:t xml:space="preserve">  https://www.edf.org/climate/methane-studies</w:t>
      </w:r>
    </w:p>
    <w:p>
      <w:pPr>
        <w:ind w:left="340" w:right="3440" w:hanging="216"/>
        <w:spacing w:after="0" w:line="182" w:lineRule="auto"/>
        <w:rPr>
          <w:rFonts w:ascii="Arial" w:cs="Arial" w:eastAsia="Arial" w:hAnsi="Arial"/>
          <w:sz w:val="24"/>
          <w:szCs w:val="24"/>
          <w:color w:val="auto"/>
          <w:vertAlign w:val="superscript"/>
        </w:rPr>
      </w:pPr>
      <w:r>
        <w:rPr>
          <w:rFonts w:ascii="Arial" w:cs="Arial" w:eastAsia="Arial" w:hAnsi="Arial"/>
          <w:sz w:val="23"/>
          <w:szCs w:val="23"/>
          <w:color w:val="auto"/>
          <w:vertAlign w:val="superscript"/>
        </w:rPr>
        <w:t>4</w:t>
      </w:r>
      <w:r>
        <w:rPr>
          <w:rFonts w:ascii="Arial" w:cs="Arial" w:eastAsia="Arial" w:hAnsi="Arial"/>
          <w:sz w:val="14"/>
          <w:szCs w:val="14"/>
          <w:color w:val="auto"/>
        </w:rPr>
        <w:t xml:space="preserve"> https://www.science.org/doi/full/10.1126/science.aar7204, https://www.seas.harvard.edu/news/2021/03/oil-and-natural-gas-production-emit-more-methane-previously-thought</w:t>
      </w:r>
    </w:p>
    <w:p>
      <w:pPr>
        <w:spacing w:after="0" w:line="1" w:lineRule="exact"/>
        <w:rPr>
          <w:rFonts w:ascii="Arial" w:cs="Arial" w:eastAsia="Arial" w:hAnsi="Arial"/>
          <w:sz w:val="24"/>
          <w:szCs w:val="24"/>
          <w:color w:val="auto"/>
          <w:vertAlign w:val="superscript"/>
        </w:rPr>
      </w:pPr>
    </w:p>
    <w:p>
      <w:pPr>
        <w:ind w:left="120"/>
        <w:spacing w:after="0" w:line="187" w:lineRule="auto"/>
        <w:rPr>
          <w:rFonts w:ascii="Arial" w:cs="Arial" w:eastAsia="Arial" w:hAnsi="Arial"/>
          <w:sz w:val="24"/>
          <w:szCs w:val="24"/>
          <w:color w:val="auto"/>
          <w:vertAlign w:val="superscript"/>
        </w:rPr>
      </w:pPr>
      <w:r>
        <w:rPr>
          <w:rFonts w:ascii="Arial" w:cs="Arial" w:eastAsia="Arial" w:hAnsi="Arial"/>
          <w:sz w:val="18"/>
          <w:szCs w:val="18"/>
          <w:color w:val="auto"/>
          <w:vertAlign w:val="superscript"/>
        </w:rPr>
        <w:t>5</w:t>
      </w:r>
      <w:r>
        <w:rPr>
          <w:rFonts w:ascii="Arial" w:cs="Arial" w:eastAsia="Arial" w:hAnsi="Arial"/>
          <w:sz w:val="11"/>
          <w:szCs w:val="11"/>
          <w:color w:val="auto"/>
        </w:rPr>
        <w:t xml:space="preserve">  https://business.edf.org/files/Investors-Guide-to-the-OGMP_09.17.21_FINAL.pdf</w:t>
      </w:r>
    </w:p>
    <w:p>
      <w:pPr>
        <w:ind w:left="120" w:right="3760"/>
        <w:spacing w:after="0" w:line="182" w:lineRule="auto"/>
        <w:rPr>
          <w:rFonts w:ascii="Arial" w:cs="Arial" w:eastAsia="Arial" w:hAnsi="Arial"/>
          <w:sz w:val="24"/>
          <w:szCs w:val="24"/>
          <w:color w:val="auto"/>
          <w:vertAlign w:val="superscript"/>
        </w:rPr>
      </w:pPr>
      <w:r>
        <w:rPr>
          <w:rFonts w:ascii="Arial" w:cs="Arial" w:eastAsia="Arial" w:hAnsi="Arial"/>
          <w:sz w:val="23"/>
          <w:szCs w:val="23"/>
          <w:color w:val="auto"/>
          <w:vertAlign w:val="superscript"/>
        </w:rPr>
        <w:t>6</w:t>
      </w:r>
      <w:r>
        <w:rPr>
          <w:rFonts w:ascii="Arial" w:cs="Arial" w:eastAsia="Arial" w:hAnsi="Arial"/>
          <w:sz w:val="14"/>
          <w:szCs w:val="14"/>
          <w:color w:val="auto"/>
        </w:rPr>
        <w:t xml:space="preserve"> https://www.ceres.org/news-center/press-releases/major-investors-demand-ambitious-methane-regulations-us </w:t>
      </w:r>
      <w:r>
        <w:rPr>
          <w:rFonts w:ascii="Arial" w:cs="Arial" w:eastAsia="Arial" w:hAnsi="Arial"/>
          <w:sz w:val="23"/>
          <w:szCs w:val="23"/>
          <w:color w:val="auto"/>
          <w:vertAlign w:val="superscript"/>
        </w:rPr>
        <w:t>7</w:t>
      </w:r>
      <w:r>
        <w:rPr>
          <w:rFonts w:ascii="Arial" w:cs="Arial" w:eastAsia="Arial" w:hAnsi="Arial"/>
          <w:sz w:val="14"/>
          <w:szCs w:val="14"/>
          <w:color w:val="auto"/>
        </w:rPr>
        <w:t xml:space="preserve"> https://ec.europa.eu/commission/presscorner/detail/en/IP_21_4785</w:t>
      </w:r>
    </w:p>
    <w:p>
      <w:pPr>
        <w:spacing w:after="0" w:line="1" w:lineRule="exact"/>
        <w:rPr>
          <w:rFonts w:ascii="Arial" w:cs="Arial" w:eastAsia="Arial" w:hAnsi="Arial"/>
          <w:sz w:val="24"/>
          <w:szCs w:val="24"/>
          <w:color w:val="auto"/>
          <w:vertAlign w:val="superscript"/>
        </w:rPr>
      </w:pPr>
    </w:p>
    <w:p>
      <w:pPr>
        <w:ind w:left="120"/>
        <w:spacing w:after="0" w:line="187" w:lineRule="auto"/>
        <w:rPr>
          <w:rFonts w:ascii="Arial" w:cs="Arial" w:eastAsia="Arial" w:hAnsi="Arial"/>
          <w:sz w:val="24"/>
          <w:szCs w:val="24"/>
          <w:color w:val="auto"/>
          <w:vertAlign w:val="superscript"/>
        </w:rPr>
      </w:pPr>
      <w:r>
        <w:rPr>
          <w:rFonts w:ascii="Arial" w:cs="Arial" w:eastAsia="Arial" w:hAnsi="Arial"/>
          <w:sz w:val="18"/>
          <w:szCs w:val="18"/>
          <w:color w:val="auto"/>
          <w:vertAlign w:val="superscript"/>
        </w:rPr>
        <w:t>8</w:t>
      </w:r>
      <w:r>
        <w:rPr>
          <w:rFonts w:ascii="Arial" w:cs="Arial" w:eastAsia="Arial" w:hAnsi="Arial"/>
          <w:sz w:val="11"/>
          <w:szCs w:val="11"/>
          <w:color w:val="auto"/>
        </w:rPr>
        <w:t xml:space="preserve">  http://ogmpartnership.com/partners</w:t>
      </w:r>
    </w:p>
    <w:p>
      <w:pPr>
        <w:ind w:left="120"/>
        <w:spacing w:after="0"/>
        <w:rPr>
          <w:rFonts w:ascii="Arial" w:cs="Arial" w:eastAsia="Arial" w:hAnsi="Arial"/>
          <w:sz w:val="24"/>
          <w:szCs w:val="24"/>
          <w:color w:val="auto"/>
          <w:vertAlign w:val="superscript"/>
        </w:rPr>
      </w:pPr>
      <w:r>
        <w:rPr>
          <w:rFonts w:ascii="Arial" w:cs="Arial" w:eastAsia="Arial" w:hAnsi="Arial"/>
          <w:sz w:val="24"/>
          <w:szCs w:val="24"/>
          <w:color w:val="auto"/>
          <w:vertAlign w:val="superscript"/>
        </w:rPr>
        <w:t>9</w:t>
      </w:r>
      <w:r>
        <w:rPr>
          <w:rFonts w:ascii="Arial" w:cs="Arial" w:eastAsia="Arial" w:hAnsi="Arial"/>
          <w:sz w:val="14"/>
          <w:szCs w:val="14"/>
          <w:color w:val="auto"/>
        </w:rPr>
        <w:t xml:space="preserve">  https://www.ceres.org/sites/default/files/reports/2021-06/OilandGas_BenchmarkingReport_FINAL.pdf</w:t>
      </w:r>
    </w:p>
    <w:p>
      <w:pPr>
        <w:spacing w:after="0" w:line="24"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Chevron Corporation – 2022 Proxy Statement</w:t>
      </w:r>
    </w:p>
    <w:p>
      <w:pPr>
        <w:spacing w:after="0" w:line="55"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94</w:t>
      </w:r>
    </w:p>
    <w:p>
      <w:pPr>
        <w:sectPr>
          <w:pgSz w:w="11900" w:h="16838" w:orient="portrait"/>
          <w:cols w:equalWidth="0" w:num="1">
            <w:col w:w="11080"/>
          </w:cols>
          <w:pgMar w:left="320" w:top="455" w:right="499" w:bottom="1440" w:gutter="0" w:footer="0" w:header="0"/>
          <w:type w:val="continuous"/>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208280</wp:posOffset>
            </wp:positionV>
            <wp:extent cx="1405890" cy="1454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405890" cy="145415"/>
                    </a:xfrm>
                    <a:prstGeom prst="rect">
                      <a:avLst/>
                    </a:prstGeom>
                    <a:noFill/>
                  </pic:spPr>
                </pic:pic>
              </a:graphicData>
            </a:graphic>
          </wp:anchor>
        </w:drawing>
      </w:r>
    </w:p>
    <w:p>
      <w:pPr>
        <w:spacing w:after="0" w:line="339"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FFFFFF"/>
        </w:rPr>
        <w:t>Stockholder proposals</w:t>
      </w:r>
    </w:p>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0B2D71"/>
        </w:rPr>
        <w:t>Board of directors’ response</w:t>
      </w:r>
    </w:p>
    <w:p>
      <w:pPr>
        <w:spacing w:after="0" w:line="128" w:lineRule="exact"/>
        <w:rPr>
          <w:sz w:val="20"/>
          <w:szCs w:val="20"/>
          <w:color w:val="auto"/>
        </w:rPr>
      </w:pPr>
    </w:p>
    <w:p>
      <w:pPr>
        <w:ind w:left="220" w:right="40"/>
        <w:spacing w:after="0" w:line="262" w:lineRule="auto"/>
        <w:rPr>
          <w:sz w:val="20"/>
          <w:szCs w:val="20"/>
          <w:color w:val="auto"/>
        </w:rPr>
      </w:pPr>
      <w:r>
        <w:rPr>
          <w:rFonts w:ascii="Arial" w:cs="Arial" w:eastAsia="Arial" w:hAnsi="Arial"/>
          <w:sz w:val="16"/>
          <w:szCs w:val="16"/>
          <w:color w:val="auto"/>
        </w:rPr>
        <w:t>Your Board agrees that reducing methane emission intensity across all sectors is important to advancing a lower carbon future. Chevron is proud of its progress in managing methane emissions. Although we disagree with some of the statements in the Proposal, we recommend stockholders support the Proposal because we are committed to continuing to advance the accuracy and reliability of methane emission reporting, as further described below.</w:t>
      </w:r>
    </w:p>
    <w:p>
      <w:pPr>
        <w:spacing w:after="0" w:line="247"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0B2D71"/>
        </w:rPr>
        <w:t>Current state</w:t>
      </w:r>
    </w:p>
    <w:p>
      <w:pPr>
        <w:spacing w:after="0" w:line="112" w:lineRule="exact"/>
        <w:rPr>
          <w:sz w:val="20"/>
          <w:szCs w:val="20"/>
          <w:color w:val="auto"/>
        </w:rPr>
      </w:pPr>
    </w:p>
    <w:p>
      <w:pPr>
        <w:ind w:left="220" w:right="20"/>
        <w:spacing w:after="0" w:line="256" w:lineRule="auto"/>
        <w:rPr>
          <w:sz w:val="20"/>
          <w:szCs w:val="20"/>
          <w:color w:val="auto"/>
        </w:rPr>
      </w:pPr>
      <w:r>
        <w:rPr>
          <w:rFonts w:ascii="Arial" w:cs="Arial" w:eastAsia="Arial" w:hAnsi="Arial"/>
          <w:sz w:val="16"/>
          <w:szCs w:val="16"/>
          <w:color w:val="auto"/>
        </w:rPr>
        <w:t>Today, methane emissions are generally estimated (which is consistent with EPA protocols) by multiplying an activity or equipment count (e.g., number of pneumatic controllers) by an emissions factor for a particular source or activity (e.g., emissions per controller). These emissions factors are developed based on research, engineering designs, and field studies. We believe the EPA reporting protocol is a sound basis for shaping a corporate reporting program and that it has enabled development of consistent and comparable data, which has helped operators understand methane reduction opportunities. Moreover, Chevron is required to follow the EPA reporting protocol in the United States.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0B2D71"/>
        </w:rPr>
        <w:t>Chevron’s actions to address methane measurement improvement</w:t>
      </w:r>
    </w:p>
    <w:p>
      <w:pPr>
        <w:spacing w:after="0" w:line="112" w:lineRule="exact"/>
        <w:rPr>
          <w:sz w:val="20"/>
          <w:szCs w:val="20"/>
          <w:color w:val="auto"/>
        </w:rPr>
      </w:pPr>
    </w:p>
    <w:p>
      <w:pPr>
        <w:ind w:left="220"/>
        <w:spacing w:after="0" w:line="259" w:lineRule="auto"/>
        <w:rPr>
          <w:sz w:val="20"/>
          <w:szCs w:val="20"/>
          <w:color w:val="auto"/>
        </w:rPr>
      </w:pPr>
      <w:r>
        <w:rPr>
          <w:rFonts w:ascii="Arial" w:cs="Arial" w:eastAsia="Arial" w:hAnsi="Arial"/>
          <w:sz w:val="16"/>
          <w:szCs w:val="16"/>
          <w:color w:val="auto"/>
        </w:rPr>
        <w:t>We are committed to further improving methane detection and direct measurement. We are doing this through our Global Methane Detection Campaign, which focuses on scaling up proven and emerging detection technologies and modes of deployment, such as satellites, aircraft, and drones, with the goal of improving detection of methane emission sources. We also partner with industry, academic and environmental organizations to improve the technology and protocols for direct measurement of methane.</w:t>
      </w:r>
    </w:p>
    <w:p>
      <w:pPr>
        <w:spacing w:after="0" w:line="70" w:lineRule="exact"/>
        <w:rPr>
          <w:sz w:val="20"/>
          <w:szCs w:val="20"/>
          <w:color w:val="auto"/>
        </w:rPr>
      </w:pPr>
    </w:p>
    <w:p>
      <w:pPr>
        <w:ind w:left="220" w:right="140"/>
        <w:spacing w:after="0" w:line="266" w:lineRule="auto"/>
        <w:rPr>
          <w:sz w:val="20"/>
          <w:szCs w:val="20"/>
          <w:color w:val="auto"/>
        </w:rPr>
      </w:pPr>
      <w:r>
        <w:rPr>
          <w:rFonts w:ascii="Arial" w:cs="Arial" w:eastAsia="Arial" w:hAnsi="Arial"/>
          <w:sz w:val="16"/>
          <w:szCs w:val="16"/>
          <w:color w:val="auto"/>
        </w:rPr>
        <w:t>Through these efforts, we have identified encouraging progress in methane detection technology, but also current limitations in quantifying direct measurements of emissions. Direct measurement faces uncertainties and challenges related to modeling wind conditions and plumes, accounting for changing conditions at a site over different time periods, and also challenges with scalability and ability to provide timely data.</w:t>
      </w:r>
    </w:p>
    <w:p>
      <w:pPr>
        <w:spacing w:after="0" w:line="63" w:lineRule="exact"/>
        <w:rPr>
          <w:sz w:val="20"/>
          <w:szCs w:val="20"/>
          <w:color w:val="auto"/>
        </w:rPr>
      </w:pPr>
    </w:p>
    <w:p>
      <w:pPr>
        <w:ind w:left="220" w:right="40"/>
        <w:spacing w:after="0" w:line="253" w:lineRule="auto"/>
        <w:rPr>
          <w:sz w:val="20"/>
          <w:szCs w:val="20"/>
          <w:color w:val="auto"/>
        </w:rPr>
      </w:pPr>
      <w:r>
        <w:rPr>
          <w:rFonts w:ascii="Arial" w:cs="Arial" w:eastAsia="Arial" w:hAnsi="Arial"/>
          <w:sz w:val="16"/>
          <w:szCs w:val="16"/>
          <w:color w:val="auto"/>
        </w:rPr>
        <w:t>Chevron has demonstrated success in reducing methane emissions and deploying technology, and we regularly update stakeholders on our progress through voluntary reporting. Chevron views the assessment of direct methane emissions measurement discussed in the “Resolved” section of the Proposal as largely consistent with our current and ongoing efforts to address Scope 1 emissions. We plan to release a Methane Strategy Update (“Update”) later this year, which will address methane detection, direct measurement quantification, and disclosure. Without disclosing confidential information and to the extent reasonably feasible, subject to the limitations of current direct measurement technology discussed above, we intend to include information referenced in the “Resolved” section of the Proposal in the Update, including how detection technologies have advanced, how they can inform emission reduction strategies, and the challenges and uncertainties of current direct measurement technology.</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20"/>
          <w:szCs w:val="20"/>
          <w:color w:val="0B2D71"/>
        </w:rPr>
        <w:t xml:space="preserve">Therefore, your Board recommends that you vote </w:t>
      </w:r>
      <w:r>
        <w:rPr>
          <w:rFonts w:ascii="Arial" w:cs="Arial" w:eastAsia="Arial" w:hAnsi="Arial"/>
          <w:sz w:val="20"/>
          <w:szCs w:val="20"/>
          <w:b w:val="1"/>
          <w:bCs w:val="1"/>
          <w:color w:val="0B2D71"/>
        </w:rPr>
        <w:t>for</w:t>
      </w:r>
      <w:r>
        <w:rPr>
          <w:rFonts w:ascii="Arial" w:cs="Arial" w:eastAsia="Arial" w:hAnsi="Arial"/>
          <w:sz w:val="20"/>
          <w:szCs w:val="20"/>
          <w:color w:val="0B2D71"/>
        </w:rPr>
        <w:t xml:space="preserve"> this proposal.</w:t>
      </w:r>
    </w:p>
    <w:p>
      <w:pPr>
        <w:spacing w:after="0" w:line="140"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95</w:t>
      </w:r>
    </w:p>
    <w:p>
      <w:pPr>
        <w:sectPr>
          <w:pgSz w:w="11900" w:h="16838" w:orient="portrait"/>
          <w:cols w:equalWidth="0" w:num="1">
            <w:col w:w="11020"/>
          </w:cols>
          <w:pgMar w:left="320" w:top="455" w:right="55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37310" cy="1454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337310" cy="145415"/>
                    </a:xfrm>
                    <a:prstGeom prst="rect">
                      <a:avLst/>
                    </a:prstGeom>
                    <a:noFill/>
                  </pic:spPr>
                </pic:pic>
              </a:graphicData>
            </a:graphic>
          </wp:anchor>
        </w:drawing>
      </w:r>
    </w:p>
    <w:p>
      <w:pPr>
        <w:spacing w:after="0" w:line="33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Stockholder proposals</w:t>
      </w:r>
    </w:p>
    <w:p>
      <w:pPr>
        <w:spacing w:after="0" w:line="161" w:lineRule="exact"/>
        <w:rPr>
          <w:sz w:val="20"/>
          <w:szCs w:val="20"/>
          <w:color w:val="auto"/>
        </w:rPr>
      </w:pPr>
    </w:p>
    <w:p>
      <w:pPr>
        <w:jc w:val="center"/>
        <w:ind w:left="1140"/>
        <w:spacing w:after="0" w:line="298" w:lineRule="auto"/>
        <w:rPr>
          <w:sz w:val="20"/>
          <w:szCs w:val="20"/>
          <w:color w:val="auto"/>
        </w:rPr>
      </w:pPr>
      <w:r>
        <w:rPr>
          <w:rFonts w:ascii="Arial" w:cs="Arial" w:eastAsia="Arial" w:hAnsi="Arial"/>
          <w:sz w:val="25"/>
          <w:szCs w:val="25"/>
          <w:b w:val="1"/>
          <w:bCs w:val="1"/>
          <w:color w:val="0B2D71"/>
        </w:rPr>
        <w:t>Stockholder proposal to report on business with conflict-complicit governments (Item 8 on the proxy card)</w:t>
      </w:r>
    </w:p>
    <w:p>
      <w:pPr>
        <w:sectPr>
          <w:pgSz w:w="11900" w:h="16838" w:orient="portrait"/>
          <w:cols w:equalWidth="0" w:num="1">
            <w:col w:w="11100"/>
          </w:cols>
          <w:pgMar w:left="320" w:top="455" w:right="479" w:bottom="1440" w:gutter="0" w:footer="0" w:header="0"/>
        </w:sectPr>
      </w:pPr>
    </w:p>
    <w:p>
      <w:pPr>
        <w:spacing w:after="0" w:line="66" w:lineRule="exact"/>
        <w:rPr>
          <w:sz w:val="20"/>
          <w:szCs w:val="20"/>
          <w:color w:val="auto"/>
        </w:rPr>
      </w:pPr>
    </w:p>
    <w:p>
      <w:pPr>
        <w:ind w:left="120" w:right="140"/>
        <w:spacing w:after="0" w:line="254"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Chevron, in partnership with Total, PTT, and Myanmar Oil</w:t>
      </w:r>
      <w:r>
        <w:rPr>
          <w:rFonts w:ascii="Arial" w:cs="Arial" w:eastAsia="Arial" w:hAnsi="Arial"/>
          <w:sz w:val="16"/>
          <w:szCs w:val="16"/>
          <w:b w:val="1"/>
          <w:bCs w:val="1"/>
          <w:color w:val="auto"/>
        </w:rPr>
        <w:t xml:space="preserve"> </w:t>
      </w:r>
      <w:r>
        <w:rPr>
          <w:rFonts w:ascii="Arial" w:cs="Arial" w:eastAsia="Arial" w:hAnsi="Arial"/>
          <w:sz w:val="16"/>
          <w:szCs w:val="16"/>
          <w:color w:val="auto"/>
        </w:rPr>
        <w:t>and Gas Enterprise (MOGE), holds equity in one of the largest investment projects in Myanmar (Burma): the Yadana gas field and pipeline that has generated billions of dollars for the Myanmar military junta. Together, Total and Chevron have a majority controlling interest in Yadana project.</w:t>
      </w:r>
    </w:p>
    <w:p>
      <w:pPr>
        <w:spacing w:after="0" w:line="74"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In Myanmar, foreign participation in the energy sector takes place through joint ventures with the MOGE, which is a department of the Myanmar government. Since it seized power in the February 1st, 2021, coup d’etat, the Myanmar military now holds total control over MOGE.</w:t>
      </w:r>
    </w:p>
    <w:p>
      <w:pPr>
        <w:spacing w:after="0" w:line="70" w:lineRule="exact"/>
        <w:rPr>
          <w:sz w:val="20"/>
          <w:szCs w:val="20"/>
          <w:color w:val="auto"/>
        </w:rPr>
      </w:pPr>
    </w:p>
    <w:p>
      <w:pPr>
        <w:jc w:val="both"/>
        <w:ind w:left="120" w:right="40"/>
        <w:spacing w:after="0" w:line="266" w:lineRule="auto"/>
        <w:rPr>
          <w:sz w:val="20"/>
          <w:szCs w:val="20"/>
          <w:color w:val="auto"/>
        </w:rPr>
      </w:pPr>
      <w:r>
        <w:rPr>
          <w:rFonts w:ascii="Arial" w:cs="Arial" w:eastAsia="Arial" w:hAnsi="Arial"/>
          <w:sz w:val="16"/>
          <w:szCs w:val="16"/>
          <w:color w:val="auto"/>
        </w:rPr>
        <w:t>The United States and United Kingdom have imposed sanctions against Myanmar military-owned companies. A bipartisan group of senators have urged the U.S. administration to place sanctions on MOGE.</w:t>
      </w:r>
    </w:p>
    <w:p>
      <w:pPr>
        <w:spacing w:after="0" w:line="63" w:lineRule="exact"/>
        <w:rPr>
          <w:sz w:val="20"/>
          <w:szCs w:val="20"/>
          <w:color w:val="auto"/>
        </w:rPr>
      </w:pPr>
    </w:p>
    <w:p>
      <w:pPr>
        <w:ind w:left="120" w:right="140"/>
        <w:spacing w:after="0" w:line="254" w:lineRule="auto"/>
        <w:rPr>
          <w:sz w:val="20"/>
          <w:szCs w:val="20"/>
          <w:color w:val="auto"/>
        </w:rPr>
      </w:pPr>
      <w:r>
        <w:rPr>
          <w:rFonts w:ascii="Arial" w:cs="Arial" w:eastAsia="Arial" w:hAnsi="Arial"/>
          <w:sz w:val="16"/>
          <w:szCs w:val="16"/>
          <w:color w:val="auto"/>
        </w:rPr>
        <w:t>The Myanmar military has a long history of egregious human rights abuses, particularly against ethnic minorities. In August 2017, a military crackdown caused an estimated more than 700,000 Rohingya to flee to neighboring Bangladesh where they remain to this day. The U.S. Holocaust Memorial Museum has reported that the Rohingya remain “at grave risk of additional mass atrocities and even genocide.”</w:t>
      </w:r>
    </w:p>
    <w:p>
      <w:pPr>
        <w:spacing w:after="0" w:line="74"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Nicholas Koumjian, head of the United Nations Independent Investigative Mechanism for Myanmar, stated in November 2021, that preliminary evidence collected since the military coup shows a widespread and systematic attack on civilians “amounting to crimes against humanity.”</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 National Unity Government of Myanmar, made up of elected officials and civil society leaders, has called on the oil companies operating in Myanmar to withhold from the military junta and place in escrow any payments due to the Myanmar government.</w:t>
      </w:r>
    </w:p>
    <w:p>
      <w:pPr>
        <w:spacing w:after="0" w:line="70"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Since the February 2021 military coup, the “Blood Money Campaign” by Myanmar and international civil society organizations has organized protests, consumer boycotts, and media pressure against companies, including Chevron, that provide financial support to the military junta. In addition, dozens of oil workers in Myanmar have petitioned oil companies to suspend payments to the ruling junta.</w:t>
      </w:r>
    </w:p>
    <w:p>
      <w:pPr>
        <w:spacing w:after="0" w:line="7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International Coalition for the Responsibility to Protect (ICRtoP) monitors countries worldwide for instances of serious crimes under international law including genocide, war crimes, ethnic cleansing, and crimes against humanity. ICRtoP lists several countries, cited by the United Nations and civil society organizations, in which Chevron is currently producing oil and gas: Burma (Myanmar), Democratic Republic of Congo, and Nigeria.</w:t>
      </w:r>
    </w:p>
    <w:p>
      <w:pPr>
        <w:spacing w:after="0" w:line="73"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auto"/>
        </w:rPr>
        <w:t xml:space="preserve">BE IT RESOLVED: </w:t>
      </w:r>
      <w:r>
        <w:rPr>
          <w:rFonts w:ascii="Arial" w:cs="Arial" w:eastAsia="Arial" w:hAnsi="Arial"/>
          <w:sz w:val="16"/>
          <w:szCs w:val="16"/>
          <w:color w:val="auto"/>
        </w:rPr>
        <w:t>The shareholders request the Board to publish a report</w:t>
      </w:r>
      <w:r>
        <w:rPr>
          <w:rFonts w:ascii="Arial" w:cs="Arial" w:eastAsia="Arial" w:hAnsi="Arial"/>
          <w:sz w:val="16"/>
          <w:szCs w:val="16"/>
          <w:b w:val="1"/>
          <w:bCs w:val="1"/>
          <w:color w:val="auto"/>
        </w:rPr>
        <w:t xml:space="preserve"> </w:t>
      </w:r>
      <w:r>
        <w:rPr>
          <w:rFonts w:ascii="Arial" w:cs="Arial" w:eastAsia="Arial" w:hAnsi="Arial"/>
          <w:sz w:val="16"/>
          <w:szCs w:val="16"/>
          <w:color w:val="auto"/>
        </w:rPr>
        <w:t>six months following the 2022 annual general meeting, omitting proprietary information, and prepared at reasonable cost, evaluating the feasibility of adopting a policy of not doing business with governments that are complicit in genocide and/or crimes against humanity as defined in international law.</w:t>
      </w:r>
    </w:p>
    <w:p>
      <w:pPr>
        <w:spacing w:after="0" w:line="498" w:lineRule="exact"/>
        <w:rPr>
          <w:sz w:val="20"/>
          <w:szCs w:val="20"/>
          <w:color w:val="auto"/>
        </w:rPr>
      </w:pPr>
    </w:p>
    <w:p>
      <w:pPr>
        <w:sectPr>
          <w:pgSz w:w="11900" w:h="16838" w:orient="portrait"/>
          <w:cols w:equalWidth="0" w:num="2">
            <w:col w:w="5400" w:space="340"/>
            <w:col w:w="5360"/>
          </w:cols>
          <w:pgMar w:left="320" w:top="455" w:right="479" w:bottom="1440" w:gutter="0" w:footer="0" w:header="0"/>
          <w:type w:val="continuous"/>
        </w:sectPr>
      </w:pPr>
    </w:p>
    <w:p>
      <w:pPr>
        <w:spacing w:after="0" w:line="17"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auto"/>
        </w:rPr>
        <w:t>Supporting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type w:val="continuous"/>
        </w:sectPr>
      </w:pPr>
    </w:p>
    <w:p>
      <w:pPr>
        <w:spacing w:after="0" w:line="380" w:lineRule="exact"/>
        <w:rPr>
          <w:sz w:val="20"/>
          <w:szCs w:val="20"/>
          <w:color w:val="auto"/>
        </w:rPr>
      </w:pPr>
    </w:p>
    <w:p>
      <w:pPr>
        <w:jc w:val="both"/>
        <w:ind w:left="120"/>
        <w:spacing w:after="0" w:line="266" w:lineRule="auto"/>
        <w:rPr>
          <w:sz w:val="20"/>
          <w:szCs w:val="20"/>
          <w:color w:val="auto"/>
        </w:rPr>
      </w:pPr>
      <w:r>
        <w:rPr>
          <w:rFonts w:ascii="Arial" w:cs="Arial" w:eastAsia="Arial" w:hAnsi="Arial"/>
          <w:sz w:val="16"/>
          <w:szCs w:val="16"/>
          <w:color w:val="auto"/>
        </w:rPr>
        <w:t>As shareholders, we believe that our company has the duty to avoid the moral, legal, financial, reputational, and operational risks posed by doing business with governments complicit in</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genocide and/or crimes against humanity. It is incumbent that our board adopts policies that protect shareholder value from these risks.</w:t>
      </w:r>
    </w:p>
    <w:p>
      <w:pPr>
        <w:spacing w:after="0" w:line="373" w:lineRule="exact"/>
        <w:rPr>
          <w:sz w:val="20"/>
          <w:szCs w:val="20"/>
          <w:color w:val="auto"/>
        </w:rPr>
      </w:pPr>
    </w:p>
    <w:p>
      <w:pPr>
        <w:sectPr>
          <w:pgSz w:w="11900" w:h="16838" w:orient="portrait"/>
          <w:cols w:equalWidth="0" w:num="2">
            <w:col w:w="5300" w:space="440"/>
            <w:col w:w="5360"/>
          </w:cols>
          <w:pgMar w:left="320" w:top="455" w:right="479" w:bottom="1440" w:gutter="0" w:footer="0" w:header="0"/>
          <w:type w:val="continuous"/>
        </w:sectPr>
      </w:pPr>
    </w:p>
    <w:p>
      <w:pPr>
        <w:spacing w:after="0" w:line="35"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Chevron Corporation – 2022 Proxy Statement</w:t>
      </w:r>
    </w:p>
    <w:p>
      <w:pPr>
        <w:spacing w:after="0" w:line="7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96</w:t>
      </w:r>
    </w:p>
    <w:p>
      <w:pPr>
        <w:sectPr>
          <w:pgSz w:w="11900" w:h="16838" w:orient="portrait"/>
          <w:cols w:equalWidth="0" w:num="1">
            <w:col w:w="11100"/>
          </w:cols>
          <w:pgMar w:left="320" w:top="455" w:right="479" w:bottom="1440" w:gutter="0" w:footer="0" w:header="0"/>
          <w:type w:val="continuous"/>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208280</wp:posOffset>
            </wp:positionV>
            <wp:extent cx="1405890" cy="1454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405890" cy="145415"/>
                    </a:xfrm>
                    <a:prstGeom prst="rect">
                      <a:avLst/>
                    </a:prstGeom>
                    <a:noFill/>
                  </pic:spPr>
                </pic:pic>
              </a:graphicData>
            </a:graphic>
          </wp:anchor>
        </w:drawing>
      </w:r>
    </w:p>
    <w:p>
      <w:pPr>
        <w:spacing w:after="0" w:line="339"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FFFFFF"/>
        </w:rPr>
        <w:t>Stockholder proposals</w:t>
      </w:r>
    </w:p>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0B2D71"/>
        </w:rPr>
        <w:t>Board of directors’ response</w:t>
      </w:r>
    </w:p>
    <w:p>
      <w:pPr>
        <w:spacing w:after="0" w:line="128"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Chevron and your Board share the proponent’s concern for human rights, and we condemn the violence and human rights abuses occurring in Myanmar. On January 21, 2022, Chevron released a statement announcing our intention to exit Myanmar. We intend to conduct our exit in a planned and orderly manner, and while doing so, we will continue to meet our commitments and support the humanitarian needs of local communities.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Chevron’s commitment to human rights</w:t>
      </w:r>
    </w:p>
    <w:p>
      <w:pPr>
        <w:spacing w:after="0" w:line="112"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color w:val="auto"/>
        </w:rPr>
        <w:t>Our commitment to human rights is reflected throughout our business and in how we conduct ourselves, including in our Human Rights Policy, our Operational Excellence Management System, and our Business Conduct and Ethics Code, all of which are on our website. At times locations where we operate experience civil unrest and challenging conditions. Our approach to human rights is consistent. Wherever we operate, we work to support local communities with basic human needs, including healthcare, education, and energy.</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believe we have the right processes and governance to ensure that we make the right decisions about where and how we conduct our business.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Accordingly, your Board does not believe the report requested in the Proposal is necessary.</w:t>
      </w:r>
    </w:p>
    <w:p>
      <w:pPr>
        <w:spacing w:after="0" w:line="83" w:lineRule="exact"/>
        <w:rPr>
          <w:sz w:val="20"/>
          <w:szCs w:val="20"/>
          <w:color w:val="auto"/>
        </w:rPr>
      </w:pPr>
    </w:p>
    <w:p>
      <w:pPr>
        <w:ind w:left="120"/>
        <w:spacing w:after="0"/>
        <w:rPr>
          <w:sz w:val="20"/>
          <w:szCs w:val="20"/>
          <w:color w:val="auto"/>
        </w:rPr>
      </w:pPr>
      <w:r>
        <w:rPr>
          <w:rFonts w:ascii="Arial" w:cs="Arial" w:eastAsia="Arial" w:hAnsi="Arial"/>
          <w:sz w:val="22"/>
          <w:szCs w:val="22"/>
          <w:color w:val="0B2D71"/>
        </w:rPr>
        <w:t xml:space="preserve">Therefore, your Board recommends that you vote </w:t>
      </w:r>
      <w:r>
        <w:rPr>
          <w:rFonts w:ascii="Arial" w:cs="Arial" w:eastAsia="Arial" w:hAnsi="Arial"/>
          <w:sz w:val="22"/>
          <w:szCs w:val="22"/>
          <w:b w:val="1"/>
          <w:bCs w:val="1"/>
          <w:color w:val="0B2D71"/>
        </w:rPr>
        <w:t>against</w:t>
      </w:r>
      <w:r>
        <w:rPr>
          <w:rFonts w:ascii="Arial" w:cs="Arial" w:eastAsia="Arial" w:hAnsi="Arial"/>
          <w:sz w:val="22"/>
          <w:szCs w:val="22"/>
          <w:color w:val="0B2D71"/>
        </w:rPr>
        <w:t xml:space="preserve"> this proposal.</w:t>
      </w:r>
    </w:p>
    <w:p>
      <w:pPr>
        <w:spacing w:after="0" w:line="149"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97</w:t>
      </w:r>
    </w:p>
    <w:p>
      <w:pPr>
        <w:sectPr>
          <w:pgSz w:w="11900" w:h="16838" w:orient="portrait"/>
          <w:cols w:equalWidth="0" w:num="1">
            <w:col w:w="11060"/>
          </w:cols>
          <w:pgMar w:left="320" w:top="455" w:right="51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37310" cy="1454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337310" cy="145415"/>
                    </a:xfrm>
                    <a:prstGeom prst="rect">
                      <a:avLst/>
                    </a:prstGeom>
                    <a:noFill/>
                  </pic:spPr>
                </pic:pic>
              </a:graphicData>
            </a:graphic>
          </wp:anchor>
        </w:drawing>
      </w:r>
    </w:p>
    <w:p>
      <w:pPr>
        <w:spacing w:after="0" w:line="33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Stockholder proposals</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0B2D71"/>
        </w:rPr>
        <w:t>Stockholder proposal to report on racial equity audit</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0B2D71"/>
        </w:rPr>
        <w:t>(Item 9 on the proxy card)</w:t>
      </w:r>
    </w:p>
    <w:p>
      <w:pPr>
        <w:sectPr>
          <w:pgSz w:w="11900" w:h="16838" w:orient="portrait"/>
          <w:cols w:equalWidth="0" w:num="1">
            <w:col w:w="11100"/>
          </w:cols>
          <w:pgMar w:left="320" w:top="455" w:right="479" w:bottom="1440" w:gutter="0" w:footer="0" w:header="0"/>
        </w:sectPr>
      </w:pPr>
    </w:p>
    <w:p>
      <w:pPr>
        <w:spacing w:after="0" w:line="264"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Shareholders request that the Board of Directors commission</w:t>
      </w:r>
      <w:r>
        <w:rPr>
          <w:rFonts w:ascii="Arial" w:cs="Arial" w:eastAsia="Arial" w:hAnsi="Arial"/>
          <w:sz w:val="16"/>
          <w:szCs w:val="16"/>
          <w:b w:val="1"/>
          <w:bCs w:val="1"/>
          <w:color w:val="auto"/>
        </w:rPr>
        <w:t xml:space="preserve"> </w:t>
      </w:r>
      <w:r>
        <w:rPr>
          <w:rFonts w:ascii="Arial" w:cs="Arial" w:eastAsia="Arial" w:hAnsi="Arial"/>
          <w:sz w:val="16"/>
          <w:szCs w:val="16"/>
          <w:color w:val="auto"/>
        </w:rPr>
        <w:t>and publicly disclose the findings of an independent racial equity audit, analyzing if, and how, Chevron’s policies and practices discriminate against or disparately impact communities of color. The report should clearly identify, and recommend steps to eliminate, business activities that further systemic racism, environmental injustice, threaten civil rights, or present barriers to diversity, equity, and inclusion (DEI). Input from impacted workers, community members, customers, or other relevant stakeholders should inform the audit and report. The report should exclude confidential and proprietary information, as well as information relevant to any pending legal proceeding or threatened proceeding of which Chevron has notice.</w:t>
      </w:r>
    </w:p>
    <w:p>
      <w:pPr>
        <w:spacing w:after="0" w:line="76" w:lineRule="exact"/>
        <w:rPr>
          <w:sz w:val="20"/>
          <w:szCs w:val="20"/>
          <w:color w:val="auto"/>
        </w:rPr>
      </w:pPr>
    </w:p>
    <w:p>
      <w:pPr>
        <w:ind w:left="120" w:right="80"/>
        <w:spacing w:after="0" w:line="225"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Racial inequity and environmental racism are systemic risks</w:t>
      </w:r>
      <w:r>
        <w:rPr>
          <w:rFonts w:ascii="Arial" w:cs="Arial" w:eastAsia="Arial" w:hAnsi="Arial"/>
          <w:sz w:val="16"/>
          <w:szCs w:val="16"/>
          <w:b w:val="1"/>
          <w:bCs w:val="1"/>
          <w:color w:val="auto"/>
        </w:rPr>
        <w:t xml:space="preserve"> </w:t>
      </w:r>
      <w:r>
        <w:rPr>
          <w:rFonts w:ascii="Arial" w:cs="Arial" w:eastAsia="Arial" w:hAnsi="Arial"/>
          <w:sz w:val="16"/>
          <w:szCs w:val="16"/>
          <w:color w:val="auto"/>
        </w:rPr>
        <w:t>that threaten society and the economy.</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Companies that fail to correct policies and practices deemed to be racist, discriminatory, or furthering inequities face legal, financial, reputational, and human capital management risks. Companies that commit to holistically advance racial justice and foster DEI benefit from stronger performance, employee satisfaction, innovation, and positive social impact. </w:t>
      </w:r>
      <w:r>
        <w:rPr>
          <w:rFonts w:ascii="Arial" w:cs="Arial" w:eastAsia="Arial" w:hAnsi="Arial"/>
          <w:sz w:val="27"/>
          <w:szCs w:val="27"/>
          <w:color w:val="auto"/>
          <w:vertAlign w:val="superscript"/>
        </w:rPr>
        <w:t>2</w:t>
      </w:r>
    </w:p>
    <w:p>
      <w:pPr>
        <w:spacing w:after="0" w:line="2" w:lineRule="exact"/>
        <w:rPr>
          <w:sz w:val="20"/>
          <w:szCs w:val="20"/>
          <w:color w:val="auto"/>
        </w:rPr>
      </w:pPr>
    </w:p>
    <w:p>
      <w:pPr>
        <w:ind w:left="120"/>
        <w:spacing w:after="0" w:line="204" w:lineRule="auto"/>
        <w:rPr>
          <w:sz w:val="20"/>
          <w:szCs w:val="20"/>
          <w:color w:val="auto"/>
        </w:rPr>
      </w:pPr>
      <w:r>
        <w:rPr>
          <w:rFonts w:ascii="Arial" w:cs="Arial" w:eastAsia="Arial" w:hAnsi="Arial"/>
          <w:sz w:val="16"/>
          <w:szCs w:val="16"/>
          <w:color w:val="auto"/>
        </w:rPr>
        <w:t>Chevron is one of the highest greenhouse gas emitting companies in the world</w:t>
      </w:r>
      <w:r>
        <w:rPr>
          <w:rFonts w:ascii="Arial" w:cs="Arial" w:eastAsia="Arial" w:hAnsi="Arial"/>
          <w:sz w:val="27"/>
          <w:szCs w:val="27"/>
          <w:color w:val="auto"/>
          <w:vertAlign w:val="superscript"/>
        </w:rPr>
        <w:t>.3</w:t>
      </w:r>
      <w:r>
        <w:rPr>
          <w:rFonts w:ascii="Arial" w:cs="Arial" w:eastAsia="Arial" w:hAnsi="Arial"/>
          <w:sz w:val="16"/>
          <w:szCs w:val="16"/>
          <w:color w:val="auto"/>
        </w:rPr>
        <w:t xml:space="preserve"> Its emissions contribute to the climate crisis, which disparately impacts people of color and furthers systemic racism.</w:t>
      </w:r>
      <w:r>
        <w:rPr>
          <w:rFonts w:ascii="Arial" w:cs="Arial" w:eastAsia="Arial" w:hAnsi="Arial"/>
          <w:sz w:val="27"/>
          <w:szCs w:val="27"/>
          <w:color w:val="auto"/>
          <w:vertAlign w:val="superscript"/>
        </w:rPr>
        <w:t>4</w:t>
      </w:r>
      <w:r>
        <w:rPr>
          <w:rFonts w:ascii="Arial" w:cs="Arial" w:eastAsia="Arial" w:hAnsi="Arial"/>
          <w:sz w:val="16"/>
          <w:szCs w:val="16"/>
          <w:color w:val="auto"/>
        </w:rPr>
        <w:t xml:space="preserve"> Chevron’s operations, discharges, and leaks disproportionately burden communities of color with pollution and human health risks.</w:t>
      </w:r>
      <w:r>
        <w:rPr>
          <w:rFonts w:ascii="Arial" w:cs="Arial" w:eastAsia="Arial" w:hAnsi="Arial"/>
          <w:sz w:val="27"/>
          <w:szCs w:val="27"/>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197485</wp:posOffset>
            </wp:positionV>
            <wp:extent cx="223710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195" w:lineRule="auto"/>
        <w:rPr>
          <w:sz w:val="20"/>
          <w:szCs w:val="20"/>
          <w:color w:val="auto"/>
        </w:rPr>
      </w:pPr>
      <w:r>
        <w:rPr>
          <w:rFonts w:ascii="Arial" w:cs="Arial" w:eastAsia="Arial" w:hAnsi="Arial"/>
          <w:sz w:val="16"/>
          <w:szCs w:val="16"/>
          <w:color w:val="auto"/>
        </w:rPr>
        <w:t>For example, 80% of residents living adjacent to Chevron’s Richmond, CA refinery are people of color, and they experience higher rates of cardiovascular disease, cancer, and asthma.</w:t>
      </w:r>
      <w:r>
        <w:rPr>
          <w:rFonts w:ascii="Arial" w:cs="Arial" w:eastAsia="Arial" w:hAnsi="Arial"/>
          <w:sz w:val="27"/>
          <w:szCs w:val="27"/>
          <w:color w:val="auto"/>
          <w:vertAlign w:val="superscript"/>
        </w:rPr>
        <w:t>6</w:t>
      </w:r>
      <w:r>
        <w:rPr>
          <w:rFonts w:ascii="Arial" w:cs="Arial" w:eastAsia="Arial" w:hAnsi="Arial"/>
          <w:sz w:val="16"/>
          <w:szCs w:val="16"/>
          <w:color w:val="auto"/>
        </w:rPr>
        <w:t xml:space="preserve"> Chevron’s Richmond facility is the city’s largest polluter and the company has spent millions of dollars to influence city politics and funding.</w:t>
      </w:r>
      <w:r>
        <w:rPr>
          <w:rFonts w:ascii="Arial" w:cs="Arial" w:eastAsia="Arial" w:hAnsi="Arial"/>
          <w:sz w:val="27"/>
          <w:szCs w:val="27"/>
          <w:color w:val="auto"/>
          <w:vertAlign w:val="superscript"/>
        </w:rPr>
        <w:t>7</w:t>
      </w:r>
      <w:r>
        <w:rPr>
          <w:rFonts w:ascii="Arial" w:cs="Arial" w:eastAsia="Arial" w:hAnsi="Arial"/>
          <w:sz w:val="16"/>
          <w:szCs w:val="16"/>
          <w:color w:val="auto"/>
        </w:rPr>
        <w:t xml:space="preserve"> Chevron also finances the Richmond police,</w:t>
      </w:r>
      <w:r>
        <w:rPr>
          <w:rFonts w:ascii="Arial" w:cs="Arial" w:eastAsia="Arial" w:hAnsi="Arial"/>
          <w:sz w:val="27"/>
          <w:szCs w:val="27"/>
          <w:color w:val="auto"/>
          <w:vertAlign w:val="superscript"/>
        </w:rPr>
        <w:t>8</w:t>
      </w:r>
      <w:r>
        <w:rPr>
          <w:rFonts w:ascii="Arial" w:cs="Arial" w:eastAsia="Arial" w:hAnsi="Arial"/>
          <w:sz w:val="16"/>
          <w:szCs w:val="16"/>
          <w:color w:val="auto"/>
        </w:rPr>
        <w:t xml:space="preserve"> which has been linked to police brutality.</w:t>
      </w:r>
      <w:r>
        <w:rPr>
          <w:rFonts w:ascii="Arial" w:cs="Arial" w:eastAsia="Arial" w:hAnsi="Arial"/>
          <w:sz w:val="27"/>
          <w:szCs w:val="27"/>
          <w:color w:val="auto"/>
          <w:vertAlign w:val="superscript"/>
        </w:rPr>
        <w:t>9</w:t>
      </w:r>
      <w:r>
        <w:rPr>
          <w:rFonts w:ascii="Arial" w:cs="Arial" w:eastAsia="Arial" w:hAnsi="Arial"/>
          <w:sz w:val="16"/>
          <w:szCs w:val="16"/>
          <w:color w:val="auto"/>
        </w:rPr>
        <w:t xml:space="preserve"> Beyond Richmond, Chevron finances police groups in major U.S. cities and Chevron representatives serve on the boards of Houston and Salt Lake City police foundations.</w:t>
      </w:r>
      <w:r>
        <w:rPr>
          <w:rFonts w:ascii="Arial" w:cs="Arial" w:eastAsia="Arial" w:hAnsi="Arial"/>
          <w:sz w:val="27"/>
          <w:szCs w:val="27"/>
          <w:color w:val="auto"/>
          <w:vertAlign w:val="superscript"/>
        </w:rPr>
        <w:t>10.</w:t>
      </w:r>
      <w:r>
        <w:rPr>
          <w:rFonts w:ascii="Arial" w:cs="Arial" w:eastAsia="Arial" w:hAnsi="Arial"/>
          <w:sz w:val="16"/>
          <w:szCs w:val="16"/>
          <w:color w:val="auto"/>
        </w:rPr>
        <w:t xml:space="preserve"> Additionally, Chevron faces scrutiny for financing United States politicians with failing civil rights grades issued by the NAACP.</w:t>
      </w:r>
      <w:r>
        <w:rPr>
          <w:rFonts w:ascii="Arial" w:cs="Arial" w:eastAsia="Arial" w:hAnsi="Arial"/>
          <w:sz w:val="27"/>
          <w:szCs w:val="27"/>
          <w:color w:val="auto"/>
          <w:vertAlign w:val="superscript"/>
        </w:rPr>
        <w:t>11.</w:t>
      </w:r>
    </w:p>
    <w:p>
      <w:pPr>
        <w:spacing w:after="0" w:line="5" w:lineRule="exact"/>
        <w:rPr>
          <w:sz w:val="20"/>
          <w:szCs w:val="20"/>
          <w:color w:val="auto"/>
        </w:rPr>
      </w:pPr>
    </w:p>
    <w:p>
      <w:pPr>
        <w:spacing w:after="0" w:line="200" w:lineRule="auto"/>
        <w:rPr>
          <w:sz w:val="20"/>
          <w:szCs w:val="20"/>
          <w:color w:val="auto"/>
        </w:rPr>
      </w:pPr>
      <w:r>
        <w:rPr>
          <w:rFonts w:ascii="Arial" w:cs="Arial" w:eastAsia="Arial" w:hAnsi="Arial"/>
          <w:sz w:val="16"/>
          <w:szCs w:val="16"/>
          <w:color w:val="auto"/>
        </w:rPr>
        <w:t>Chevron’s business disparately impacts Indigenous Peoples. Over 60% of publicly reported abuses from Chevron’s operations impacted Indigenous Peoples, including violation of land rights, allegations of genocide, violence against Indigenous women</w:t>
      </w:r>
      <w:r>
        <w:rPr>
          <w:rFonts w:ascii="Arial" w:cs="Arial" w:eastAsia="Arial" w:hAnsi="Arial"/>
          <w:sz w:val="27"/>
          <w:szCs w:val="27"/>
          <w:color w:val="auto"/>
          <w:vertAlign w:val="superscript"/>
        </w:rPr>
        <w:t>,12</w:t>
      </w:r>
      <w:r>
        <w:rPr>
          <w:rFonts w:ascii="Arial" w:cs="Arial" w:eastAsia="Arial" w:hAnsi="Arial"/>
          <w:sz w:val="16"/>
          <w:szCs w:val="16"/>
          <w:color w:val="auto"/>
        </w:rPr>
        <w:t xml:space="preserve"> and widespread environmental damage and human rights violations in Ecuador</w:t>
      </w:r>
      <w:r>
        <w:rPr>
          <w:rFonts w:ascii="Arial" w:cs="Arial" w:eastAsia="Arial" w:hAnsi="Arial"/>
          <w:sz w:val="27"/>
          <w:szCs w:val="27"/>
          <w:color w:val="auto"/>
          <w:vertAlign w:val="superscript"/>
        </w:rPr>
        <w:t>13.</w:t>
      </w:r>
      <w:r>
        <w:rPr>
          <w:rFonts w:ascii="Arial" w:cs="Arial" w:eastAsia="Arial" w:hAnsi="Arial"/>
          <w:sz w:val="16"/>
          <w:szCs w:val="16"/>
          <w:color w:val="auto"/>
        </w:rPr>
        <w:t>, Indonesia</w:t>
      </w:r>
      <w:r>
        <w:rPr>
          <w:rFonts w:ascii="Arial" w:cs="Arial" w:eastAsia="Arial" w:hAnsi="Arial"/>
          <w:sz w:val="27"/>
          <w:szCs w:val="27"/>
          <w:color w:val="auto"/>
          <w:vertAlign w:val="superscript"/>
        </w:rPr>
        <w:t>14.,</w:t>
      </w:r>
      <w:r>
        <w:rPr>
          <w:rFonts w:ascii="Arial" w:cs="Arial" w:eastAsia="Arial" w:hAnsi="Arial"/>
          <w:sz w:val="16"/>
          <w:szCs w:val="16"/>
          <w:color w:val="auto"/>
        </w:rPr>
        <w:t xml:space="preserve"> Nigeria</w:t>
      </w:r>
      <w:r>
        <w:rPr>
          <w:rFonts w:ascii="Arial" w:cs="Arial" w:eastAsia="Arial" w:hAnsi="Arial"/>
          <w:sz w:val="27"/>
          <w:szCs w:val="27"/>
          <w:color w:val="auto"/>
          <w:vertAlign w:val="superscript"/>
        </w:rPr>
        <w:t>15,</w:t>
      </w:r>
      <w:r>
        <w:rPr>
          <w:rFonts w:ascii="Arial" w:cs="Arial" w:eastAsia="Arial" w:hAnsi="Arial"/>
          <w:sz w:val="16"/>
          <w:szCs w:val="16"/>
          <w:color w:val="auto"/>
        </w:rPr>
        <w:t xml:space="preserve"> and the United States</w:t>
      </w:r>
      <w:r>
        <w:rPr>
          <w:rFonts w:ascii="Arial" w:cs="Arial" w:eastAsia="Arial" w:hAnsi="Arial"/>
          <w:sz w:val="27"/>
          <w:szCs w:val="27"/>
          <w:color w:val="auto"/>
          <w:vertAlign w:val="superscript"/>
        </w:rPr>
        <w:t>16</w:t>
      </w:r>
      <w:r>
        <w:rPr>
          <w:rFonts w:ascii="Arial" w:cs="Arial" w:eastAsia="Arial" w:hAnsi="Arial"/>
          <w:sz w:val="16"/>
          <w:szCs w:val="16"/>
          <w:color w:val="auto"/>
        </w:rPr>
        <w:t>.</w:t>
      </w:r>
    </w:p>
    <w:p>
      <w:pPr>
        <w:spacing w:after="0" w:line="6" w:lineRule="exact"/>
        <w:rPr>
          <w:sz w:val="20"/>
          <w:szCs w:val="20"/>
          <w:color w:val="auto"/>
        </w:rPr>
      </w:pPr>
    </w:p>
    <w:p>
      <w:pPr>
        <w:ind w:right="120"/>
        <w:spacing w:after="0" w:line="215" w:lineRule="auto"/>
        <w:rPr>
          <w:sz w:val="20"/>
          <w:szCs w:val="20"/>
          <w:color w:val="auto"/>
        </w:rPr>
      </w:pPr>
      <w:r>
        <w:rPr>
          <w:rFonts w:ascii="Arial" w:cs="Arial" w:eastAsia="Arial" w:hAnsi="Arial"/>
          <w:sz w:val="16"/>
          <w:szCs w:val="16"/>
          <w:color w:val="auto"/>
        </w:rPr>
        <w:t>While Chevron has made DEI and philanthropic commitments to support Black employees and communities, its practices have historically exacerbated racial inequities.</w:t>
      </w:r>
      <w:r>
        <w:rPr>
          <w:rFonts w:ascii="Arial" w:cs="Arial" w:eastAsia="Arial" w:hAnsi="Arial"/>
          <w:sz w:val="27"/>
          <w:szCs w:val="27"/>
          <w:color w:val="auto"/>
          <w:vertAlign w:val="superscript"/>
        </w:rPr>
        <w:t>17</w:t>
      </w:r>
      <w:r>
        <w:rPr>
          <w:rFonts w:ascii="Arial" w:cs="Arial" w:eastAsia="Arial" w:hAnsi="Arial"/>
          <w:sz w:val="16"/>
          <w:szCs w:val="16"/>
          <w:color w:val="auto"/>
        </w:rPr>
        <w:t xml:space="preserve"> An independent 2021 report documented dozens of outstanding legal cases against Chevron for alleged environmental damage and human rights violations, noting that the company has only paid .006% of associated fines, court judgements, and settlements.</w:t>
      </w:r>
      <w:r>
        <w:rPr>
          <w:rFonts w:ascii="Arial" w:cs="Arial" w:eastAsia="Arial" w:hAnsi="Arial"/>
          <w:sz w:val="27"/>
          <w:szCs w:val="27"/>
          <w:color w:val="auto"/>
          <w:vertAlign w:val="superscript"/>
        </w:rPr>
        <w:t>18</w:t>
      </w:r>
      <w:r>
        <w:rPr>
          <w:rFonts w:ascii="Arial" w:cs="Arial" w:eastAsia="Arial" w:hAnsi="Arial"/>
          <w:sz w:val="16"/>
          <w:szCs w:val="16"/>
          <w:color w:val="auto"/>
        </w:rPr>
        <w:t xml:space="preserve"> A racial equity audit would help Chevron identify, prioritize, remedy, and avoid adverse impacts on people of color while reducing reputational risk and liabilities.</w:t>
      </w:r>
    </w:p>
    <w:p>
      <w:pPr>
        <w:spacing w:after="0" w:line="200" w:lineRule="exact"/>
        <w:rPr>
          <w:sz w:val="20"/>
          <w:szCs w:val="20"/>
          <w:color w:val="auto"/>
        </w:rPr>
      </w:pPr>
    </w:p>
    <w:p>
      <w:pPr>
        <w:sectPr>
          <w:pgSz w:w="11900" w:h="16838" w:orient="portrait"/>
          <w:cols w:equalWidth="0" w:num="2">
            <w:col w:w="5360" w:space="380"/>
            <w:col w:w="5360"/>
          </w:cols>
          <w:pgMar w:left="320" w:top="455" w:right="479" w:bottom="1440" w:gutter="0" w:footer="0" w:header="0"/>
          <w:type w:val="continuous"/>
        </w:sectPr>
      </w:pPr>
    </w:p>
    <w:p>
      <w:pPr>
        <w:spacing w:after="0" w:line="85" w:lineRule="exact"/>
        <w:rPr>
          <w:sz w:val="20"/>
          <w:szCs w:val="20"/>
          <w:color w:val="auto"/>
        </w:rPr>
      </w:pPr>
    </w:p>
    <w:p>
      <w:pPr>
        <w:ind w:left="340" w:hanging="224"/>
        <w:spacing w:after="0"/>
        <w:tabs>
          <w:tab w:leader="none" w:pos="340" w:val="left"/>
        </w:tabs>
        <w:numPr>
          <w:ilvl w:val="0"/>
          <w:numId w:val="145"/>
        </w:numPr>
        <w:rPr>
          <w:rFonts w:ascii="Arial" w:cs="Arial" w:eastAsia="Arial" w:hAnsi="Arial"/>
          <w:sz w:val="24"/>
          <w:szCs w:val="24"/>
          <w:color w:val="auto"/>
          <w:vertAlign w:val="superscript"/>
        </w:rPr>
      </w:pPr>
      <w:r>
        <w:rPr>
          <w:rFonts w:ascii="Arial" w:cs="Arial" w:eastAsia="Arial" w:hAnsi="Arial"/>
          <w:sz w:val="14"/>
          <w:szCs w:val="14"/>
          <w:color w:val="auto"/>
        </w:rPr>
        <w:t>https://www.spglobal.com/marketintelligence/en/news-insights/latest-news-headlines/racial-inequity-a-systemic-risk-8211-state-street- global-advisors-ceo-62047105</w:t>
      </w:r>
    </w:p>
    <w:p>
      <w:pPr>
        <w:ind w:left="120"/>
        <w:spacing w:after="0" w:line="187" w:lineRule="auto"/>
        <w:rPr>
          <w:rFonts w:ascii="Arial" w:cs="Arial" w:eastAsia="Arial" w:hAnsi="Arial"/>
          <w:sz w:val="24"/>
          <w:szCs w:val="24"/>
          <w:color w:val="auto"/>
          <w:vertAlign w:val="superscript"/>
        </w:rPr>
      </w:pPr>
      <w:r>
        <w:rPr>
          <w:rFonts w:ascii="Arial" w:cs="Arial" w:eastAsia="Arial" w:hAnsi="Arial"/>
          <w:sz w:val="18"/>
          <w:szCs w:val="18"/>
          <w:color w:val="auto"/>
          <w:vertAlign w:val="superscript"/>
        </w:rPr>
        <w:t>2</w:t>
      </w:r>
      <w:r>
        <w:rPr>
          <w:rFonts w:ascii="Arial" w:cs="Arial" w:eastAsia="Arial" w:hAnsi="Arial"/>
          <w:sz w:val="11"/>
          <w:szCs w:val="11"/>
          <w:color w:val="auto"/>
        </w:rPr>
        <w:t xml:space="preserve">  https://www.forbes.com/sites/forbeshumanresourcescouncil/2021/05/19/15-key-benefits-of-dei-to-communicate-with-team- members/?sh=78cbb835195c</w:t>
      </w:r>
    </w:p>
    <w:p>
      <w:pPr>
        <w:ind w:left="120"/>
        <w:spacing w:after="0" w:line="187" w:lineRule="auto"/>
        <w:rPr>
          <w:rFonts w:ascii="Arial" w:cs="Arial" w:eastAsia="Arial" w:hAnsi="Arial"/>
          <w:sz w:val="24"/>
          <w:szCs w:val="24"/>
          <w:color w:val="auto"/>
          <w:vertAlign w:val="superscript"/>
        </w:rPr>
      </w:pPr>
      <w:r>
        <w:rPr>
          <w:rFonts w:ascii="Arial" w:cs="Arial" w:eastAsia="Arial" w:hAnsi="Arial"/>
          <w:sz w:val="18"/>
          <w:szCs w:val="18"/>
          <w:color w:val="auto"/>
          <w:vertAlign w:val="superscript"/>
        </w:rPr>
        <w:t>3</w:t>
      </w:r>
      <w:r>
        <w:rPr>
          <w:rFonts w:ascii="Arial" w:cs="Arial" w:eastAsia="Arial" w:hAnsi="Arial"/>
          <w:sz w:val="11"/>
          <w:szCs w:val="11"/>
          <w:color w:val="auto"/>
        </w:rPr>
        <w:t xml:space="preserve">  https://b8f65cb373b1b7b15feb-c70d8ead6ced550b4d987d7c03fcdd1d.ssl.cf3.rackcdn.com/cms/reports/documents/000/002/327/original/Carbon-Majors-Report-</w:t>
      </w:r>
    </w:p>
    <w:p>
      <w:pPr>
        <w:ind w:left="340"/>
        <w:spacing w:after="0"/>
        <w:rPr>
          <w:rFonts w:ascii="Arial" w:cs="Arial" w:eastAsia="Arial" w:hAnsi="Arial"/>
          <w:sz w:val="24"/>
          <w:szCs w:val="24"/>
          <w:color w:val="auto"/>
          <w:vertAlign w:val="superscript"/>
        </w:rPr>
      </w:pPr>
      <w:r>
        <w:rPr>
          <w:rFonts w:ascii="Arial" w:cs="Arial" w:eastAsia="Arial" w:hAnsi="Arial"/>
          <w:sz w:val="14"/>
          <w:szCs w:val="14"/>
          <w:color w:val="auto"/>
        </w:rPr>
        <w:t>2017.pdf?1499691240</w:t>
      </w:r>
    </w:p>
    <w:p>
      <w:pPr>
        <w:spacing w:after="0" w:line="1" w:lineRule="exact"/>
        <w:rPr>
          <w:rFonts w:ascii="Arial" w:cs="Arial" w:eastAsia="Arial" w:hAnsi="Arial"/>
          <w:sz w:val="24"/>
          <w:szCs w:val="24"/>
          <w:color w:val="auto"/>
          <w:vertAlign w:val="superscript"/>
        </w:rPr>
      </w:pPr>
    </w:p>
    <w:p>
      <w:pPr>
        <w:ind w:left="340" w:right="2380" w:hanging="216"/>
        <w:spacing w:after="0" w:line="182" w:lineRule="auto"/>
        <w:rPr>
          <w:rFonts w:ascii="Arial" w:cs="Arial" w:eastAsia="Arial" w:hAnsi="Arial"/>
          <w:sz w:val="24"/>
          <w:szCs w:val="24"/>
          <w:color w:val="auto"/>
          <w:vertAlign w:val="superscript"/>
        </w:rPr>
      </w:pPr>
      <w:r>
        <w:rPr>
          <w:rFonts w:ascii="Arial" w:cs="Arial" w:eastAsia="Arial" w:hAnsi="Arial"/>
          <w:sz w:val="23"/>
          <w:szCs w:val="23"/>
          <w:color w:val="auto"/>
          <w:vertAlign w:val="superscript"/>
        </w:rPr>
        <w:t>4</w:t>
      </w:r>
      <w:r>
        <w:rPr>
          <w:rFonts w:ascii="Arial" w:cs="Arial" w:eastAsia="Arial" w:hAnsi="Arial"/>
          <w:sz w:val="14"/>
          <w:szCs w:val="14"/>
          <w:color w:val="auto"/>
        </w:rPr>
        <w:t xml:space="preserve"> https://e360.yale.edu/features/unequal-impact-the-deep-links-between-inequality-and-climate-change; https://blog.ucsusa.org/kathy-mulvey/six-ways-chevron-imperils-climate-human-rights-and-racial-justice/</w:t>
      </w:r>
    </w:p>
    <w:p>
      <w:pPr>
        <w:spacing w:after="0" w:line="1" w:lineRule="exact"/>
        <w:rPr>
          <w:rFonts w:ascii="Arial" w:cs="Arial" w:eastAsia="Arial" w:hAnsi="Arial"/>
          <w:sz w:val="24"/>
          <w:szCs w:val="24"/>
          <w:color w:val="auto"/>
          <w:vertAlign w:val="superscript"/>
        </w:rPr>
      </w:pPr>
    </w:p>
    <w:p>
      <w:pPr>
        <w:ind w:left="120"/>
        <w:spacing w:after="0" w:line="187" w:lineRule="auto"/>
        <w:rPr>
          <w:rFonts w:ascii="Arial" w:cs="Arial" w:eastAsia="Arial" w:hAnsi="Arial"/>
          <w:sz w:val="24"/>
          <w:szCs w:val="24"/>
          <w:color w:val="auto"/>
          <w:vertAlign w:val="superscript"/>
        </w:rPr>
      </w:pPr>
      <w:r>
        <w:rPr>
          <w:rFonts w:ascii="Arial" w:cs="Arial" w:eastAsia="Arial" w:hAnsi="Arial"/>
          <w:sz w:val="18"/>
          <w:szCs w:val="18"/>
          <w:color w:val="auto"/>
          <w:vertAlign w:val="superscript"/>
        </w:rPr>
        <w:t>5</w:t>
      </w:r>
      <w:r>
        <w:rPr>
          <w:rFonts w:ascii="Arial" w:cs="Arial" w:eastAsia="Arial" w:hAnsi="Arial"/>
          <w:sz w:val="11"/>
          <w:szCs w:val="11"/>
          <w:color w:val="auto"/>
        </w:rPr>
        <w:t xml:space="preserve">  https://www.scientificamerican.com/article/pollution-poverty-people-color-living-industry/</w:t>
      </w:r>
    </w:p>
    <w:p>
      <w:pPr>
        <w:ind w:left="120" w:right="1640"/>
        <w:spacing w:after="0" w:line="182" w:lineRule="auto"/>
        <w:rPr>
          <w:rFonts w:ascii="Arial" w:cs="Arial" w:eastAsia="Arial" w:hAnsi="Arial"/>
          <w:sz w:val="24"/>
          <w:szCs w:val="24"/>
          <w:color w:val="auto"/>
          <w:vertAlign w:val="superscript"/>
        </w:rPr>
      </w:pPr>
      <w:r>
        <w:rPr>
          <w:rFonts w:ascii="Arial" w:cs="Arial" w:eastAsia="Arial" w:hAnsi="Arial"/>
          <w:sz w:val="23"/>
          <w:szCs w:val="23"/>
          <w:color w:val="auto"/>
          <w:vertAlign w:val="superscript"/>
        </w:rPr>
        <w:t>6</w:t>
      </w:r>
      <w:r>
        <w:rPr>
          <w:rFonts w:ascii="Arial" w:cs="Arial" w:eastAsia="Arial" w:hAnsi="Arial"/>
          <w:sz w:val="14"/>
          <w:szCs w:val="14"/>
          <w:color w:val="auto"/>
        </w:rPr>
        <w:t xml:space="preserve"> https://www.theguardian.com/environment/2019/oct/09/richmond-chevron-california-city-polluter-fossil-fuel; https://ej4all.org/life-at- the-fenceline </w:t>
      </w:r>
      <w:r>
        <w:rPr>
          <w:rFonts w:ascii="Arial" w:cs="Arial" w:eastAsia="Arial" w:hAnsi="Arial"/>
          <w:sz w:val="23"/>
          <w:szCs w:val="23"/>
          <w:color w:val="auto"/>
          <w:vertAlign w:val="superscript"/>
        </w:rPr>
        <w:t>7</w:t>
      </w:r>
      <w:r>
        <w:rPr>
          <w:rFonts w:ascii="Arial" w:cs="Arial" w:eastAsia="Arial" w:hAnsi="Arial"/>
          <w:sz w:val="14"/>
          <w:szCs w:val="14"/>
          <w:color w:val="auto"/>
        </w:rPr>
        <w:t xml:space="preserve"> https://www.eastbaytimes.com/2014/10/10/chevron-unleashes-campaign-spending-to-influence-richmond-election/</w:t>
      </w:r>
    </w:p>
    <w:p>
      <w:pPr>
        <w:spacing w:after="0" w:line="1" w:lineRule="exact"/>
        <w:rPr>
          <w:rFonts w:ascii="Arial" w:cs="Arial" w:eastAsia="Arial" w:hAnsi="Arial"/>
          <w:sz w:val="24"/>
          <w:szCs w:val="24"/>
          <w:color w:val="auto"/>
          <w:vertAlign w:val="superscript"/>
        </w:rPr>
      </w:pPr>
    </w:p>
    <w:p>
      <w:pPr>
        <w:ind w:left="120"/>
        <w:spacing w:after="0" w:line="187" w:lineRule="auto"/>
        <w:rPr>
          <w:rFonts w:ascii="Arial" w:cs="Arial" w:eastAsia="Arial" w:hAnsi="Arial"/>
          <w:sz w:val="24"/>
          <w:szCs w:val="24"/>
          <w:color w:val="auto"/>
          <w:vertAlign w:val="superscript"/>
        </w:rPr>
      </w:pPr>
      <w:r>
        <w:rPr>
          <w:rFonts w:ascii="Arial" w:cs="Arial" w:eastAsia="Arial" w:hAnsi="Arial"/>
          <w:sz w:val="18"/>
          <w:szCs w:val="18"/>
          <w:color w:val="auto"/>
          <w:vertAlign w:val="superscript"/>
        </w:rPr>
        <w:t>8</w:t>
      </w:r>
      <w:r>
        <w:rPr>
          <w:rFonts w:ascii="Arial" w:cs="Arial" w:eastAsia="Arial" w:hAnsi="Arial"/>
          <w:sz w:val="11"/>
          <w:szCs w:val="11"/>
          <w:color w:val="auto"/>
        </w:rPr>
        <w:t xml:space="preserve">  https://stopthemoneypipeline.com/wall-street-and-fossil-fuel-companies-are-funding-police-violence/</w:t>
      </w:r>
    </w:p>
    <w:p>
      <w:pPr>
        <w:ind w:left="340" w:right="1300" w:hanging="216"/>
        <w:spacing w:after="0" w:line="182" w:lineRule="auto"/>
        <w:rPr>
          <w:rFonts w:ascii="Arial" w:cs="Arial" w:eastAsia="Arial" w:hAnsi="Arial"/>
          <w:sz w:val="24"/>
          <w:szCs w:val="24"/>
          <w:color w:val="auto"/>
          <w:vertAlign w:val="superscript"/>
        </w:rPr>
      </w:pPr>
      <w:r>
        <w:rPr>
          <w:rFonts w:ascii="Arial" w:cs="Arial" w:eastAsia="Arial" w:hAnsi="Arial"/>
          <w:sz w:val="23"/>
          <w:szCs w:val="23"/>
          <w:color w:val="auto"/>
          <w:vertAlign w:val="superscript"/>
        </w:rPr>
        <w:t>9</w:t>
      </w:r>
      <w:r>
        <w:rPr>
          <w:rFonts w:ascii="Arial" w:cs="Arial" w:eastAsia="Arial" w:hAnsi="Arial"/>
          <w:sz w:val="14"/>
          <w:szCs w:val="14"/>
          <w:color w:val="auto"/>
        </w:rPr>
        <w:t xml:space="preserve"> https://www.mercurynews.com/2021/02/15/richmond-pays-135k-to-settle-brutality-lawsuit-against-controversial-cop-officer-involved-is-on-admin-leave-for-an-unrelated-investigation/; https://eastbayexpress.com/more-questions-than-answers-in-richmond-police- shooting-1/</w:t>
      </w:r>
    </w:p>
    <w:p>
      <w:pPr>
        <w:spacing w:after="0" w:line="1" w:lineRule="exact"/>
        <w:rPr>
          <w:rFonts w:ascii="Arial" w:cs="Arial" w:eastAsia="Arial" w:hAnsi="Arial"/>
          <w:sz w:val="24"/>
          <w:szCs w:val="24"/>
          <w:color w:val="auto"/>
          <w:vertAlign w:val="superscript"/>
        </w:rPr>
      </w:pPr>
    </w:p>
    <w:p>
      <w:pPr>
        <w:ind w:left="120" w:right="4640"/>
        <w:spacing w:after="0" w:line="184" w:lineRule="auto"/>
        <w:rPr>
          <w:rFonts w:ascii="Arial" w:cs="Arial" w:eastAsia="Arial" w:hAnsi="Arial"/>
          <w:sz w:val="24"/>
          <w:szCs w:val="24"/>
          <w:color w:val="auto"/>
          <w:vertAlign w:val="superscript"/>
        </w:rPr>
      </w:pPr>
      <w:r>
        <w:rPr>
          <w:rFonts w:ascii="Arial" w:cs="Arial" w:eastAsia="Arial" w:hAnsi="Arial"/>
          <w:sz w:val="21"/>
          <w:szCs w:val="21"/>
          <w:color w:val="auto"/>
          <w:vertAlign w:val="superscript"/>
        </w:rPr>
        <w:t>10</w:t>
      </w:r>
      <w:r>
        <w:rPr>
          <w:rFonts w:ascii="Arial" w:cs="Arial" w:eastAsia="Arial" w:hAnsi="Arial"/>
          <w:sz w:val="13"/>
          <w:szCs w:val="13"/>
          <w:color w:val="auto"/>
        </w:rPr>
        <w:t xml:space="preserve"> https://www.theguardian.com/us-news/2020/jul/27/fossil-fuels-oil-gas-industry-police-foundations </w:t>
      </w:r>
      <w:r>
        <w:rPr>
          <w:rFonts w:ascii="Arial" w:cs="Arial" w:eastAsia="Arial" w:hAnsi="Arial"/>
          <w:sz w:val="21"/>
          <w:szCs w:val="21"/>
          <w:color w:val="auto"/>
          <w:vertAlign w:val="superscript"/>
        </w:rPr>
        <w:t>11</w:t>
      </w:r>
      <w:r>
        <w:rPr>
          <w:rFonts w:ascii="Arial" w:cs="Arial" w:eastAsia="Arial" w:hAnsi="Arial"/>
          <w:sz w:val="13"/>
          <w:szCs w:val="13"/>
          <w:color w:val="auto"/>
        </w:rPr>
        <w:t xml:space="preserve"> https://www.globalwitness.org/en/campaigns/oil-gas-and-mining/chevron-stop-funding-racism/ </w:t>
      </w:r>
      <w:r>
        <w:rPr>
          <w:rFonts w:ascii="Arial" w:cs="Arial" w:eastAsia="Arial" w:hAnsi="Arial"/>
          <w:sz w:val="21"/>
          <w:szCs w:val="21"/>
          <w:color w:val="auto"/>
          <w:vertAlign w:val="superscript"/>
        </w:rPr>
        <w:t>12</w:t>
      </w:r>
      <w:r>
        <w:rPr>
          <w:rFonts w:ascii="Arial" w:cs="Arial" w:eastAsia="Arial" w:hAnsi="Arial"/>
          <w:sz w:val="13"/>
          <w:szCs w:val="13"/>
          <w:color w:val="auto"/>
        </w:rPr>
        <w:t xml:space="preserve"> https://chevronsglobaldestruction.com/chevrons_global_destruction_report.pdf</w:t>
      </w:r>
    </w:p>
    <w:p>
      <w:pPr>
        <w:spacing w:after="0" w:line="1" w:lineRule="exact"/>
        <w:rPr>
          <w:rFonts w:ascii="Arial" w:cs="Arial" w:eastAsia="Arial" w:hAnsi="Arial"/>
          <w:sz w:val="24"/>
          <w:szCs w:val="24"/>
          <w:color w:val="auto"/>
          <w:vertAlign w:val="superscript"/>
        </w:rPr>
      </w:pPr>
    </w:p>
    <w:p>
      <w:pPr>
        <w:ind w:left="340" w:right="2560" w:hanging="216"/>
        <w:spacing w:after="0" w:line="182" w:lineRule="auto"/>
        <w:rPr>
          <w:rFonts w:ascii="Arial" w:cs="Arial" w:eastAsia="Arial" w:hAnsi="Arial"/>
          <w:sz w:val="24"/>
          <w:szCs w:val="24"/>
          <w:color w:val="auto"/>
          <w:vertAlign w:val="superscript"/>
        </w:rPr>
      </w:pPr>
      <w:r>
        <w:rPr>
          <w:rFonts w:ascii="Arial" w:cs="Arial" w:eastAsia="Arial" w:hAnsi="Arial"/>
          <w:sz w:val="23"/>
          <w:szCs w:val="23"/>
          <w:color w:val="auto"/>
          <w:vertAlign w:val="superscript"/>
        </w:rPr>
        <w:t>13</w:t>
      </w:r>
      <w:r>
        <w:rPr>
          <w:rFonts w:ascii="Arial" w:cs="Arial" w:eastAsia="Arial" w:hAnsi="Arial"/>
          <w:sz w:val="14"/>
          <w:szCs w:val="14"/>
          <w:color w:val="auto"/>
        </w:rPr>
        <w:t xml:space="preserve"> https://www.business-humanrights.org/en/latest-news/the-case-of-chevron-in-the-ecuadorian-amazon-the-ruling-of-the- supreme-court-of-canada-closes-the-doors-to-end-impunity/</w:t>
      </w:r>
    </w:p>
    <w:p>
      <w:pPr>
        <w:spacing w:after="0" w:line="1" w:lineRule="exact"/>
        <w:rPr>
          <w:rFonts w:ascii="Arial" w:cs="Arial" w:eastAsia="Arial" w:hAnsi="Arial"/>
          <w:sz w:val="24"/>
          <w:szCs w:val="24"/>
          <w:color w:val="auto"/>
          <w:vertAlign w:val="superscript"/>
        </w:rPr>
      </w:pPr>
    </w:p>
    <w:p>
      <w:pPr>
        <w:ind w:left="120"/>
        <w:spacing w:after="0" w:line="187" w:lineRule="auto"/>
        <w:rPr>
          <w:rFonts w:ascii="Arial" w:cs="Arial" w:eastAsia="Arial" w:hAnsi="Arial"/>
          <w:sz w:val="24"/>
          <w:szCs w:val="24"/>
          <w:color w:val="auto"/>
          <w:vertAlign w:val="superscript"/>
        </w:rPr>
      </w:pPr>
      <w:r>
        <w:rPr>
          <w:rFonts w:ascii="Arial" w:cs="Arial" w:eastAsia="Arial" w:hAnsi="Arial"/>
          <w:sz w:val="18"/>
          <w:szCs w:val="18"/>
          <w:color w:val="auto"/>
          <w:vertAlign w:val="superscript"/>
        </w:rPr>
        <w:t>14</w:t>
      </w:r>
      <w:r>
        <w:rPr>
          <w:rFonts w:ascii="Arial" w:cs="Arial" w:eastAsia="Arial" w:hAnsi="Arial"/>
          <w:sz w:val="11"/>
          <w:szCs w:val="11"/>
          <w:color w:val="auto"/>
        </w:rPr>
        <w:t xml:space="preserve"> https://ejatlas.org/print/indonesia-against-chevron</w:t>
      </w:r>
    </w:p>
    <w:p>
      <w:pPr>
        <w:ind w:left="120" w:right="4140"/>
        <w:spacing w:after="0" w:line="193" w:lineRule="auto"/>
        <w:rPr>
          <w:rFonts w:ascii="Arial" w:cs="Arial" w:eastAsia="Arial" w:hAnsi="Arial"/>
          <w:sz w:val="24"/>
          <w:szCs w:val="24"/>
          <w:color w:val="auto"/>
          <w:vertAlign w:val="superscript"/>
        </w:rPr>
      </w:pPr>
      <w:r>
        <w:rPr>
          <w:rFonts w:ascii="Arial" w:cs="Arial" w:eastAsia="Arial" w:hAnsi="Arial"/>
          <w:sz w:val="22"/>
          <w:szCs w:val="22"/>
          <w:color w:val="auto"/>
          <w:vertAlign w:val="superscript"/>
        </w:rPr>
        <w:t>15</w:t>
      </w:r>
      <w:r>
        <w:rPr>
          <w:rFonts w:ascii="Arial" w:cs="Arial" w:eastAsia="Arial" w:hAnsi="Arial"/>
          <w:sz w:val="13"/>
          <w:szCs w:val="13"/>
          <w:color w:val="auto"/>
        </w:rPr>
        <w:t xml:space="preserve"> https://sustainable-economy.org/wp-content/uploads/2018/02/Chevron-HR-in-Niger-Delta-Chad-Cam.pdf </w:t>
      </w:r>
      <w:r>
        <w:rPr>
          <w:rFonts w:ascii="Arial" w:cs="Arial" w:eastAsia="Arial" w:hAnsi="Arial"/>
          <w:sz w:val="22"/>
          <w:szCs w:val="22"/>
          <w:color w:val="auto"/>
          <w:vertAlign w:val="superscript"/>
        </w:rPr>
        <w:t>16</w:t>
      </w:r>
      <w:r>
        <w:rPr>
          <w:rFonts w:ascii="Arial" w:cs="Arial" w:eastAsia="Arial" w:hAnsi="Arial"/>
          <w:sz w:val="13"/>
          <w:szCs w:val="13"/>
          <w:color w:val="auto"/>
        </w:rPr>
        <w:t xml:space="preserve"> https://www.npr.org/templates/story/story.php?storyId=121853115</w:t>
      </w:r>
    </w:p>
    <w:p>
      <w:pPr>
        <w:ind w:left="120" w:right="5660"/>
        <w:spacing w:after="0" w:line="200"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17</w:t>
      </w:r>
      <w:r>
        <w:rPr>
          <w:rFonts w:ascii="Arial" w:cs="Arial" w:eastAsia="Arial" w:hAnsi="Arial"/>
          <w:sz w:val="14"/>
          <w:szCs w:val="14"/>
          <w:color w:val="auto"/>
        </w:rPr>
        <w:t xml:space="preserve"> https://insideclimatenews.org/news/20062020/chevron-black-lives-matter-twitter/ </w:t>
      </w:r>
      <w:r>
        <w:rPr>
          <w:rFonts w:ascii="Arial" w:cs="Arial" w:eastAsia="Arial" w:hAnsi="Arial"/>
          <w:sz w:val="24"/>
          <w:szCs w:val="24"/>
          <w:color w:val="auto"/>
          <w:vertAlign w:val="superscript"/>
        </w:rPr>
        <w:t>18</w:t>
      </w:r>
      <w:r>
        <w:rPr>
          <w:rFonts w:ascii="Arial" w:cs="Arial" w:eastAsia="Arial" w:hAnsi="Arial"/>
          <w:sz w:val="14"/>
          <w:szCs w:val="14"/>
          <w:color w:val="auto"/>
        </w:rPr>
        <w:t xml:space="preserve"> https://chevronsglobaldestruction.com/chevrons_global_destruction_report.pdf</w:t>
      </w:r>
    </w:p>
    <w:p>
      <w:pPr>
        <w:spacing w:after="0" w:line="2"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Chevron Corporation – 2022 Proxy Statement</w:t>
      </w:r>
    </w:p>
    <w:p>
      <w:pPr>
        <w:spacing w:after="0" w:line="41"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98</w:t>
      </w:r>
    </w:p>
    <w:p>
      <w:pPr>
        <w:sectPr>
          <w:pgSz w:w="11900" w:h="16838" w:orient="portrait"/>
          <w:cols w:equalWidth="0" w:num="1">
            <w:col w:w="11100"/>
          </w:cols>
          <w:pgMar w:left="320" w:top="455" w:right="479" w:bottom="1440" w:gutter="0" w:footer="0" w:header="0"/>
          <w:type w:val="continuous"/>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208280</wp:posOffset>
            </wp:positionV>
            <wp:extent cx="1405890" cy="1454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405890" cy="145415"/>
                    </a:xfrm>
                    <a:prstGeom prst="rect">
                      <a:avLst/>
                    </a:prstGeom>
                    <a:noFill/>
                  </pic:spPr>
                </pic:pic>
              </a:graphicData>
            </a:graphic>
          </wp:anchor>
        </w:drawing>
      </w:r>
    </w:p>
    <w:p>
      <w:pPr>
        <w:spacing w:after="0" w:line="339"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FFFFFF"/>
        </w:rPr>
        <w:t>Stockholder proposals</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0B2D71"/>
        </w:rPr>
        <w:t>Board of directors’ response</w:t>
      </w:r>
    </w:p>
    <w:p>
      <w:pPr>
        <w:spacing w:after="0" w:line="128"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Your Board shares the proponent’s commitment to addressing racial injustice. Chevron strives to empower people to improve their lives and meet their full potential. This commitment is reflected throughout our business and in how we conduct ourselves around the world. We demonstrate this commitment through promoting diversity and inclusion, fostering prosperity, respecting human rights, and contributing to the U.N. Sustainable Development Goals in the communities where we operate around the world.</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0B2D71"/>
        </w:rPr>
        <w:t>Extensive disclosures and actions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Chevron’s actions in support of racial equity are described in detail in numerous publications:</w:t>
      </w:r>
    </w:p>
    <w:p>
      <w:pPr>
        <w:spacing w:after="0" w:line="127" w:lineRule="exact"/>
        <w:rPr>
          <w:sz w:val="20"/>
          <w:szCs w:val="20"/>
          <w:color w:val="auto"/>
        </w:rPr>
      </w:pPr>
    </w:p>
    <w:p>
      <w:pPr>
        <w:ind w:left="980" w:right="160" w:hanging="432"/>
        <w:spacing w:after="0" w:line="286" w:lineRule="auto"/>
        <w:tabs>
          <w:tab w:leader="none" w:pos="9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Chevron Way explains our beliefs, vision, purpose, and values. It guides how we work and establishes a common understanding of our culture and aspirations. Diversity and inclusion are the first among our Chevron Way values.</w:t>
      </w:r>
    </w:p>
    <w:p>
      <w:pPr>
        <w:spacing w:after="0" w:line="61" w:lineRule="exact"/>
        <w:rPr>
          <w:rFonts w:ascii="Arial" w:cs="Arial" w:eastAsia="Arial" w:hAnsi="Arial"/>
          <w:sz w:val="16"/>
          <w:szCs w:val="16"/>
          <w:color w:val="auto"/>
        </w:rPr>
      </w:pPr>
    </w:p>
    <w:p>
      <w:pPr>
        <w:ind w:left="980" w:right="440" w:hanging="432"/>
        <w:spacing w:after="0" w:line="286" w:lineRule="auto"/>
        <w:tabs>
          <w:tab w:leader="none" w:pos="9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Chevron’s Business Conduct and Ethics Code underscores our commitment to diversity and inclusion, as well as our respect for human rights.</w:t>
      </w:r>
    </w:p>
    <w:p>
      <w:pPr>
        <w:spacing w:after="0" w:line="61" w:lineRule="exact"/>
        <w:rPr>
          <w:rFonts w:ascii="Arial" w:cs="Arial" w:eastAsia="Arial" w:hAnsi="Arial"/>
          <w:sz w:val="16"/>
          <w:szCs w:val="16"/>
          <w:color w:val="auto"/>
        </w:rPr>
      </w:pPr>
    </w:p>
    <w:p>
      <w:pPr>
        <w:ind w:left="980" w:right="220" w:hanging="432"/>
        <w:spacing w:after="0" w:line="286" w:lineRule="auto"/>
        <w:tabs>
          <w:tab w:leader="none" w:pos="9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Chevron’s Human Rights Policy reinforces our commitment to respecting human rights, including nondiscrimination, in accordance with the U.N. Guiding Principles on Business and Human Rights.</w:t>
      </w:r>
    </w:p>
    <w:p>
      <w:pPr>
        <w:spacing w:after="0" w:line="61" w:lineRule="exact"/>
        <w:rPr>
          <w:rFonts w:ascii="Arial" w:cs="Arial" w:eastAsia="Arial" w:hAnsi="Arial"/>
          <w:sz w:val="16"/>
          <w:szCs w:val="16"/>
          <w:color w:val="auto"/>
        </w:rPr>
      </w:pPr>
    </w:p>
    <w:p>
      <w:pPr>
        <w:ind w:left="980" w:right="540" w:hanging="432"/>
        <w:spacing w:after="0" w:line="286" w:lineRule="auto"/>
        <w:tabs>
          <w:tab w:leader="none" w:pos="9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Chevron’s Operational Excellence Management System describes how we integrate community engagement and support into how we conduct our business.</w:t>
      </w:r>
    </w:p>
    <w:p>
      <w:pPr>
        <w:spacing w:after="0" w:line="61" w:lineRule="exact"/>
        <w:rPr>
          <w:rFonts w:ascii="Arial" w:cs="Arial" w:eastAsia="Arial" w:hAnsi="Arial"/>
          <w:sz w:val="16"/>
          <w:szCs w:val="16"/>
          <w:color w:val="auto"/>
        </w:rPr>
      </w:pPr>
    </w:p>
    <w:p>
      <w:pPr>
        <w:ind w:left="980" w:right="520" w:hanging="432"/>
        <w:spacing w:after="0" w:line="286" w:lineRule="auto"/>
        <w:tabs>
          <w:tab w:leader="none" w:pos="9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Chevron’s Corporate Sustainability Report describes how we are living up to our commitments to diversity and inclusion, human rights, creating prosperity and sustainable development goals.</w:t>
      </w:r>
    </w:p>
    <w:p>
      <w:pPr>
        <w:spacing w:after="0" w:line="33"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0B2D71"/>
        </w:rPr>
        <w:t>Proposal refers to unsubstantiated and inaccurate allegations</w:t>
      </w:r>
    </w:p>
    <w:p>
      <w:pPr>
        <w:spacing w:after="0" w:line="112"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While your Board shares the proponent’s concern for racial equity, the proponent’s supporting statement cites unsubstantiated and inaccurate allegations and statistics.</w:t>
      </w:r>
    </w:p>
    <w:p>
      <w:pPr>
        <w:spacing w:after="0" w:line="48"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Your Board believes that the vision and values of The Chevron Way, along with Chevron’s Business Conduct and Ethics Code, Human Rights Policy, OEMS, Enterprise Risk Management process, and Corporate Sustainability Report all provide robust information and documentation of Chevron’s approach and actions on racial equity and related issues. Chevron is committed to periodic re-evaluation and assessment to continue to identify additional business practices to enhance diversity, equity and inclusion.</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22"/>
          <w:szCs w:val="22"/>
          <w:color w:val="0B2D71"/>
        </w:rPr>
        <w:t xml:space="preserve">Therefore, your Board recommends that you vote </w:t>
      </w:r>
      <w:r>
        <w:rPr>
          <w:rFonts w:ascii="Arial" w:cs="Arial" w:eastAsia="Arial" w:hAnsi="Arial"/>
          <w:sz w:val="22"/>
          <w:szCs w:val="22"/>
          <w:b w:val="1"/>
          <w:bCs w:val="1"/>
          <w:color w:val="0B2D71"/>
        </w:rPr>
        <w:t>against</w:t>
      </w:r>
      <w:r>
        <w:rPr>
          <w:rFonts w:ascii="Arial" w:cs="Arial" w:eastAsia="Arial" w:hAnsi="Arial"/>
          <w:sz w:val="22"/>
          <w:szCs w:val="22"/>
          <w:color w:val="0B2D71"/>
        </w:rPr>
        <w:t xml:space="preserve"> this proposal.</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99</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37310" cy="1454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337310" cy="145415"/>
                    </a:xfrm>
                    <a:prstGeom prst="rect">
                      <a:avLst/>
                    </a:prstGeom>
                    <a:noFill/>
                  </pic:spPr>
                </pic:pic>
              </a:graphicData>
            </a:graphic>
          </wp:anchor>
        </w:drawing>
      </w:r>
    </w:p>
    <w:p>
      <w:pPr>
        <w:spacing w:after="0" w:line="33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Stockholder proposals</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0B2D71"/>
        </w:rPr>
        <w:t>Stockholder proposal regarding special meetings</w:t>
      </w:r>
    </w:p>
    <w:p>
      <w:pPr>
        <w:spacing w:after="0" w:line="36"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0B2D71"/>
        </w:rPr>
        <w:t>(Item 10 on the proxy card)</w:t>
      </w:r>
    </w:p>
    <w:p>
      <w:pPr>
        <w:sectPr>
          <w:pgSz w:w="11900" w:h="16838" w:orient="portrait"/>
          <w:cols w:equalWidth="0" w:num="1">
            <w:col w:w="11120"/>
          </w:cols>
          <w:pgMar w:left="320" w:top="455" w:right="459" w:bottom="1440" w:gutter="0" w:footer="0" w:header="0"/>
        </w:sectPr>
      </w:pPr>
    </w:p>
    <w:p>
      <w:pPr>
        <w:spacing w:after="0" w:line="169"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Shareowners request that the Board of Chevron</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take the steps necessary to amend Company bylaws and appropriate governing documents to give holders of 10% of outstanding common stock the power to</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call a special shareowners meeting. To the fullest extent permitted, such bylaw shall not contain exceptions or excluding conditions that apply to shareowners but not to the management or Board.</w:t>
      </w:r>
    </w:p>
    <w:p>
      <w:pPr>
        <w:spacing w:after="0" w:line="382" w:lineRule="exact"/>
        <w:rPr>
          <w:sz w:val="20"/>
          <w:szCs w:val="20"/>
          <w:color w:val="auto"/>
        </w:rPr>
      </w:pPr>
    </w:p>
    <w:p>
      <w:pPr>
        <w:sectPr>
          <w:pgSz w:w="11900" w:h="16838" w:orient="portrait"/>
          <w:cols w:equalWidth="0" w:num="2">
            <w:col w:w="5240" w:space="500"/>
            <w:col w:w="5380"/>
          </w:cols>
          <w:pgMar w:left="320" w:top="455" w:right="459" w:bottom="1440" w:gutter="0" w:footer="0" w:header="0"/>
          <w:type w:val="continuous"/>
        </w:sectPr>
      </w:pPr>
    </w:p>
    <w:p>
      <w:pPr>
        <w:spacing w:after="0" w:line="17"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auto"/>
        </w:rPr>
        <w:t>SUPPORTING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jc w:val="both"/>
        <w:ind w:left="120" w:right="80"/>
        <w:spacing w:after="0" w:line="266" w:lineRule="auto"/>
        <w:rPr>
          <w:sz w:val="20"/>
          <w:szCs w:val="20"/>
          <w:color w:val="auto"/>
        </w:rPr>
      </w:pPr>
      <w:r>
        <w:rPr>
          <w:rFonts w:ascii="Arial" w:cs="Arial" w:eastAsia="Arial" w:hAnsi="Arial"/>
          <w:sz w:val="16"/>
          <w:szCs w:val="16"/>
          <w:color w:val="auto"/>
        </w:rPr>
        <w:t>Management’s handling of a range of issues has increased both risk and cost to shareholders, which necessitates lowering the threshold to call a special meeting.</w:t>
      </w:r>
    </w:p>
    <w:p>
      <w:pPr>
        <w:spacing w:after="0" w:line="62" w:lineRule="exact"/>
        <w:rPr>
          <w:sz w:val="20"/>
          <w:szCs w:val="20"/>
          <w:color w:val="auto"/>
        </w:rPr>
      </w:pPr>
    </w:p>
    <w:p>
      <w:pPr>
        <w:ind w:left="120" w:right="120"/>
        <w:spacing w:after="0" w:line="227" w:lineRule="auto"/>
        <w:rPr>
          <w:sz w:val="20"/>
          <w:szCs w:val="20"/>
          <w:color w:val="auto"/>
        </w:rPr>
      </w:pPr>
      <w:r>
        <w:rPr>
          <w:rFonts w:ascii="Arial" w:cs="Arial" w:eastAsia="Arial" w:hAnsi="Arial"/>
          <w:sz w:val="16"/>
          <w:szCs w:val="16"/>
          <w:color w:val="auto"/>
        </w:rPr>
        <w:t>A recent report, Chevron’s Global Destruction,</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documents legal actions filed against Chevron and its subsidiaries around the world – providing evidence that Chevron is liable for $50+ billion in legal judgments and seizure claims globally. This report was the topic of a House Oversight Committee hearing entitled: </w:t>
      </w:r>
      <w:r>
        <w:rPr>
          <w:rFonts w:ascii="Arial" w:cs="Arial" w:eastAsia="Arial" w:hAnsi="Arial"/>
          <w:sz w:val="16"/>
          <w:szCs w:val="16"/>
          <w:b w:val="1"/>
          <w:bCs w:val="1"/>
          <w:color w:val="auto"/>
        </w:rPr>
        <w:t>Fueling the Climate Crisis: Exposing Big</w:t>
      </w:r>
      <w:r>
        <w:rPr>
          <w:rFonts w:ascii="Arial" w:cs="Arial" w:eastAsia="Arial" w:hAnsi="Arial"/>
          <w:sz w:val="16"/>
          <w:szCs w:val="16"/>
          <w:color w:val="auto"/>
        </w:rPr>
        <w:t xml:space="preserve"> </w:t>
      </w:r>
      <w:r>
        <w:rPr>
          <w:rFonts w:ascii="Arial" w:cs="Arial" w:eastAsia="Arial" w:hAnsi="Arial"/>
          <w:sz w:val="16"/>
          <w:szCs w:val="16"/>
          <w:b w:val="1"/>
          <w:bCs w:val="1"/>
          <w:color w:val="auto"/>
        </w:rPr>
        <w:t>Oil’s Disinformation Campaign to Prevent Climate Action</w:t>
      </w:r>
      <w:r>
        <w:rPr>
          <w:rFonts w:ascii="Arial" w:cs="Arial" w:eastAsia="Arial" w:hAnsi="Arial"/>
          <w:sz w:val="16"/>
          <w:szCs w:val="16"/>
          <w:color w:val="auto"/>
        </w:rPr>
        <w:t>.</w:t>
      </w:r>
    </w:p>
    <w:p>
      <w:pPr>
        <w:spacing w:after="0" w:line="79" w:lineRule="exact"/>
        <w:rPr>
          <w:sz w:val="20"/>
          <w:szCs w:val="20"/>
          <w:color w:val="auto"/>
        </w:rPr>
      </w:pPr>
    </w:p>
    <w:p>
      <w:pPr>
        <w:ind w:left="120" w:right="380"/>
        <w:spacing w:after="0" w:line="266" w:lineRule="auto"/>
        <w:rPr>
          <w:sz w:val="20"/>
          <w:szCs w:val="20"/>
          <w:color w:val="auto"/>
        </w:rPr>
      </w:pPr>
      <w:r>
        <w:rPr>
          <w:rFonts w:ascii="Arial" w:cs="Arial" w:eastAsia="Arial" w:hAnsi="Arial"/>
          <w:sz w:val="16"/>
          <w:szCs w:val="16"/>
          <w:color w:val="auto"/>
        </w:rPr>
        <w:t>Perhaps the most pressing issue is the ongoing effort by Ecuadorian communities to enforce a $9.5 billion judgment against Chevron for devastating oil pollution (the “Ecuadorian Judgment”).</w:t>
      </w:r>
    </w:p>
    <w:p>
      <w:pPr>
        <w:spacing w:after="0" w:line="63"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auto"/>
        </w:rPr>
        <w:t xml:space="preserve">Chevron asserts that “several international courts have determined the Ecuadorian Judgment to be fraudulent.” In reality, no court since the Ecuadorian Judgment was rendered has reviewed the facts of the case </w:t>
      </w:r>
      <w:r>
        <w:rPr>
          <w:rFonts w:ascii="Arial" w:cs="Arial" w:eastAsia="Arial" w:hAnsi="Arial"/>
          <w:sz w:val="16"/>
          <w:szCs w:val="16"/>
          <w:i w:val="1"/>
          <w:iCs w:val="1"/>
          <w:color w:val="auto"/>
        </w:rPr>
        <w:t>de novo</w:t>
      </w:r>
      <w:r>
        <w:rPr>
          <w:rFonts w:ascii="Arial" w:cs="Arial" w:eastAsia="Arial" w:hAnsi="Arial"/>
          <w:sz w:val="16"/>
          <w:szCs w:val="16"/>
          <w:color w:val="auto"/>
        </w:rPr>
        <w:t>. In fact, evidence regarding destruction of the Amazon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entirely absent from every subsequent case – including Judge Kaplan’s RICO declarations. Neither the arbitration held in the Netherlands under a bilateral investment treaty, nor any court since has ruled on Chevron’s assertion that the Ecuadorian Judgment resulted from fraud.</w:t>
      </w:r>
    </w:p>
    <w:p>
      <w:pPr>
        <w:spacing w:after="0" w:line="75" w:lineRule="exact"/>
        <w:rPr>
          <w:sz w:val="20"/>
          <w:szCs w:val="20"/>
          <w:color w:val="auto"/>
        </w:rPr>
      </w:pPr>
    </w:p>
    <w:p>
      <w:pPr>
        <w:ind w:left="120" w:right="200"/>
        <w:spacing w:after="0" w:line="286" w:lineRule="auto"/>
        <w:rPr>
          <w:sz w:val="20"/>
          <w:szCs w:val="20"/>
          <w:color w:val="auto"/>
        </w:rPr>
      </w:pPr>
      <w:r>
        <w:rPr>
          <w:rFonts w:ascii="Arial" w:cs="Arial" w:eastAsia="Arial" w:hAnsi="Arial"/>
          <w:sz w:val="16"/>
          <w:szCs w:val="16"/>
          <w:color w:val="auto"/>
        </w:rPr>
        <w:t>Therefore, enforcement of the Ecuadorian Judgment remains a serious and ongoing financial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296545</wp:posOffset>
            </wp:positionV>
            <wp:extent cx="77152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CEO/board chair Michael Wirth’s statements regarding the Ecuador Judgment were challenged in a House Oversight Committee where a Member observed that Wirth told shareholders “[there] was no scientific evidence of contamination.” In subsequent questioning Wirth was asked: “[if there was] no scientific evidence... why did Texaco spend $40 million to...remediate?” He has not yet responded, and has also demurred on the question of how much Chevron has spent on litigation and PR regarding the Ecuador matter.</w:t>
      </w:r>
    </w:p>
    <w:p>
      <w:pPr>
        <w:spacing w:after="0" w:line="7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Alberto Guerra was the principal witness in the Chevron RICO trial. He later recanted essential portions of his testimony and admitted receiving payment from Chevron, and that Chevron’s law firm – Gibson Dunn &amp; Crutcher – had coached him before testifying in 50+ meetings. Mr. Wirth has so far not responded to the House Oversight Committee whether he approved the use of Company funds to pay Guerra – including more than $432,000 in monthly payments and $48,000 in exchange for evidence.</w:t>
      </w:r>
    </w:p>
    <w:p>
      <w:pPr>
        <w:spacing w:after="0" w:line="73"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The Ecuadorian Judgment represents a serious liability: under oath, Deputy Controller Rex Mitchell testified that such a seizure: “</w:t>
      </w:r>
      <w:r>
        <w:rPr>
          <w:rFonts w:ascii="Arial" w:cs="Arial" w:eastAsia="Arial" w:hAnsi="Arial"/>
          <w:sz w:val="16"/>
          <w:szCs w:val="16"/>
          <w:b w:val="1"/>
          <w:bCs w:val="1"/>
          <w:color w:val="auto"/>
        </w:rPr>
        <w:t>would cause</w:t>
      </w:r>
      <w:r>
        <w:rPr>
          <w:rFonts w:ascii="Arial" w:cs="Arial" w:eastAsia="Arial" w:hAnsi="Arial"/>
          <w:sz w:val="16"/>
          <w:szCs w:val="16"/>
          <w:color w:val="auto"/>
        </w:rPr>
        <w:t xml:space="preserve"> </w:t>
      </w:r>
      <w:r>
        <w:rPr>
          <w:rFonts w:ascii="Arial" w:cs="Arial" w:eastAsia="Arial" w:hAnsi="Arial"/>
          <w:sz w:val="16"/>
          <w:szCs w:val="16"/>
          <w:b w:val="1"/>
          <w:bCs w:val="1"/>
          <w:color w:val="auto"/>
        </w:rPr>
        <w:t>significant, irreparable damage to Chevron</w:t>
      </w:r>
      <w:r>
        <w:rPr>
          <w:rFonts w:ascii="Arial" w:cs="Arial" w:eastAsia="Arial" w:hAnsi="Arial"/>
          <w:sz w:val="16"/>
          <w:szCs w:val="16"/>
          <w:color w:val="auto"/>
        </w:rPr>
        <w:t>.”</w:t>
      </w:r>
    </w:p>
    <w:p>
      <w:pPr>
        <w:spacing w:after="0" w:line="5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 light of these serious matters – which evidence a lack of accountability in Chevron’s C-suite and board room – shareholders need strengthened capacity to call a special meeting.</w:t>
      </w:r>
    </w:p>
    <w:p>
      <w:pPr>
        <w:spacing w:after="0" w:line="6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 xml:space="preserve">THEREFORE: </w:t>
      </w:r>
      <w:r>
        <w:rPr>
          <w:rFonts w:ascii="Arial" w:cs="Arial" w:eastAsia="Arial" w:hAnsi="Arial"/>
          <w:sz w:val="16"/>
          <w:szCs w:val="16"/>
          <w:color w:val="auto"/>
        </w:rPr>
        <w:t>Please vote FOR this sound, Special Meeting proposal.</w:t>
      </w:r>
    </w:p>
    <w:p>
      <w:pPr>
        <w:spacing w:after="0" w:line="265" w:lineRule="exact"/>
        <w:rPr>
          <w:sz w:val="20"/>
          <w:szCs w:val="20"/>
          <w:color w:val="auto"/>
        </w:rPr>
      </w:pPr>
    </w:p>
    <w:p>
      <w:pPr>
        <w:sectPr>
          <w:pgSz w:w="11900" w:h="16838" w:orient="portrait"/>
          <w:cols w:equalWidth="0" w:num="2">
            <w:col w:w="5400" w:space="340"/>
            <w:col w:w="5380"/>
          </w:cols>
          <w:pgMar w:left="320" w:top="455" w:right="459" w:bottom="1440" w:gutter="0" w:footer="0" w:header="0"/>
          <w:type w:val="continuous"/>
        </w:sectPr>
      </w:pPr>
    </w:p>
    <w:p>
      <w:pPr>
        <w:spacing w:after="0" w:line="226" w:lineRule="exact"/>
        <w:rPr>
          <w:sz w:val="20"/>
          <w:szCs w:val="20"/>
          <w:color w:val="auto"/>
        </w:rPr>
      </w:pPr>
    </w:p>
    <w:p>
      <w:pPr>
        <w:ind w:left="340" w:hanging="224"/>
        <w:spacing w:after="0"/>
        <w:tabs>
          <w:tab w:leader="none" w:pos="340" w:val="left"/>
        </w:tabs>
        <w:numPr>
          <w:ilvl w:val="0"/>
          <w:numId w:val="147"/>
        </w:numPr>
        <w:rPr>
          <w:rFonts w:ascii="Arial" w:cs="Arial" w:eastAsia="Arial" w:hAnsi="Arial"/>
          <w:sz w:val="24"/>
          <w:szCs w:val="24"/>
          <w:color w:val="auto"/>
          <w:vertAlign w:val="superscript"/>
        </w:rPr>
      </w:pPr>
      <w:r>
        <w:rPr>
          <w:rFonts w:ascii="Arial" w:cs="Arial" w:eastAsia="Arial" w:hAnsi="Arial"/>
          <w:sz w:val="14"/>
          <w:szCs w:val="14"/>
          <w:color w:val="auto"/>
        </w:rPr>
        <w:t>https://docs.house.gov/meetings/GO/GO00/20211028/114185/HHRG-117-GO00-20211028-SD018.pdf</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Chevron Corporation – 2022 Proxy Statement</w:t>
      </w:r>
    </w:p>
    <w:p>
      <w:pPr>
        <w:spacing w:after="0" w:line="66"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100</w:t>
      </w:r>
    </w:p>
    <w:p>
      <w:pPr>
        <w:sectPr>
          <w:pgSz w:w="11900" w:h="16838" w:orient="portrait"/>
          <w:cols w:equalWidth="0" w:num="1">
            <w:col w:w="11120"/>
          </w:cols>
          <w:pgMar w:left="320" w:top="455" w:right="459" w:bottom="1440" w:gutter="0" w:footer="0" w:header="0"/>
          <w:type w:val="continuous"/>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208280</wp:posOffset>
            </wp:positionV>
            <wp:extent cx="1405890" cy="1454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405890" cy="145415"/>
                    </a:xfrm>
                    <a:prstGeom prst="rect">
                      <a:avLst/>
                    </a:prstGeom>
                    <a:noFill/>
                  </pic:spPr>
                </pic:pic>
              </a:graphicData>
            </a:graphic>
          </wp:anchor>
        </w:drawing>
      </w:r>
    </w:p>
    <w:p>
      <w:pPr>
        <w:spacing w:after="0" w:line="339"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FFFFFF"/>
        </w:rPr>
        <w:t>Stockholder proposals</w:t>
      </w:r>
    </w:p>
    <w:p>
      <w:pPr>
        <w:spacing w:after="0" w:line="161" w:lineRule="exact"/>
        <w:rPr>
          <w:sz w:val="20"/>
          <w:szCs w:val="20"/>
          <w:color w:val="auto"/>
        </w:rPr>
      </w:pPr>
    </w:p>
    <w:p>
      <w:pPr>
        <w:ind w:left="3900"/>
        <w:spacing w:after="0"/>
        <w:rPr>
          <w:sz w:val="20"/>
          <w:szCs w:val="20"/>
          <w:color w:val="auto"/>
        </w:rPr>
      </w:pPr>
      <w:r>
        <w:rPr>
          <w:rFonts w:ascii="Arial" w:cs="Arial" w:eastAsia="Arial" w:hAnsi="Arial"/>
          <w:sz w:val="25"/>
          <w:szCs w:val="25"/>
          <w:b w:val="1"/>
          <w:bCs w:val="1"/>
          <w:color w:val="0B2D71"/>
        </w:rPr>
        <w:t>Board of directors’ response</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Chevron has adequate existing special meeting rules</w:t>
      </w:r>
    </w:p>
    <w:p>
      <w:pPr>
        <w:spacing w:after="0" w:line="112"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color w:val="auto"/>
        </w:rPr>
        <w:t>Chevron’s By-Laws permit stockholders owning 15% of Chevron’s outstanding common stock to call for a special meeting. Your Board continues to believe that Chevron’s 15% threshold ensures that a reasonable number of stockholders consider a matter important enough to merit a special meeting. Preparing for and holding a special meeting is time-consuming and expensive. The 15% threshold helps avoid waste of Company and stockholder resources to address narrow or special interests.</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addition to an appropriate ownership threshold, Chevron’s By-Laws include reasonable limitations that the proposal would eliminate. Under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By-Laws, a special meeting cannot be called:</w:t>
      </w:r>
    </w:p>
    <w:p>
      <w:pPr>
        <w:spacing w:after="0" w:line="111" w:lineRule="exact"/>
        <w:rPr>
          <w:sz w:val="20"/>
          <w:szCs w:val="20"/>
          <w:color w:val="auto"/>
        </w:rPr>
      </w:pPr>
    </w:p>
    <w:p>
      <w:pPr>
        <w:ind w:left="980" w:right="140" w:hanging="432"/>
        <w:spacing w:after="0" w:line="286" w:lineRule="auto"/>
        <w:tabs>
          <w:tab w:leader="none" w:pos="9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If the Board has already called or will call an Annual Meeting of Stockholders for the same purpose specified in the special meeting request, or</w:t>
      </w:r>
    </w:p>
    <w:p>
      <w:pPr>
        <w:spacing w:after="0" w:line="61" w:lineRule="exact"/>
        <w:rPr>
          <w:rFonts w:ascii="Arial" w:cs="Arial" w:eastAsia="Arial" w:hAnsi="Arial"/>
          <w:sz w:val="16"/>
          <w:szCs w:val="16"/>
          <w:color w:val="auto"/>
        </w:rPr>
      </w:pPr>
    </w:p>
    <w:p>
      <w:pPr>
        <w:ind w:left="980" w:right="280" w:hanging="432"/>
        <w:spacing w:after="0" w:line="286" w:lineRule="auto"/>
        <w:tabs>
          <w:tab w:leader="none" w:pos="9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If an annual or special meeting was held not more than 12 months before the request for a special meeting was received and included the purpose specified in the special meeting request.</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Given the time and cost associated with special meetings, your Board believes that these are appropriate and reasonable limitations.</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Stockholders’ rights are protected</w:t>
      </w:r>
    </w:p>
    <w:p>
      <w:pPr>
        <w:spacing w:after="0" w:line="112"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Stockholders can be assured that their right to be apprised of and vote on significant matters is protected not only by their existing right to call for special meetings and participate in Chevron’s Annual Meeting, but also by state law and other regulations. Chevron is incorporated in Delaware, which requires that major corporate actions, such as a merger or a sale of all or substantially all of Chevron’s assets, be approved by stockholders. Also, Chevron is listed on the New York Stock Exchange, which requires, among other things, that listed companies obtain stockholder approval for equity compensation plans and significant issuances of equity securities to related parties and for when such issuances represent more than 20% of an issuer’s voting power.</w:t>
      </w:r>
    </w:p>
    <w:p>
      <w:pPr>
        <w:spacing w:after="0" w:line="7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Chevron has robust corporate governance practices to protect stockholder interests, including a declassified Board; proxy access; no supermajority voting provisions in its By-Laws and Certificate of Incorporation, and a strong independent Board structure.</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Proposal is a vehicle for tired and baseless allegations</w:t>
      </w:r>
    </w:p>
    <w:p>
      <w:pPr>
        <w:spacing w:after="0" w:line="112" w:lineRule="exact"/>
        <w:rPr>
          <w:sz w:val="20"/>
          <w:szCs w:val="20"/>
          <w:color w:val="auto"/>
        </w:rPr>
      </w:pPr>
    </w:p>
    <w:p>
      <w:pPr>
        <w:ind w:left="120" w:right="480"/>
        <w:spacing w:after="0" w:line="266" w:lineRule="auto"/>
        <w:rPr>
          <w:sz w:val="20"/>
          <w:szCs w:val="20"/>
          <w:color w:val="auto"/>
        </w:rPr>
      </w:pPr>
      <w:r>
        <w:rPr>
          <w:rFonts w:ascii="Arial" w:cs="Arial" w:eastAsia="Arial" w:hAnsi="Arial"/>
          <w:sz w:val="16"/>
          <w:szCs w:val="16"/>
          <w:color w:val="auto"/>
        </w:rPr>
        <w:t>Finally, although the proposal purports to relate to special meetings, its supporting statement shows that this is a vehicle to discuss the fraudulent Ecuador litigation and various frivolous allegations against Chevron. The “report” referenced in the supporting statement is riddled with falsehoods– including the allegation that “Chevron is liable for $50+ billion in legal judgments”–which have no basis in fact.</w:t>
      </w:r>
    </w:p>
    <w:p>
      <w:pPr>
        <w:spacing w:after="0" w:line="63" w:lineRule="exact"/>
        <w:rPr>
          <w:sz w:val="20"/>
          <w:szCs w:val="20"/>
          <w:color w:val="auto"/>
        </w:rPr>
      </w:pPr>
    </w:p>
    <w:p>
      <w:pPr>
        <w:ind w:left="120" w:right="280"/>
        <w:spacing w:after="0" w:line="286" w:lineRule="auto"/>
        <w:rPr>
          <w:sz w:val="20"/>
          <w:szCs w:val="20"/>
          <w:color w:val="auto"/>
        </w:rPr>
      </w:pPr>
      <w:r>
        <w:rPr>
          <w:rFonts w:ascii="Arial" w:cs="Arial" w:eastAsia="Arial" w:hAnsi="Arial"/>
          <w:sz w:val="16"/>
          <w:szCs w:val="16"/>
          <w:color w:val="auto"/>
        </w:rPr>
        <w:t>Your Board continues to believe its current By-Law is in stockholders’ best interests and provides appropriate reasonable limitations on the right to call special meetings.</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20"/>
          <w:szCs w:val="20"/>
          <w:color w:val="0B2D71"/>
        </w:rPr>
        <w:t xml:space="preserve">Therefore, your Board recommends that you vote </w:t>
      </w:r>
      <w:r>
        <w:rPr>
          <w:rFonts w:ascii="Arial" w:cs="Arial" w:eastAsia="Arial" w:hAnsi="Arial"/>
          <w:sz w:val="20"/>
          <w:szCs w:val="20"/>
          <w:b w:val="1"/>
          <w:bCs w:val="1"/>
          <w:color w:val="0B2D71"/>
        </w:rPr>
        <w:t>against</w:t>
      </w:r>
      <w:r>
        <w:rPr>
          <w:rFonts w:ascii="Arial" w:cs="Arial" w:eastAsia="Arial" w:hAnsi="Arial"/>
          <w:sz w:val="20"/>
          <w:szCs w:val="20"/>
          <w:color w:val="0B2D71"/>
        </w:rPr>
        <w:t xml:space="preserve"> this proposal.</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101</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0B2D71"/>
        </w:rPr>
        <w:t>Voting and additional information</w:t>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0B2D71"/>
        </w:rPr>
        <w:t>Vote results</w:t>
      </w:r>
    </w:p>
    <w:p>
      <w:pPr>
        <w:sectPr>
          <w:pgSz w:w="11900" w:h="16838" w:orient="portrait"/>
          <w:cols w:equalWidth="0" w:num="1">
            <w:col w:w="11120"/>
          </w:cols>
          <w:pgMar w:left="320" w:top="455" w:right="459" w:bottom="1440" w:gutter="0" w:footer="0" w:header="0"/>
        </w:sectPr>
      </w:pPr>
    </w:p>
    <w:p>
      <w:pPr>
        <w:spacing w:after="0" w:line="290"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At the Annual Meeting, we will announce preliminary vote results for those items of business properly presented. Within four business days of the Annual Meeting, we will disclose the</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preliminary results (or final results, if available) in a Current Report on Form 8-K filed with the SEC.</w:t>
      </w:r>
    </w:p>
    <w:p>
      <w:pPr>
        <w:spacing w:after="0" w:line="373" w:lineRule="exact"/>
        <w:rPr>
          <w:sz w:val="20"/>
          <w:szCs w:val="20"/>
          <w:color w:val="auto"/>
        </w:rPr>
      </w:pPr>
    </w:p>
    <w:p>
      <w:pPr>
        <w:sectPr>
          <w:pgSz w:w="11900" w:h="16838" w:orient="portrait"/>
          <w:cols w:equalWidth="0" w:num="2">
            <w:col w:w="5320" w:space="420"/>
            <w:col w:w="5380"/>
          </w:cols>
          <w:pgMar w:left="320" w:top="455" w:right="459" w:bottom="1440" w:gutter="0" w:footer="0" w:header="0"/>
          <w:type w:val="continuous"/>
        </w:sectPr>
      </w:pP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0B2D71"/>
        </w:rPr>
        <w:t>Appointment of proxy holders</w:t>
      </w:r>
    </w:p>
    <w:p>
      <w:pPr>
        <w:sectPr>
          <w:pgSz w:w="11900" w:h="16838" w:orient="portrait"/>
          <w:cols w:equalWidth="0" w:num="1">
            <w:col w:w="11120"/>
          </w:cols>
          <w:pgMar w:left="320" w:top="455" w:right="459" w:bottom="1440" w:gutter="0" w:footer="0" w:header="0"/>
          <w:type w:val="continuous"/>
        </w:sectPr>
      </w:pPr>
    </w:p>
    <w:p>
      <w:pPr>
        <w:spacing w:after="0" w:line="195"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Your Board asks you to appoint Michael K. Wirth, R. Hewitt Pate, and Mary A. Francis as your proxy holders, each with full power of substitution, to represent and to vote your shares at the Annual Meeting. You make this appointment by voting the proxy card provided to you using one of the voting methods described in “How to Vote” in this section.</w:t>
      </w:r>
    </w:p>
    <w:p>
      <w:pPr>
        <w:spacing w:after="0" w:line="74" w:lineRule="exact"/>
        <w:rPr>
          <w:sz w:val="20"/>
          <w:szCs w:val="20"/>
          <w:color w:val="auto"/>
        </w:rPr>
      </w:pPr>
    </w:p>
    <w:p>
      <w:pPr>
        <w:ind w:left="120" w:right="180"/>
        <w:spacing w:after="0" w:line="266" w:lineRule="auto"/>
        <w:rPr>
          <w:sz w:val="20"/>
          <w:szCs w:val="20"/>
          <w:color w:val="auto"/>
        </w:rPr>
      </w:pPr>
      <w:r>
        <w:rPr>
          <w:rFonts w:ascii="Arial" w:cs="Arial" w:eastAsia="Arial" w:hAnsi="Arial"/>
          <w:sz w:val="16"/>
          <w:szCs w:val="16"/>
          <w:color w:val="auto"/>
        </w:rPr>
        <w:t>If you sign and return a proxy card with voting instructions, the proxy holders will vote your shares as you direct on the matters described in this Proxy Statement. If you sign and</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return a proxy card without voting instructions, they will vote your shares as recommended by your Board.</w:t>
      </w:r>
    </w:p>
    <w:p>
      <w:pPr>
        <w:spacing w:after="0" w:line="4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Unless you indicate otherwise on the proxy card, you also authorize the proxy holders to vote your shares on any matters that are not known by your Board as of the date of this Proxy Statement and that may be properly presented by or at the direction of the Board for action at the Annual Meeting.</w:t>
      </w:r>
    </w:p>
    <w:p>
      <w:pPr>
        <w:spacing w:after="0" w:line="586" w:lineRule="exact"/>
        <w:rPr>
          <w:sz w:val="20"/>
          <w:szCs w:val="20"/>
          <w:color w:val="auto"/>
        </w:rPr>
      </w:pPr>
    </w:p>
    <w:p>
      <w:pPr>
        <w:sectPr>
          <w:pgSz w:w="11900" w:h="16838" w:orient="portrait"/>
          <w:cols w:equalWidth="0" w:num="2">
            <w:col w:w="5300" w:space="440"/>
            <w:col w:w="5380"/>
          </w:cols>
          <w:pgMar w:left="320" w:top="455" w:right="459" w:bottom="1440" w:gutter="0" w:footer="0" w:header="0"/>
          <w:type w:val="continuous"/>
        </w:sectPr>
      </w:pP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0B2D71"/>
        </w:rPr>
        <w:t>Record date; who can vote</w:t>
      </w:r>
    </w:p>
    <w:p>
      <w:pPr>
        <w:spacing w:after="0" w:line="195" w:lineRule="exact"/>
        <w:rPr>
          <w:sz w:val="20"/>
          <w:szCs w:val="20"/>
          <w:color w:val="auto"/>
        </w:rPr>
      </w:pPr>
    </w:p>
    <w:p>
      <w:pPr>
        <w:ind w:left="120" w:right="380"/>
        <w:spacing w:after="0" w:line="266" w:lineRule="auto"/>
        <w:rPr>
          <w:sz w:val="20"/>
          <w:szCs w:val="20"/>
          <w:color w:val="auto"/>
        </w:rPr>
      </w:pPr>
      <w:r>
        <w:rPr>
          <w:rFonts w:ascii="Arial" w:cs="Arial" w:eastAsia="Arial" w:hAnsi="Arial"/>
          <w:sz w:val="16"/>
          <w:szCs w:val="16"/>
          <w:color w:val="auto"/>
        </w:rPr>
        <w:t>Stockholders owning Chevron common stock at the close of business on Monday, March 28, 2022, the Record Date, or their legal proxy holders, are entitled to vote at the Annual Meeting. At the close of business on the Record Date, there were 1,964,862,059 shares of Chevron common stock outstanding. Each outstanding share of Chevron common stock is entitled to one vote.</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0B2D71"/>
        </w:rPr>
        <w:t>Quorum</w:t>
      </w:r>
    </w:p>
    <w:p>
      <w:pPr>
        <w:spacing w:after="0" w:line="209"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A quorum, which is a majority of the outstanding shares of Chevron common stock as of the Record Date, must be present to hold the Annual Meeting. A quorum is calculated based on the number of shares represented at the meeting, either by the stockholders attending in person or by the proxy holders. In the case of broker nonvotes, and if you indicate an abstention as your voting preference in any matter, your shares will be counted toward a quorum, but will have no impact on the vote on any such matter.</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Chevron Corporation – 2022 Proxy Statement</w:t>
      </w:r>
    </w:p>
    <w:p>
      <w:pPr>
        <w:spacing w:after="0" w:line="53"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102</w:t>
      </w:r>
    </w:p>
    <w:p>
      <w:pPr>
        <w:sectPr>
          <w:pgSz w:w="11900" w:h="16838" w:orient="portrait"/>
          <w:cols w:equalWidth="0" w:num="1">
            <w:col w:w="11120"/>
          </w:cols>
          <w:pgMar w:left="320" w:top="455" w:right="459" w:bottom="1440" w:gutter="0" w:footer="0" w:header="0"/>
          <w:type w:val="continuous"/>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208280</wp:posOffset>
            </wp:positionV>
            <wp:extent cx="1577340" cy="1454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577340" cy="145415"/>
                    </a:xfrm>
                    <a:prstGeom prst="rect">
                      <a:avLst/>
                    </a:prstGeom>
                    <a:noFill/>
                  </pic:spPr>
                </pic:pic>
              </a:graphicData>
            </a:graphic>
          </wp:anchor>
        </w:drawing>
      </w:r>
    </w:p>
    <w:p>
      <w:pPr>
        <w:spacing w:after="0" w:line="339"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FFFFFF"/>
        </w:rPr>
        <w:t>Voting and additional information</w:t>
      </w:r>
    </w:p>
    <w:p>
      <w:pPr>
        <w:spacing w:after="0" w:line="161" w:lineRule="exact"/>
        <w:rPr>
          <w:sz w:val="20"/>
          <w:szCs w:val="20"/>
          <w:color w:val="auto"/>
        </w:rPr>
      </w:pPr>
    </w:p>
    <w:p>
      <w:pPr>
        <w:ind w:left="4920"/>
        <w:spacing w:after="0"/>
        <w:rPr>
          <w:sz w:val="20"/>
          <w:szCs w:val="20"/>
          <w:color w:val="auto"/>
        </w:rPr>
      </w:pPr>
      <w:r>
        <w:rPr>
          <w:rFonts w:ascii="Arial" w:cs="Arial" w:eastAsia="Arial" w:hAnsi="Arial"/>
          <w:sz w:val="25"/>
          <w:szCs w:val="25"/>
          <w:b w:val="1"/>
          <w:bCs w:val="1"/>
          <w:color w:val="0B2D71"/>
        </w:rPr>
        <w:t>How to vote</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Stockholders can vote by mail, telephone, Internet, or in person at the Annual Meeting.</w:t>
      </w:r>
    </w:p>
    <w:p>
      <w:pPr>
        <w:spacing w:after="0" w:line="248" w:lineRule="exact"/>
        <w:rPr>
          <w:sz w:val="20"/>
          <w:szCs w:val="20"/>
          <w:color w:val="auto"/>
        </w:rPr>
      </w:pPr>
    </w:p>
    <w:p>
      <w:pPr>
        <w:ind w:left="1240"/>
        <w:spacing w:after="0"/>
        <w:tabs>
          <w:tab w:leader="none" w:pos="4880" w:val="left"/>
          <w:tab w:leader="none" w:pos="8400" w:val="left"/>
        </w:tabs>
        <w:rPr>
          <w:sz w:val="20"/>
          <w:szCs w:val="20"/>
          <w:color w:val="auto"/>
        </w:rPr>
      </w:pPr>
      <w:r>
        <w:rPr>
          <w:rFonts w:ascii="Arial" w:cs="Arial" w:eastAsia="Arial" w:hAnsi="Arial"/>
          <w:sz w:val="16"/>
          <w:szCs w:val="16"/>
          <w:b w:val="1"/>
          <w:bCs w:val="1"/>
          <w:color w:val="FFFFFF"/>
        </w:rPr>
        <w:t>Stockholders of record</w:t>
      </w:r>
      <w:r>
        <w:rPr>
          <w:sz w:val="20"/>
          <w:szCs w:val="20"/>
          <w:color w:val="auto"/>
        </w:rPr>
        <w:tab/>
      </w:r>
      <w:r>
        <w:rPr>
          <w:rFonts w:ascii="Arial" w:cs="Arial" w:eastAsia="Arial" w:hAnsi="Arial"/>
          <w:sz w:val="16"/>
          <w:szCs w:val="16"/>
          <w:b w:val="1"/>
          <w:bCs w:val="1"/>
          <w:color w:val="FFFFFF"/>
        </w:rPr>
        <w:t>Street name stockholders</w:t>
      </w:r>
      <w:r>
        <w:rPr>
          <w:sz w:val="20"/>
          <w:szCs w:val="20"/>
          <w:color w:val="auto"/>
        </w:rPr>
        <w:tab/>
      </w:r>
      <w:r>
        <w:rPr>
          <w:rFonts w:ascii="Arial" w:cs="Arial" w:eastAsia="Arial" w:hAnsi="Arial"/>
          <w:sz w:val="16"/>
          <w:szCs w:val="16"/>
          <w:b w:val="1"/>
          <w:bCs w:val="1"/>
          <w:color w:val="FFFFFF"/>
        </w:rPr>
        <w:t>Employee plan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7003415" cy="28886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003415" cy="288861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24" w:lineRule="exact"/>
        <w:rPr>
          <w:sz w:val="20"/>
          <w:szCs w:val="20"/>
          <w:color w:val="auto"/>
        </w:rPr>
      </w:pPr>
    </w:p>
    <w:p>
      <w:pPr>
        <w:ind w:left="560" w:hanging="179"/>
        <w:spacing w:after="0" w:line="246" w:lineRule="auto"/>
        <w:tabs>
          <w:tab w:leader="none" w:pos="531" w:val="left"/>
        </w:tabs>
        <w:numPr>
          <w:ilvl w:val="0"/>
          <w:numId w:val="149"/>
        </w:numPr>
        <w:rPr>
          <w:rFonts w:ascii="Arial" w:cs="Arial" w:eastAsia="Arial" w:hAnsi="Arial"/>
          <w:sz w:val="14"/>
          <w:szCs w:val="14"/>
          <w:color w:val="auto"/>
        </w:rPr>
      </w:pPr>
      <w:r>
        <w:rPr>
          <w:rFonts w:ascii="Arial" w:cs="Arial" w:eastAsia="Arial" w:hAnsi="Arial"/>
          <w:sz w:val="14"/>
          <w:szCs w:val="14"/>
          <w:color w:val="auto"/>
        </w:rPr>
        <w:t>If you hold your shares in your own name as reflected in the records of Chevron’s transfer agent, Computershare Shareowner Services LLC, you can most conveniently vote by telephone, Internet, or mail. Please review the voting instructions on your proxy card.</w:t>
      </w:r>
    </w:p>
    <w:p>
      <w:pPr>
        <w:spacing w:after="0" w:line="89" w:lineRule="exact"/>
        <w:rPr>
          <w:rFonts w:ascii="Arial" w:cs="Arial" w:eastAsia="Arial" w:hAnsi="Arial"/>
          <w:sz w:val="14"/>
          <w:szCs w:val="14"/>
          <w:color w:val="auto"/>
        </w:rPr>
      </w:pPr>
    </w:p>
    <w:p>
      <w:pPr>
        <w:ind w:left="560" w:hanging="179"/>
        <w:spacing w:after="0" w:line="256" w:lineRule="auto"/>
        <w:tabs>
          <w:tab w:leader="none" w:pos="531" w:val="left"/>
        </w:tabs>
        <w:numPr>
          <w:ilvl w:val="0"/>
          <w:numId w:val="149"/>
        </w:numPr>
        <w:rPr>
          <w:rFonts w:ascii="Arial" w:cs="Arial" w:eastAsia="Arial" w:hAnsi="Arial"/>
          <w:sz w:val="14"/>
          <w:szCs w:val="14"/>
          <w:color w:val="auto"/>
        </w:rPr>
      </w:pPr>
      <w:r>
        <w:rPr>
          <w:rFonts w:ascii="Arial" w:cs="Arial" w:eastAsia="Arial" w:hAnsi="Arial"/>
          <w:sz w:val="14"/>
          <w:szCs w:val="14"/>
          <w:color w:val="auto"/>
        </w:rPr>
        <w:t>If you vote by telephone or on the Internet, you do not need to return your proxy card. Telephone and Internet voting is available 24 hours a day and will close at 11:59 p.m. EDT on Tuesday, May 24, 2022.</w:t>
      </w:r>
    </w:p>
    <w:p>
      <w:pPr>
        <w:spacing w:after="0" w:line="82" w:lineRule="exact"/>
        <w:rPr>
          <w:rFonts w:ascii="Arial" w:cs="Arial" w:eastAsia="Arial" w:hAnsi="Arial"/>
          <w:sz w:val="14"/>
          <w:szCs w:val="14"/>
          <w:color w:val="auto"/>
        </w:rPr>
      </w:pPr>
    </w:p>
    <w:p>
      <w:pPr>
        <w:ind w:left="560" w:right="180" w:hanging="179"/>
        <w:spacing w:after="0" w:line="259" w:lineRule="auto"/>
        <w:tabs>
          <w:tab w:leader="none" w:pos="531" w:val="left"/>
        </w:tabs>
        <w:numPr>
          <w:ilvl w:val="0"/>
          <w:numId w:val="149"/>
        </w:numPr>
        <w:rPr>
          <w:rFonts w:ascii="Arial" w:cs="Arial" w:eastAsia="Arial" w:hAnsi="Arial"/>
          <w:sz w:val="14"/>
          <w:szCs w:val="14"/>
          <w:color w:val="auto"/>
        </w:rPr>
      </w:pPr>
      <w:r>
        <w:rPr>
          <w:rFonts w:ascii="Arial" w:cs="Arial" w:eastAsia="Arial" w:hAnsi="Arial"/>
          <w:sz w:val="14"/>
          <w:szCs w:val="14"/>
          <w:b w:val="1"/>
          <w:bCs w:val="1"/>
          <w:color w:val="auto"/>
        </w:rPr>
        <w:t>You can vote virtually at the Annual Meeting by visiting www.virtualshareholdermeeting.com/CVX2022 and using your 16-digit control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189" w:hanging="189"/>
        <w:spacing w:after="0" w:line="249" w:lineRule="auto"/>
        <w:tabs>
          <w:tab w:leader="none" w:pos="16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If you own your shares through a bank, broker, or other holder of record, you can most conveniently vote by telephone, Internet, or mail. Please review the voting instructions on your voting instruction form.</w:t>
      </w:r>
    </w:p>
    <w:p>
      <w:pPr>
        <w:spacing w:after="0" w:line="87" w:lineRule="exact"/>
        <w:rPr>
          <w:rFonts w:ascii="Arial" w:cs="Arial" w:eastAsia="Arial" w:hAnsi="Arial"/>
          <w:sz w:val="14"/>
          <w:szCs w:val="14"/>
          <w:color w:val="auto"/>
        </w:rPr>
      </w:pPr>
    </w:p>
    <w:p>
      <w:pPr>
        <w:ind w:left="189" w:right="20" w:hanging="189"/>
        <w:spacing w:after="0" w:line="253" w:lineRule="auto"/>
        <w:tabs>
          <w:tab w:leader="none" w:pos="16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If you vote by telephone or on the Internet, you do not need to return your voting instruction form. Telephone and Internet voting is available 24 hours a day and will close at 11:59 p.m. EDT on Tuesday, May 24, 2022.</w:t>
      </w:r>
    </w:p>
    <w:p>
      <w:pPr>
        <w:spacing w:after="0" w:line="252" w:lineRule="exact"/>
        <w:rPr>
          <w:rFonts w:ascii="Arial" w:cs="Arial" w:eastAsia="Arial" w:hAnsi="Arial"/>
          <w:sz w:val="14"/>
          <w:szCs w:val="14"/>
          <w:color w:val="auto"/>
        </w:rPr>
      </w:pPr>
    </w:p>
    <w:p>
      <w:pPr>
        <w:ind w:left="189" w:right="40" w:hanging="189"/>
        <w:spacing w:after="0" w:line="245" w:lineRule="auto"/>
        <w:tabs>
          <w:tab w:leader="none" w:pos="160" w:val="left"/>
        </w:tabs>
        <w:numPr>
          <w:ilvl w:val="0"/>
          <w:numId w:val="150"/>
        </w:numPr>
        <w:rPr>
          <w:rFonts w:ascii="Arial" w:cs="Arial" w:eastAsia="Arial" w:hAnsi="Arial"/>
          <w:sz w:val="14"/>
          <w:szCs w:val="14"/>
          <w:color w:val="auto"/>
        </w:rPr>
      </w:pPr>
      <w:r>
        <w:rPr>
          <w:rFonts w:ascii="Arial" w:cs="Arial" w:eastAsia="Arial" w:hAnsi="Arial"/>
          <w:sz w:val="14"/>
          <w:szCs w:val="14"/>
          <w:b w:val="1"/>
          <w:bCs w:val="1"/>
          <w:color w:val="auto"/>
        </w:rPr>
        <w:t>If your shares are held in street name and your voting instruction form or Notice Regarding the Availability of Proxy Materials indicates that you may vote those shares through the www.proxyvote.com website, then you may vote at the Annual Meeting by visiting www.virtualshareholdermeeting.com/CVX2022 and using the 16-digit control number indicated on that voting instruction form or Notice Regarding the Availability of Proxy Materials. Otherwise, stockholders who hold their shares in street name should contact their bank, broker or other nominee (preferably at least 5 days before the annual meeting) and obtain a “legal proxy” in order to be able to attend, participate in or vote at the Annual Meeting.</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182" w:right="20" w:hanging="182"/>
        <w:spacing w:after="0" w:line="245" w:lineRule="auto"/>
        <w:tabs>
          <w:tab w:leader="none" w:pos="153" w:val="left"/>
        </w:tabs>
        <w:numPr>
          <w:ilvl w:val="0"/>
          <w:numId w:val="151"/>
        </w:numPr>
        <w:rPr>
          <w:rFonts w:ascii="Arial" w:cs="Arial" w:eastAsia="Arial" w:hAnsi="Arial"/>
          <w:sz w:val="14"/>
          <w:szCs w:val="14"/>
          <w:color w:val="auto"/>
        </w:rPr>
      </w:pPr>
      <w:r>
        <w:rPr>
          <w:rFonts w:ascii="Arial" w:cs="Arial" w:eastAsia="Arial" w:hAnsi="Arial"/>
          <w:sz w:val="14"/>
          <w:szCs w:val="14"/>
          <w:color w:val="auto"/>
        </w:rPr>
        <w:t>If you own your shares through participation in a Chevron employee stock or retirement benefit plan, you can most conveniently vote by telephone, Internet, or mail. Please review the voting instructions contained in the email sent to your work address or in the materials you receive through the mail.</w:t>
      </w:r>
    </w:p>
    <w:p>
      <w:pPr>
        <w:spacing w:after="0" w:line="91" w:lineRule="exact"/>
        <w:rPr>
          <w:rFonts w:ascii="Arial" w:cs="Arial" w:eastAsia="Arial" w:hAnsi="Arial"/>
          <w:sz w:val="14"/>
          <w:szCs w:val="14"/>
          <w:color w:val="auto"/>
        </w:rPr>
      </w:pPr>
    </w:p>
    <w:p>
      <w:pPr>
        <w:ind w:left="182" w:hanging="182"/>
        <w:spacing w:after="0" w:line="256" w:lineRule="auto"/>
        <w:tabs>
          <w:tab w:leader="none" w:pos="145" w:val="left"/>
        </w:tabs>
        <w:numPr>
          <w:ilvl w:val="0"/>
          <w:numId w:val="151"/>
        </w:numPr>
        <w:rPr>
          <w:rFonts w:ascii="Arial" w:cs="Arial" w:eastAsia="Arial" w:hAnsi="Arial"/>
          <w:sz w:val="14"/>
          <w:szCs w:val="14"/>
          <w:color w:val="auto"/>
        </w:rPr>
      </w:pPr>
      <w:r>
        <w:rPr>
          <w:rFonts w:ascii="Arial" w:cs="Arial" w:eastAsia="Arial" w:hAnsi="Arial"/>
          <w:sz w:val="14"/>
          <w:szCs w:val="14"/>
          <w:color w:val="auto"/>
        </w:rPr>
        <w:t>All votes must be received by the plan trustee or fiduciary by 11:59 p.m. EDT on Sunday, May 22, 2022, or other cutoff date as determined by the plan trustee or fiduciary.</w:t>
      </w:r>
    </w:p>
    <w:p>
      <w:pPr>
        <w:spacing w:after="0" w:line="2526" w:lineRule="exact"/>
        <w:rPr>
          <w:sz w:val="20"/>
          <w:szCs w:val="20"/>
          <w:color w:val="auto"/>
        </w:rPr>
      </w:pPr>
    </w:p>
    <w:p>
      <w:pPr>
        <w:sectPr>
          <w:pgSz w:w="11900" w:h="16838" w:orient="portrait"/>
          <w:cols w:equalWidth="0" w:num="3">
            <w:col w:w="3940" w:space="131"/>
            <w:col w:w="3609" w:space="158"/>
            <w:col w:w="3262"/>
          </w:cols>
          <w:pgMar w:left="320" w:top="455" w:right="479" w:bottom="1440" w:gutter="0" w:footer="0" w:header="0"/>
          <w:type w:val="continuous"/>
        </w:sectPr>
      </w:pPr>
    </w:p>
    <w:p>
      <w:pPr>
        <w:ind w:left="120" w:right="420"/>
        <w:spacing w:after="0" w:line="285" w:lineRule="auto"/>
        <w:rPr>
          <w:sz w:val="20"/>
          <w:szCs w:val="20"/>
          <w:color w:val="auto"/>
        </w:rPr>
      </w:pPr>
      <w:r>
        <w:rPr>
          <w:rFonts w:ascii="Arial" w:cs="Arial" w:eastAsia="Arial" w:hAnsi="Arial"/>
          <w:sz w:val="14"/>
          <w:szCs w:val="14"/>
          <w:b w:val="1"/>
          <w:bCs w:val="1"/>
          <w:color w:val="auto"/>
        </w:rPr>
        <w:t xml:space="preserve">We encourage you to vote by telephone or Internet. </w:t>
      </w:r>
      <w:r>
        <w:rPr>
          <w:rFonts w:ascii="Arial" w:cs="Arial" w:eastAsia="Arial" w:hAnsi="Arial"/>
          <w:sz w:val="14"/>
          <w:szCs w:val="14"/>
          <w:color w:val="auto"/>
        </w:rPr>
        <w:t>Both are designed to record your vote immediately and enable you to confirm that your vote has been properly</w:t>
      </w:r>
      <w:r>
        <w:rPr>
          <w:rFonts w:ascii="Arial" w:cs="Arial" w:eastAsia="Arial" w:hAnsi="Arial"/>
          <w:sz w:val="14"/>
          <w:szCs w:val="14"/>
          <w:b w:val="1"/>
          <w:bCs w:val="1"/>
          <w:color w:val="auto"/>
        </w:rPr>
        <w:t xml:space="preserve"> </w:t>
      </w:r>
      <w:r>
        <w:rPr>
          <w:rFonts w:ascii="Arial" w:cs="Arial" w:eastAsia="Arial" w:hAnsi="Arial"/>
          <w:sz w:val="14"/>
          <w:szCs w:val="14"/>
          <w:color w:val="auto"/>
        </w:rPr>
        <w:t>recorded.</w:t>
      </w:r>
    </w:p>
    <w:p>
      <w:pPr>
        <w:spacing w:after="0" w:line="29" w:lineRule="exact"/>
        <w:rPr>
          <w:sz w:val="20"/>
          <w:szCs w:val="20"/>
          <w:color w:val="auto"/>
        </w:rPr>
      </w:pPr>
    </w:p>
    <w:p>
      <w:pPr>
        <w:ind w:left="2300"/>
        <w:spacing w:after="0"/>
        <w:rPr>
          <w:sz w:val="20"/>
          <w:szCs w:val="20"/>
          <w:color w:val="auto"/>
        </w:rPr>
      </w:pPr>
      <w:r>
        <w:rPr>
          <w:rFonts w:ascii="Arial" w:cs="Arial" w:eastAsia="Arial" w:hAnsi="Arial"/>
          <w:sz w:val="32"/>
          <w:szCs w:val="32"/>
          <w:b w:val="1"/>
          <w:bCs w:val="1"/>
          <w:color w:val="0B2D71"/>
        </w:rPr>
        <w:t>Revoking your proxy or voting instructions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Stockholders can revoke their proxy or voting instructions as follows.</w:t>
      </w:r>
    </w:p>
    <w:p>
      <w:pPr>
        <w:sectPr>
          <w:pgSz w:w="11900" w:h="16838" w:orient="portrait"/>
          <w:cols w:equalWidth="0" w:num="1">
            <w:col w:w="11100"/>
          </w:cols>
          <w:pgMar w:left="320" w:top="455" w:right="479" w:bottom="1440" w:gutter="0" w:footer="0" w:header="0"/>
          <w:type w:val="continuous"/>
        </w:sectPr>
      </w:pPr>
    </w:p>
    <w:p>
      <w:pPr>
        <w:spacing w:after="0" w:line="248" w:lineRule="exact"/>
        <w:rPr>
          <w:sz w:val="20"/>
          <w:szCs w:val="20"/>
          <w:color w:val="auto"/>
        </w:rPr>
      </w:pPr>
    </w:p>
    <w:p>
      <w:pPr>
        <w:ind w:left="1200"/>
        <w:spacing w:after="0"/>
        <w:tabs>
          <w:tab w:leader="none" w:pos="4880" w:val="left"/>
        </w:tabs>
        <w:rPr>
          <w:sz w:val="20"/>
          <w:szCs w:val="20"/>
          <w:color w:val="auto"/>
        </w:rPr>
      </w:pPr>
      <w:r>
        <w:rPr>
          <w:rFonts w:ascii="Arial" w:cs="Arial" w:eastAsia="Arial" w:hAnsi="Arial"/>
          <w:sz w:val="16"/>
          <w:szCs w:val="16"/>
          <w:b w:val="1"/>
          <w:bCs w:val="1"/>
          <w:color w:val="FFFFFF"/>
        </w:rPr>
        <w:t>Stockholders of record</w:t>
      </w:r>
      <w:r>
        <w:rPr>
          <w:sz w:val="20"/>
          <w:szCs w:val="20"/>
          <w:color w:val="auto"/>
        </w:rPr>
        <w:tab/>
      </w:r>
      <w:r>
        <w:rPr>
          <w:rFonts w:ascii="Arial" w:cs="Arial" w:eastAsia="Arial" w:hAnsi="Arial"/>
          <w:sz w:val="16"/>
          <w:szCs w:val="16"/>
          <w:b w:val="1"/>
          <w:bCs w:val="1"/>
          <w:color w:val="FFFFFF"/>
        </w:rPr>
        <w:t>Street name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7003415" cy="12941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003415" cy="1294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Employee plan participants</w:t>
      </w:r>
    </w:p>
    <w:p>
      <w:pPr>
        <w:spacing w:after="0" w:line="24" w:lineRule="exact"/>
        <w:rPr>
          <w:sz w:val="20"/>
          <w:szCs w:val="20"/>
          <w:color w:val="auto"/>
        </w:rPr>
      </w:pPr>
    </w:p>
    <w:p>
      <w:pPr>
        <w:sectPr>
          <w:pgSz w:w="11900" w:h="16838" w:orient="portrait"/>
          <w:cols w:equalWidth="0" w:num="2">
            <w:col w:w="7680" w:space="720"/>
            <w:col w:w="2700"/>
          </w:cols>
          <w:pgMar w:left="320" w:top="455" w:right="479" w:bottom="1440" w:gutter="0" w:footer="0" w:header="0"/>
          <w:type w:val="continuous"/>
        </w:sectPr>
      </w:pPr>
    </w:p>
    <w:p>
      <w:pPr>
        <w:ind w:left="460" w:hanging="187"/>
        <w:spacing w:after="0" w:line="241" w:lineRule="auto"/>
        <w:tabs>
          <w:tab w:leader="none" w:pos="431" w:val="left"/>
        </w:tabs>
        <w:numPr>
          <w:ilvl w:val="0"/>
          <w:numId w:val="152"/>
        </w:numPr>
        <w:rPr>
          <w:rFonts w:ascii="Arial" w:cs="Arial" w:eastAsia="Arial" w:hAnsi="Arial"/>
          <w:sz w:val="14"/>
          <w:szCs w:val="14"/>
          <w:color w:val="auto"/>
        </w:rPr>
      </w:pPr>
      <w:r>
        <w:rPr>
          <w:rFonts w:ascii="Arial" w:cs="Arial" w:eastAsia="Arial" w:hAnsi="Arial"/>
          <w:sz w:val="14"/>
          <w:szCs w:val="14"/>
          <w:color w:val="auto"/>
        </w:rPr>
        <w:t>Send a written statement revoking your proxy to: Chevron Corporation, Attn: Corporate Secretary and Chief Governance Officer, 6001 Bollinger Canyon Road, San Ramon, CA</w:t>
      </w:r>
    </w:p>
    <w:p>
      <w:pPr>
        <w:spacing w:after="0" w:line="1"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color w:val="auto"/>
        </w:rPr>
        <w:t>94583-2324;</w:t>
      </w:r>
    </w:p>
    <w:p>
      <w:pPr>
        <w:spacing w:after="0" w:line="108" w:lineRule="exact"/>
        <w:rPr>
          <w:rFonts w:ascii="Arial" w:cs="Arial" w:eastAsia="Arial" w:hAnsi="Arial"/>
          <w:sz w:val="14"/>
          <w:szCs w:val="14"/>
          <w:color w:val="auto"/>
        </w:rPr>
      </w:pPr>
    </w:p>
    <w:p>
      <w:pPr>
        <w:ind w:left="420" w:hanging="147"/>
        <w:spacing w:after="0"/>
        <w:tabs>
          <w:tab w:leader="none" w:pos="42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Submit a proxy card with a later date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and signed as your name appears on your account;</w:t>
      </w:r>
    </w:p>
    <w:p>
      <w:pPr>
        <w:spacing w:after="0" w:line="109" w:lineRule="exact"/>
        <w:rPr>
          <w:sz w:val="20"/>
          <w:szCs w:val="20"/>
          <w:color w:val="auto"/>
        </w:rPr>
      </w:pPr>
    </w:p>
    <w:p>
      <w:pPr>
        <w:ind w:left="420" w:hanging="147"/>
        <w:spacing w:after="0"/>
        <w:tabs>
          <w:tab w:leader="none" w:pos="42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Vote at a later time by telephone or the Internet; or</w:t>
      </w:r>
    </w:p>
    <w:p>
      <w:pPr>
        <w:spacing w:after="0" w:line="122" w:lineRule="exact"/>
        <w:rPr>
          <w:rFonts w:ascii="Arial" w:cs="Arial" w:eastAsia="Arial" w:hAnsi="Arial"/>
          <w:sz w:val="14"/>
          <w:szCs w:val="14"/>
          <w:color w:val="auto"/>
        </w:rPr>
      </w:pPr>
    </w:p>
    <w:p>
      <w:pPr>
        <w:ind w:left="420" w:hanging="147"/>
        <w:spacing w:after="0"/>
        <w:tabs>
          <w:tab w:leader="none" w:pos="42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Vote virtually at the Annual Meeting.</w:t>
      </w:r>
    </w:p>
    <w:p>
      <w:pPr>
        <w:spacing w:after="0" w:line="20" w:lineRule="exact"/>
        <w:rPr>
          <w:sz w:val="20"/>
          <w:szCs w:val="20"/>
          <w:color w:val="auto"/>
        </w:rPr>
      </w:pPr>
      <w:r>
        <w:rPr>
          <w:sz w:val="20"/>
          <w:szCs w:val="20"/>
          <w:color w:val="auto"/>
        </w:rPr>
        <w:br w:type="column"/>
      </w:r>
    </w:p>
    <w:p>
      <w:pPr>
        <w:ind w:left="8" w:hanging="8"/>
        <w:spacing w:after="0" w:line="252" w:lineRule="auto"/>
        <w:tabs>
          <w:tab w:leader="none" w:pos="159" w:val="left"/>
        </w:tabs>
        <w:numPr>
          <w:ilvl w:val="0"/>
          <w:numId w:val="154"/>
        </w:numPr>
        <w:rPr>
          <w:rFonts w:ascii="Arial" w:cs="Arial" w:eastAsia="Arial" w:hAnsi="Arial"/>
          <w:sz w:val="14"/>
          <w:szCs w:val="14"/>
          <w:color w:val="auto"/>
        </w:rPr>
      </w:pPr>
      <w:r>
        <w:rPr>
          <w:rFonts w:ascii="Arial" w:cs="Arial" w:eastAsia="Arial" w:hAnsi="Arial"/>
          <w:sz w:val="14"/>
          <w:szCs w:val="14"/>
          <w:color w:val="auto"/>
        </w:rPr>
        <w:t>Notify your bank, broker, or other holder of record in accordance with that entity’s procedures for revoking your voting instructions.</w:t>
      </w:r>
    </w:p>
    <w:p>
      <w:pPr>
        <w:spacing w:after="0" w:line="20" w:lineRule="exact"/>
        <w:rPr>
          <w:sz w:val="20"/>
          <w:szCs w:val="20"/>
          <w:color w:val="auto"/>
        </w:rPr>
      </w:pPr>
      <w:r>
        <w:rPr>
          <w:sz w:val="20"/>
          <w:szCs w:val="20"/>
          <w:color w:val="auto"/>
        </w:rPr>
        <w:br w:type="column"/>
      </w:r>
    </w:p>
    <w:p>
      <w:pPr>
        <w:jc w:val="both"/>
        <w:ind w:left="76" w:right="80" w:hanging="76"/>
        <w:spacing w:after="0" w:line="252" w:lineRule="auto"/>
        <w:tabs>
          <w:tab w:leader="none" w:pos="155" w:val="left"/>
        </w:tabs>
        <w:numPr>
          <w:ilvl w:val="0"/>
          <w:numId w:val="155"/>
        </w:numPr>
        <w:rPr>
          <w:rFonts w:ascii="Arial" w:cs="Arial" w:eastAsia="Arial" w:hAnsi="Arial"/>
          <w:sz w:val="14"/>
          <w:szCs w:val="14"/>
          <w:color w:val="auto"/>
        </w:rPr>
      </w:pPr>
      <w:r>
        <w:rPr>
          <w:rFonts w:ascii="Arial" w:cs="Arial" w:eastAsia="Arial" w:hAnsi="Arial"/>
          <w:sz w:val="14"/>
          <w:szCs w:val="14"/>
          <w:color w:val="auto"/>
        </w:rPr>
        <w:t>Notify the trustee or fiduciary of the plan through which you hold your shares in accordance with its procedures for revoking your voting instructions.</w:t>
      </w:r>
    </w:p>
    <w:p>
      <w:pPr>
        <w:spacing w:after="0" w:line="1468" w:lineRule="exact"/>
        <w:rPr>
          <w:sz w:val="20"/>
          <w:szCs w:val="20"/>
          <w:color w:val="auto"/>
        </w:rPr>
      </w:pPr>
    </w:p>
    <w:p>
      <w:pPr>
        <w:sectPr>
          <w:pgSz w:w="11900" w:h="16838" w:orient="portrait"/>
          <w:cols w:equalWidth="0" w:num="3">
            <w:col w:w="3780" w:space="332"/>
            <w:col w:w="3448" w:space="224"/>
            <w:col w:w="3316"/>
          </w:cols>
          <w:pgMar w:left="320" w:top="455" w:right="479" w:bottom="1440" w:gutter="0" w:footer="0" w:header="0"/>
          <w:type w:val="continuous"/>
        </w:sectPr>
      </w:pPr>
    </w:p>
    <w:p>
      <w:pPr>
        <w:jc w:val="center"/>
        <w:ind w:right="-139"/>
        <w:spacing w:after="0"/>
        <w:rPr>
          <w:sz w:val="20"/>
          <w:szCs w:val="20"/>
          <w:color w:val="auto"/>
        </w:rPr>
      </w:pPr>
      <w:r>
        <w:rPr>
          <w:rFonts w:ascii="Arial" w:cs="Arial" w:eastAsia="Arial" w:hAnsi="Arial"/>
          <w:sz w:val="12"/>
          <w:szCs w:val="12"/>
          <w:color w:val="auto"/>
        </w:rPr>
        <w:t>Chevron Corporation – 2022 Proxy Statement</w:t>
      </w:r>
    </w:p>
    <w:p>
      <w:pPr>
        <w:spacing w:after="0" w:line="7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103</w:t>
      </w:r>
    </w:p>
    <w:p>
      <w:pPr>
        <w:sectPr>
          <w:pgSz w:w="11900" w:h="16838" w:orient="portrait"/>
          <w:cols w:equalWidth="0" w:num="1">
            <w:col w:w="11100"/>
          </w:cols>
          <w:pgMar w:left="320" w:top="455" w:right="479" w:bottom="1440" w:gutter="0" w:footer="0" w:header="0"/>
          <w:type w:val="continuous"/>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5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shd w:val="clear" w:color="auto" w:fill="0B2D71"/>
        </w:rPr>
        <w:t>Voting and additional information</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0B2D71"/>
        </w:rPr>
        <w:t>Confidential voting</w:t>
      </w:r>
    </w:p>
    <w:p>
      <w:pPr>
        <w:sectPr>
          <w:pgSz w:w="11900" w:h="16838" w:orient="portrait"/>
          <w:cols w:equalWidth="0" w:num="1">
            <w:col w:w="11120"/>
          </w:cols>
          <w:pgMar w:left="320" w:top="455" w:right="459" w:bottom="1440" w:gutter="0" w:footer="0" w:header="0"/>
        </w:sectPr>
      </w:pPr>
    </w:p>
    <w:p>
      <w:pPr>
        <w:spacing w:after="0" w:line="195"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Chevron has a confidential voting policy to protect the privacy of your votes. Under this policy, ballots, proxy cards, and voting instructions returned to banks, brokers, and other holders of record are kept confidential. Only the proxy solicitor, the proxy tabulator, and the Inspector of Election have access to the ballots, proxy cards, and voting instructions. Anyone who processes or inspects the ballots,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proxy cards, and voting instructions signs a pledge to treat them as confidential. None of these persons is a Chevron Director, officer, or employee. The proxy solicitor and the proxy tabulator will disclose information taken from the ballots, proxy cards, and voting instructions only in the event of a proxy contest or as otherwise required by law.</w:t>
      </w:r>
    </w:p>
    <w:p>
      <w:pPr>
        <w:spacing w:after="0" w:line="387" w:lineRule="exact"/>
        <w:rPr>
          <w:sz w:val="20"/>
          <w:szCs w:val="20"/>
          <w:color w:val="auto"/>
        </w:rPr>
      </w:pPr>
    </w:p>
    <w:p>
      <w:pPr>
        <w:sectPr>
          <w:pgSz w:w="11900" w:h="16838" w:orient="portrait"/>
          <w:cols w:equalWidth="0" w:num="2">
            <w:col w:w="5260" w:space="480"/>
            <w:col w:w="5380"/>
          </w:cols>
          <w:pgMar w:left="320" w:top="455" w:right="459" w:bottom="1440" w:gutter="0" w:footer="0" w:header="0"/>
          <w:type w:val="continuous"/>
        </w:sectPr>
      </w:pP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0B2D71"/>
        </w:rPr>
        <w:t>Notice and access</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Important Notice Regarding the Availability of Proxy Materials for the Stockholder Meeting to Be Held on May 25, 2022:</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The Notice of 2022 Annual Meeting, 2022 Proxy Statement, and 2021 Annual Report are available at www.proxyvote.com.</w:t>
      </w:r>
    </w:p>
    <w:p>
      <w:pPr>
        <w:sectPr>
          <w:pgSz w:w="11900" w:h="16838" w:orient="portrait"/>
          <w:cols w:equalWidth="0" w:num="1">
            <w:col w:w="11120"/>
          </w:cols>
          <w:pgMar w:left="320" w:top="455" w:right="459" w:bottom="1440" w:gutter="0" w:footer="0" w:header="0"/>
          <w:type w:val="continuous"/>
        </w:sectPr>
      </w:pPr>
    </w:p>
    <w:p>
      <w:pPr>
        <w:spacing w:after="0" w:line="181"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auto"/>
        </w:rPr>
        <w:t>This year, we are again furnishing Proxy Materials over the Internet to a number of our stockholders under the SEC’s notice and access rules. Many of our stockholders will receive a Notice Regarding the Availability of Proxy Materials (“Notice”) in the mail instead of a paper copy of this Proxy Statement, a proxy card or voting instruction card, and our 2021 Annual Report. We believe that this process will conserve natural resources and reduce the costs of printing and distributing our Proxy Materials.</w:t>
      </w:r>
    </w:p>
    <w:p>
      <w:pPr>
        <w:spacing w:after="0" w:line="75"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The Notice contains instructions on how to access our Proxy Materials and vote over the Internet at www.proxyvote.com and how stockholders can receive a paper copy of our Proxy Materials, including this Proxy Statement, a proxy card or voting instruction card, and our 2021 Annual Report. At www.proxyvote.com, stockholders can also request to receive future Proxy Materials in printed form by mail or electronically by email.</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 xml:space="preserve">All stockholders who do not receive a Notice will receive a paper copy of the Proxy Materials by mail unless they have previously elected to receive Proxy Materials by email. </w:t>
      </w:r>
      <w:r>
        <w:rPr>
          <w:rFonts w:ascii="Arial" w:cs="Arial" w:eastAsia="Arial" w:hAnsi="Arial"/>
          <w:sz w:val="16"/>
          <w:szCs w:val="16"/>
          <w:b w:val="1"/>
          <w:bCs w:val="1"/>
          <w:color w:val="auto"/>
        </w:rPr>
        <w:t>We remind stockholders who receive a Notice</w:t>
      </w:r>
      <w:r>
        <w:rPr>
          <w:rFonts w:ascii="Arial" w:cs="Arial" w:eastAsia="Arial" w:hAnsi="Arial"/>
          <w:sz w:val="16"/>
          <w:szCs w:val="16"/>
          <w:color w:val="auto"/>
        </w:rPr>
        <w:t xml:space="preserve"> </w:t>
      </w:r>
      <w:r>
        <w:rPr>
          <w:rFonts w:ascii="Arial" w:cs="Arial" w:eastAsia="Arial" w:hAnsi="Arial"/>
          <w:sz w:val="16"/>
          <w:szCs w:val="16"/>
          <w:b w:val="1"/>
          <w:bCs w:val="1"/>
          <w:color w:val="auto"/>
        </w:rPr>
        <w:t>that the Notice is not itself a proxy card and should not be returned with voting instructions.</w:t>
      </w:r>
    </w:p>
    <w:p>
      <w:pPr>
        <w:spacing w:after="0" w:line="6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If you would like an additional copy of the 2021 Annual Report or the 2022 Proxy Statement, with exhibits, these documents are available on the Company’s website, https://www.chevron.com/investors/corporate-governance. These documents are also available without charge to any stockholder, upon request, by writing to: Chevron Corporation, Attn: Corporate Governance Department, 6001 Bollinger Canyon Road, T3189, San Ramon, CA 94583-2324.</w:t>
      </w:r>
    </w:p>
    <w:p>
      <w:pPr>
        <w:spacing w:after="0" w:line="577" w:lineRule="exact"/>
        <w:rPr>
          <w:sz w:val="20"/>
          <w:szCs w:val="20"/>
          <w:color w:val="auto"/>
        </w:rPr>
      </w:pPr>
    </w:p>
    <w:p>
      <w:pPr>
        <w:sectPr>
          <w:pgSz w:w="11900" w:h="16838" w:orient="portrait"/>
          <w:cols w:equalWidth="0" w:num="2">
            <w:col w:w="5320" w:space="420"/>
            <w:col w:w="5380"/>
          </w:cols>
          <w:pgMar w:left="320" w:top="455" w:right="459" w:bottom="1440" w:gutter="0" w:footer="0" w:header="0"/>
          <w:type w:val="continuous"/>
        </w:sectPr>
      </w:pPr>
    </w:p>
    <w:p>
      <w:pPr>
        <w:spacing w:after="0" w:line="25"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0B2D71"/>
        </w:rPr>
        <w:t>Method and cost of soliciting and tabulating votes</w:t>
      </w:r>
    </w:p>
    <w:p>
      <w:pPr>
        <w:sectPr>
          <w:pgSz w:w="11900" w:h="16838" w:orient="portrait"/>
          <w:cols w:equalWidth="0" w:num="1">
            <w:col w:w="11120"/>
          </w:cols>
          <w:pgMar w:left="320" w:top="455" w:right="459" w:bottom="1440" w:gutter="0" w:footer="0" w:header="0"/>
          <w:type w:val="continuous"/>
        </w:sectPr>
      </w:pPr>
    </w:p>
    <w:p>
      <w:pPr>
        <w:spacing w:after="0" w:line="195"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Chevron will bear the costs of soliciting proxies and tabulating your votes. Proxies may be solicited by mail, Notice and Access (described in “Notice and Access,” above), email, telephone, or other means. Chevron has retained Broadridge Financial Solutions, Inc., to assist in distributing these Proxy Materials. Alliance Advisors LLC will act as our proxy solicitor in soliciting votes at an estimated cost of $30,000 plus additional fees for telephone and other solicitation of proxies, if needed, and its reasonable out-of-pocket expenses. Chevron employees may solicit your votes without additional compensation.</w:t>
      </w:r>
    </w:p>
    <w:p>
      <w:pPr>
        <w:spacing w:after="0" w:line="77" w:lineRule="exact"/>
        <w:rPr>
          <w:sz w:val="20"/>
          <w:szCs w:val="20"/>
          <w:color w:val="auto"/>
        </w:rPr>
      </w:pPr>
    </w:p>
    <w:p>
      <w:pPr>
        <w:ind w:left="120" w:right="260"/>
        <w:spacing w:after="0" w:line="286" w:lineRule="auto"/>
        <w:rPr>
          <w:sz w:val="20"/>
          <w:szCs w:val="20"/>
          <w:color w:val="auto"/>
        </w:rPr>
      </w:pPr>
      <w:r>
        <w:rPr>
          <w:rFonts w:ascii="Arial" w:cs="Arial" w:eastAsia="Arial" w:hAnsi="Arial"/>
          <w:sz w:val="16"/>
          <w:szCs w:val="16"/>
          <w:color w:val="auto"/>
        </w:rPr>
        <w:t>Chevron will reimburse banks, brokers, and other holders of record for reasonable, out-of-pocket expenses for forwarding</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these Proxy Materials to you, according to certain regulatory fee schedules. We estimate that this reimbursement will cost Chevron approximately $3 million. The actual amount will depend on variables such as the number of proxy packages mailed, the number of stockholders receiving electronic delivery, and postage costs. See “Email Delivery of Future Proxy Materials” in this section for information on how you can help reduce printing and mailing costs.</w:t>
      </w:r>
    </w:p>
    <w:p>
      <w:pPr>
        <w:spacing w:after="0" w:line="73"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Broadridge Financial Solutions, Inc., will be the proxy tabulator, and CT Hagberg LLC will act as the Inspector of Election.</w:t>
      </w:r>
    </w:p>
    <w:p>
      <w:pPr>
        <w:spacing w:after="0" w:line="578" w:lineRule="exact"/>
        <w:rPr>
          <w:sz w:val="20"/>
          <w:szCs w:val="20"/>
          <w:color w:val="auto"/>
        </w:rPr>
      </w:pPr>
    </w:p>
    <w:p>
      <w:pPr>
        <w:sectPr>
          <w:pgSz w:w="11900" w:h="16838" w:orient="portrait"/>
          <w:cols w:equalWidth="0" w:num="2">
            <w:col w:w="5400" w:space="340"/>
            <w:col w:w="5380"/>
          </w:cols>
          <w:pgMar w:left="320" w:top="455" w:right="459" w:bottom="1440" w:gutter="0" w:footer="0" w:header="0"/>
          <w:type w:val="continuous"/>
        </w:sectPr>
      </w:pPr>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Chevron Corporation – 2022 Proxy Statement</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104</w:t>
      </w:r>
    </w:p>
    <w:p>
      <w:pPr>
        <w:sectPr>
          <w:pgSz w:w="11900" w:h="16838" w:orient="portrait"/>
          <w:cols w:equalWidth="0" w:num="1">
            <w:col w:w="11120"/>
          </w:cols>
          <w:pgMar w:left="320" w:top="455" w:right="459" w:bottom="1440" w:gutter="0" w:footer="0" w:header="0"/>
          <w:type w:val="continuous"/>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208280</wp:posOffset>
            </wp:positionV>
            <wp:extent cx="1577340" cy="1454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577340" cy="145415"/>
                    </a:xfrm>
                    <a:prstGeom prst="rect">
                      <a:avLst/>
                    </a:prstGeom>
                    <a:noFill/>
                  </pic:spPr>
                </pic:pic>
              </a:graphicData>
            </a:graphic>
          </wp:anchor>
        </w:drawing>
      </w:r>
    </w:p>
    <w:p>
      <w:pPr>
        <w:spacing w:after="0" w:line="339"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FFFFFF"/>
        </w:rPr>
        <w:t>Voting and additional information</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0B2D71"/>
        </w:rPr>
        <w:t>Householding information</w:t>
      </w:r>
    </w:p>
    <w:p>
      <w:pPr>
        <w:sectPr>
          <w:pgSz w:w="11900" w:h="16838" w:orient="portrait"/>
          <w:cols w:equalWidth="0" w:num="1">
            <w:col w:w="11120"/>
          </w:cols>
          <w:pgMar w:left="320" w:top="455" w:right="459" w:bottom="1440" w:gutter="0" w:footer="0" w:header="0"/>
        </w:sectPr>
      </w:pPr>
    </w:p>
    <w:p>
      <w:pPr>
        <w:spacing w:after="0" w:line="195" w:lineRule="exact"/>
        <w:rPr>
          <w:sz w:val="20"/>
          <w:szCs w:val="20"/>
          <w:color w:val="auto"/>
        </w:rPr>
      </w:pPr>
    </w:p>
    <w:p>
      <w:pPr>
        <w:ind w:left="120" w:right="160"/>
        <w:spacing w:after="0" w:line="256" w:lineRule="auto"/>
        <w:rPr>
          <w:sz w:val="20"/>
          <w:szCs w:val="20"/>
          <w:color w:val="auto"/>
        </w:rPr>
      </w:pPr>
      <w:r>
        <w:rPr>
          <w:rFonts w:ascii="Arial" w:cs="Arial" w:eastAsia="Arial" w:hAnsi="Arial"/>
          <w:sz w:val="16"/>
          <w:szCs w:val="16"/>
          <w:color w:val="auto"/>
        </w:rPr>
        <w:t>We have adopted a procedure, approved by the SEC, called “householding.” Under this procedure, stockholders of record who have the same address and last name and receive hard copies of our Proxy Materials will receive only one copy, unless we are notified that one or more of these stockholders wish to continue receiving individual copies.</w:t>
      </w:r>
    </w:p>
    <w:p>
      <w:pPr>
        <w:spacing w:after="0" w:line="72"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color w:val="auto"/>
        </w:rPr>
        <w:t>Householding conserves natural resources and reduces our printing and mailing costs. Stockholders who participate in householding will continue to receive separate proxy cards. Also, householding will not in any way affect dividend check mailings.</w:t>
      </w:r>
    </w:p>
    <w:p>
      <w:pPr>
        <w:spacing w:after="0" w:line="70"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If you and another stockholder of record with whom you share an address are receiving multiple copies of our Proxy Materials, you can request to participate in householding and</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420"/>
        <w:spacing w:after="0" w:line="259" w:lineRule="auto"/>
        <w:rPr>
          <w:sz w:val="20"/>
          <w:szCs w:val="20"/>
          <w:color w:val="auto"/>
        </w:rPr>
      </w:pPr>
      <w:r>
        <w:rPr>
          <w:rFonts w:ascii="Arial" w:cs="Arial" w:eastAsia="Arial" w:hAnsi="Arial"/>
          <w:sz w:val="16"/>
          <w:szCs w:val="16"/>
          <w:color w:val="auto"/>
        </w:rPr>
        <w:t>receive a single copy of our Proxy Materials in the future by calling Broadridge Financial Solutions, Inc., toll-free at 1-866-540-7095 or by writing to Broadridge Financial Solutions, Inc., Attn: Householding Department, 51 Mercedes Way, Edgewood, NY 11717.</w:t>
      </w:r>
    </w:p>
    <w:p>
      <w:pPr>
        <w:spacing w:after="0" w:line="7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Alternatively, if you and another stockholder of record with whom you share an address participate in householding and you wish to receive an individual copy of our Proxy Materials now or discontinue your future participation in householding, please contact Broadridge Financial Solutions, Inc., as indicated above. Proxy Materials will be delivered promptly and free of charge.</w:t>
      </w:r>
    </w:p>
    <w:p>
      <w:pPr>
        <w:spacing w:after="0" w:line="74" w:lineRule="exact"/>
        <w:rPr>
          <w:sz w:val="20"/>
          <w:szCs w:val="20"/>
          <w:color w:val="auto"/>
        </w:rPr>
      </w:pPr>
    </w:p>
    <w:p>
      <w:pPr>
        <w:jc w:val="both"/>
        <w:ind w:right="280"/>
        <w:spacing w:after="0" w:line="266" w:lineRule="auto"/>
        <w:rPr>
          <w:sz w:val="20"/>
          <w:szCs w:val="20"/>
          <w:color w:val="auto"/>
        </w:rPr>
      </w:pPr>
      <w:r>
        <w:rPr>
          <w:rFonts w:ascii="Arial" w:cs="Arial" w:eastAsia="Arial" w:hAnsi="Arial"/>
          <w:sz w:val="16"/>
          <w:szCs w:val="16"/>
          <w:color w:val="auto"/>
        </w:rPr>
        <w:t>If you are a street name stockholder, you can request information about householding from your bank, broker, or other holder of record through which you own your shares.</w:t>
      </w:r>
    </w:p>
    <w:p>
      <w:pPr>
        <w:spacing w:after="0" w:line="200" w:lineRule="exact"/>
        <w:rPr>
          <w:sz w:val="20"/>
          <w:szCs w:val="20"/>
          <w:color w:val="auto"/>
        </w:rPr>
      </w:pPr>
    </w:p>
    <w:p>
      <w:pPr>
        <w:sectPr>
          <w:pgSz w:w="11900" w:h="16838" w:orient="portrait"/>
          <w:cols w:equalWidth="0" w:num="2">
            <w:col w:w="5400" w:space="340"/>
            <w:col w:w="5380"/>
          </w:cols>
          <w:pgMar w:left="320" w:top="455" w:right="459" w:bottom="1440" w:gutter="0" w:footer="0" w:header="0"/>
          <w:type w:val="continuous"/>
        </w:sectPr>
      </w:pP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0B2D71"/>
        </w:rPr>
        <w:t>Email delivery of future proxy materials</w:t>
      </w:r>
    </w:p>
    <w:p>
      <w:pPr>
        <w:spacing w:after="0" w:line="236" w:lineRule="exact"/>
        <w:rPr>
          <w:sz w:val="20"/>
          <w:szCs w:val="20"/>
          <w:color w:val="auto"/>
        </w:rPr>
      </w:pPr>
    </w:p>
    <w:p>
      <w:pPr>
        <w:ind w:left="120" w:right="460"/>
        <w:spacing w:after="0" w:line="266" w:lineRule="auto"/>
        <w:rPr>
          <w:sz w:val="20"/>
          <w:szCs w:val="20"/>
          <w:color w:val="auto"/>
        </w:rPr>
      </w:pPr>
      <w:r>
        <w:rPr>
          <w:rFonts w:ascii="Arial" w:cs="Arial" w:eastAsia="Arial" w:hAnsi="Arial"/>
          <w:sz w:val="16"/>
          <w:szCs w:val="16"/>
          <w:color w:val="auto"/>
        </w:rPr>
        <w:t>You can elect to receive future Proxy Materials by email, which will save us the cost of producing and mailing documents to you, by enrolling at www.icsdelivery.com/cvx. If you choose to receive future Proxy Materials by email, you will receive an email with instructions containing a link to the website where those materials are available and where you can vote.</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0B2D71"/>
        </w:rPr>
        <w:t>Stockholder of record account maintenance</w:t>
      </w:r>
    </w:p>
    <w:p>
      <w:pPr>
        <w:sectPr>
          <w:pgSz w:w="11900" w:h="16838" w:orient="portrait"/>
          <w:cols w:equalWidth="0" w:num="1">
            <w:col w:w="11120"/>
          </w:cols>
          <w:pgMar w:left="320" w:top="455" w:right="459" w:bottom="1440" w:gutter="0" w:footer="0" w:header="0"/>
          <w:type w:val="continuous"/>
        </w:sectPr>
      </w:pPr>
    </w:p>
    <w:p>
      <w:pPr>
        <w:spacing w:after="0" w:line="195"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Chevron engages a transfer agent, Computershare, to assist the Company in maintaining the accounts of individuals and entities that hold Chevron common stock in their own name on the records of the Company, sometimes referred to as “stockholders of record” or “registered stockholders.” All communications concerning accounts of stockholders of record, including name and address changes, requirements to transfer shares, and similar matters, may be handled by calling Computershare’s toll-free number, 1-800-368-8357, or by contacting Computershare through its website at www.computershare.com/investor. You may also address correspondence to Computershare at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P.O. Box 505000, Louisville, KY 40233-5000 or, if by overnight delivery, 462 South Fourth Street, Suite 1600, Louisville, KY 40202. The Computershare Investment Plan provides interested investors with an alternative for purchasing and selling shares of Chevron common stock and with the ability to enroll in dividend reinvestment. Additional information is available on Computershare’s website at www.computershare.com/investor.</w:t>
      </w:r>
    </w:p>
    <w:p>
      <w:pPr>
        <w:spacing w:after="0" w:line="26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If you are a street name stockholder, you may contact your bank, broker, or other holder of record with questions concerning your account.</w:t>
      </w:r>
    </w:p>
    <w:p>
      <w:pPr>
        <w:spacing w:after="0" w:line="438" w:lineRule="exact"/>
        <w:rPr>
          <w:sz w:val="20"/>
          <w:szCs w:val="20"/>
          <w:color w:val="auto"/>
        </w:rPr>
      </w:pPr>
    </w:p>
    <w:p>
      <w:pPr>
        <w:sectPr>
          <w:pgSz w:w="11900" w:h="16838" w:orient="portrait"/>
          <w:cols w:equalWidth="0" w:num="2">
            <w:col w:w="5340" w:space="400"/>
            <w:col w:w="5380"/>
          </w:cols>
          <w:pgMar w:left="320" w:top="455" w:right="459" w:bottom="1440" w:gutter="0" w:footer="0" w:header="0"/>
          <w:type w:val="continuous"/>
        </w:sectPr>
      </w:pPr>
    </w:p>
    <w:p>
      <w:pPr>
        <w:spacing w:after="0" w:line="64"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Chevron Corporation – 2022 Proxy Statement</w:t>
      </w:r>
    </w:p>
    <w:p>
      <w:pPr>
        <w:spacing w:after="0" w:line="65"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105</w:t>
      </w:r>
    </w:p>
    <w:p>
      <w:pPr>
        <w:sectPr>
          <w:pgSz w:w="11900" w:h="16838" w:orient="portrait"/>
          <w:cols w:equalWidth="0" w:num="1">
            <w:col w:w="11120"/>
          </w:cols>
          <w:pgMar w:left="320" w:top="455" w:right="459" w:bottom="1440" w:gutter="0" w:footer="0" w:header="0"/>
          <w:type w:val="continuous"/>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5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shd w:val="clear" w:color="auto" w:fill="0B2D71"/>
        </w:rPr>
        <w:t>Voting and additional information</w:t>
      </w:r>
    </w:p>
    <w:p>
      <w:pPr>
        <w:spacing w:after="0" w:line="161" w:lineRule="exact"/>
        <w:rPr>
          <w:sz w:val="20"/>
          <w:szCs w:val="20"/>
          <w:color w:val="auto"/>
        </w:rPr>
      </w:pPr>
    </w:p>
    <w:p>
      <w:pPr>
        <w:ind w:left="1900"/>
        <w:spacing w:after="0"/>
        <w:rPr>
          <w:sz w:val="20"/>
          <w:szCs w:val="20"/>
          <w:color w:val="auto"/>
        </w:rPr>
      </w:pPr>
      <w:r>
        <w:rPr>
          <w:rFonts w:ascii="Arial" w:cs="Arial" w:eastAsia="Arial" w:hAnsi="Arial"/>
          <w:sz w:val="25"/>
          <w:szCs w:val="25"/>
          <w:b w:val="1"/>
          <w:bCs w:val="1"/>
          <w:color w:val="0B2D71"/>
        </w:rPr>
        <w:t>Submission of stockholder proposals for 2023 annual meeting</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Proposals for inclusion in next year’s Proxy Statement (SEC Rule 14a-8)</w:t>
      </w:r>
    </w:p>
    <w:p>
      <w:pPr>
        <w:spacing w:after="0" w:line="112" w:lineRule="exact"/>
        <w:rPr>
          <w:sz w:val="20"/>
          <w:szCs w:val="20"/>
          <w:color w:val="auto"/>
        </w:rPr>
      </w:pPr>
    </w:p>
    <w:p>
      <w:pPr>
        <w:ind w:left="120" w:right="600"/>
        <w:spacing w:after="0" w:line="286" w:lineRule="auto"/>
        <w:rPr>
          <w:sz w:val="20"/>
          <w:szCs w:val="20"/>
          <w:color w:val="auto"/>
        </w:rPr>
      </w:pPr>
      <w:r>
        <w:rPr>
          <w:rFonts w:ascii="Arial" w:cs="Arial" w:eastAsia="Arial" w:hAnsi="Arial"/>
          <w:sz w:val="16"/>
          <w:szCs w:val="16"/>
          <w:color w:val="auto"/>
        </w:rPr>
        <w:t>SEC Rule 14a-8 permits stockholders to submit proposals for inclusion in our Proxy Statement if the stockholders and the proposals meet certain requirements specified in that rule.</w:t>
      </w:r>
    </w:p>
    <w:p>
      <w:pPr>
        <w:spacing w:after="0" w:line="61" w:lineRule="exact"/>
        <w:rPr>
          <w:sz w:val="20"/>
          <w:szCs w:val="20"/>
          <w:color w:val="auto"/>
        </w:rPr>
      </w:pPr>
    </w:p>
    <w:p>
      <w:pPr>
        <w:ind w:left="340" w:right="20" w:hanging="224"/>
        <w:spacing w:after="0" w:line="286" w:lineRule="auto"/>
        <w:tabs>
          <w:tab w:leader="none" w:pos="340" w:val="left"/>
        </w:tabs>
        <w:numPr>
          <w:ilvl w:val="0"/>
          <w:numId w:val="156"/>
        </w:numPr>
        <w:rPr>
          <w:rFonts w:ascii="Arial" w:cs="Arial" w:eastAsia="Arial" w:hAnsi="Arial"/>
          <w:sz w:val="16"/>
          <w:szCs w:val="16"/>
          <w:color w:val="auto"/>
        </w:rPr>
      </w:pPr>
      <w:r>
        <w:rPr>
          <w:rFonts w:ascii="Arial" w:cs="Arial" w:eastAsia="Arial" w:hAnsi="Arial"/>
          <w:sz w:val="16"/>
          <w:szCs w:val="16"/>
          <w:b w:val="1"/>
          <w:bCs w:val="1"/>
          <w:color w:val="auto"/>
        </w:rPr>
        <w:t xml:space="preserve">When to send these proposals. </w:t>
      </w:r>
      <w:r>
        <w:rPr>
          <w:rFonts w:ascii="Arial" w:cs="Arial" w:eastAsia="Arial" w:hAnsi="Arial"/>
          <w:sz w:val="16"/>
          <w:szCs w:val="16"/>
          <w:color w:val="auto"/>
        </w:rPr>
        <w:t>Any stockholder proposal submitted in accordance with SEC Rule 14a-8 must be received at our principal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offices no later than the close of business (6:00 p.m. Pacific Standard Time) on December 8, 2022.</w:t>
      </w:r>
    </w:p>
    <w:p>
      <w:pPr>
        <w:spacing w:after="0" w:line="61" w:lineRule="exact"/>
        <w:rPr>
          <w:rFonts w:ascii="Arial" w:cs="Arial" w:eastAsia="Arial" w:hAnsi="Arial"/>
          <w:sz w:val="16"/>
          <w:szCs w:val="16"/>
          <w:color w:val="auto"/>
        </w:rPr>
      </w:pPr>
    </w:p>
    <w:p>
      <w:pPr>
        <w:ind w:left="340" w:hanging="224"/>
        <w:spacing w:after="0" w:line="286" w:lineRule="auto"/>
        <w:tabs>
          <w:tab w:leader="none" w:pos="340" w:val="left"/>
        </w:tabs>
        <w:numPr>
          <w:ilvl w:val="0"/>
          <w:numId w:val="156"/>
        </w:numPr>
        <w:rPr>
          <w:rFonts w:ascii="Arial" w:cs="Arial" w:eastAsia="Arial" w:hAnsi="Arial"/>
          <w:sz w:val="16"/>
          <w:szCs w:val="16"/>
          <w:color w:val="auto"/>
        </w:rPr>
      </w:pPr>
      <w:r>
        <w:rPr>
          <w:rFonts w:ascii="Arial" w:cs="Arial" w:eastAsia="Arial" w:hAnsi="Arial"/>
          <w:sz w:val="16"/>
          <w:szCs w:val="16"/>
          <w:b w:val="1"/>
          <w:bCs w:val="1"/>
          <w:color w:val="auto"/>
        </w:rPr>
        <w:t xml:space="preserve">Where to send these proposals. </w:t>
      </w:r>
      <w:r>
        <w:rPr>
          <w:rFonts w:ascii="Arial" w:cs="Arial" w:eastAsia="Arial" w:hAnsi="Arial"/>
          <w:sz w:val="16"/>
          <w:szCs w:val="16"/>
          <w:color w:val="auto"/>
        </w:rPr>
        <w:t>Proposals should be submitted by overnight mail and addressed to Mary A. Francis, Corporate Secretary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Governance Officer, Chevron Corporation, 6001 Bollinger Canyon Road, San Ramon, CA 94583-2324.</w:t>
      </w:r>
    </w:p>
    <w:p>
      <w:pPr>
        <w:spacing w:after="0" w:line="61" w:lineRule="exact"/>
        <w:rPr>
          <w:rFonts w:ascii="Arial" w:cs="Arial" w:eastAsia="Arial" w:hAnsi="Arial"/>
          <w:sz w:val="16"/>
          <w:szCs w:val="16"/>
          <w:color w:val="auto"/>
        </w:rPr>
      </w:pPr>
    </w:p>
    <w:p>
      <w:pPr>
        <w:ind w:left="340" w:hanging="224"/>
        <w:spacing w:after="0"/>
        <w:tabs>
          <w:tab w:leader="none" w:pos="340" w:val="left"/>
        </w:tabs>
        <w:numPr>
          <w:ilvl w:val="0"/>
          <w:numId w:val="156"/>
        </w:numPr>
        <w:rPr>
          <w:rFonts w:ascii="Arial" w:cs="Arial" w:eastAsia="Arial" w:hAnsi="Arial"/>
          <w:sz w:val="16"/>
          <w:szCs w:val="16"/>
          <w:color w:val="auto"/>
        </w:rPr>
      </w:pPr>
      <w:r>
        <w:rPr>
          <w:rFonts w:ascii="Arial" w:cs="Arial" w:eastAsia="Arial" w:hAnsi="Arial"/>
          <w:sz w:val="16"/>
          <w:szCs w:val="16"/>
          <w:b w:val="1"/>
          <w:bCs w:val="1"/>
          <w:color w:val="auto"/>
        </w:rPr>
        <w:t xml:space="preserve">What to include. </w:t>
      </w:r>
      <w:r>
        <w:rPr>
          <w:rFonts w:ascii="Arial" w:cs="Arial" w:eastAsia="Arial" w:hAnsi="Arial"/>
          <w:sz w:val="16"/>
          <w:szCs w:val="16"/>
          <w:color w:val="auto"/>
        </w:rPr>
        <w:t>Proposals must conform to and include the information required by SEC Rule 14a-8.</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nominees for inclusion in next year’s Proxy Statement (proxy access)</w:t>
      </w:r>
    </w:p>
    <w:p>
      <w:pPr>
        <w:spacing w:after="0" w:line="112"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Article IV, Section 7, of our By-Laws permits a stockholder or group of stockholders (up to 20) who have owned at least 3% of Chevron common stock for at least three years to submit director nominees (up to the greater of two nominees or 20% of the Board) for inclusion in our Proxy Statement if the nominating stockholder(s) satisfies the requirements specified in our By-Laws. Additional information about these proxy access requirements can be found in our By-Laws, available at www.chevron.com/investors/corporate-governance.</w:t>
      </w:r>
    </w:p>
    <w:p>
      <w:pPr>
        <w:spacing w:after="0" w:line="83" w:lineRule="exact"/>
        <w:rPr>
          <w:sz w:val="20"/>
          <w:szCs w:val="20"/>
          <w:color w:val="auto"/>
        </w:rPr>
      </w:pPr>
    </w:p>
    <w:p>
      <w:pPr>
        <w:ind w:left="340" w:right="360" w:hanging="224"/>
        <w:spacing w:after="0" w:line="286" w:lineRule="auto"/>
        <w:tabs>
          <w:tab w:leader="none" w:pos="340" w:val="left"/>
        </w:tabs>
        <w:numPr>
          <w:ilvl w:val="0"/>
          <w:numId w:val="157"/>
        </w:numPr>
        <w:rPr>
          <w:rFonts w:ascii="Arial" w:cs="Arial" w:eastAsia="Arial" w:hAnsi="Arial"/>
          <w:sz w:val="16"/>
          <w:szCs w:val="16"/>
          <w:color w:val="auto"/>
        </w:rPr>
      </w:pPr>
      <w:r>
        <w:rPr>
          <w:rFonts w:ascii="Arial" w:cs="Arial" w:eastAsia="Arial" w:hAnsi="Arial"/>
          <w:sz w:val="16"/>
          <w:szCs w:val="16"/>
          <w:b w:val="1"/>
          <w:bCs w:val="1"/>
          <w:color w:val="auto"/>
        </w:rPr>
        <w:t xml:space="preserve">When to send these proposals. </w:t>
      </w:r>
      <w:r>
        <w:rPr>
          <w:rFonts w:ascii="Arial" w:cs="Arial" w:eastAsia="Arial" w:hAnsi="Arial"/>
          <w:sz w:val="16"/>
          <w:szCs w:val="16"/>
          <w:color w:val="auto"/>
        </w:rPr>
        <w:t>Notices of director nominees submitted pursuant to our proxy access By-Laws must be received no earlier than</w:t>
      </w:r>
      <w:r>
        <w:rPr>
          <w:rFonts w:ascii="Arial" w:cs="Arial" w:eastAsia="Arial" w:hAnsi="Arial"/>
          <w:sz w:val="16"/>
          <w:szCs w:val="16"/>
          <w:b w:val="1"/>
          <w:bCs w:val="1"/>
          <w:color w:val="auto"/>
        </w:rPr>
        <w:t xml:space="preserve"> </w:t>
      </w:r>
      <w:r>
        <w:rPr>
          <w:rFonts w:ascii="Arial" w:cs="Arial" w:eastAsia="Arial" w:hAnsi="Arial"/>
          <w:sz w:val="16"/>
          <w:szCs w:val="16"/>
          <w:color w:val="auto"/>
        </w:rPr>
        <w:t>November 8, 2022, and no later than the close of business on December 8, 2022.</w:t>
      </w:r>
    </w:p>
    <w:p>
      <w:pPr>
        <w:spacing w:after="0" w:line="61" w:lineRule="exact"/>
        <w:rPr>
          <w:rFonts w:ascii="Arial" w:cs="Arial" w:eastAsia="Arial" w:hAnsi="Arial"/>
          <w:sz w:val="16"/>
          <w:szCs w:val="16"/>
          <w:color w:val="auto"/>
        </w:rPr>
      </w:pPr>
    </w:p>
    <w:p>
      <w:pPr>
        <w:ind w:left="340" w:right="180" w:hanging="224"/>
        <w:spacing w:after="0" w:line="286" w:lineRule="auto"/>
        <w:tabs>
          <w:tab w:leader="none" w:pos="340" w:val="left"/>
        </w:tabs>
        <w:numPr>
          <w:ilvl w:val="0"/>
          <w:numId w:val="157"/>
        </w:numPr>
        <w:rPr>
          <w:rFonts w:ascii="Arial" w:cs="Arial" w:eastAsia="Arial" w:hAnsi="Arial"/>
          <w:sz w:val="16"/>
          <w:szCs w:val="16"/>
          <w:color w:val="auto"/>
        </w:rPr>
      </w:pPr>
      <w:r>
        <w:rPr>
          <w:rFonts w:ascii="Arial" w:cs="Arial" w:eastAsia="Arial" w:hAnsi="Arial"/>
          <w:sz w:val="16"/>
          <w:szCs w:val="16"/>
          <w:b w:val="1"/>
          <w:bCs w:val="1"/>
          <w:color w:val="auto"/>
        </w:rPr>
        <w:t xml:space="preserve">Where to send these proposals. </w:t>
      </w:r>
      <w:r>
        <w:rPr>
          <w:rFonts w:ascii="Arial" w:cs="Arial" w:eastAsia="Arial" w:hAnsi="Arial"/>
          <w:sz w:val="16"/>
          <w:szCs w:val="16"/>
          <w:color w:val="auto"/>
        </w:rPr>
        <w:t>Notices should be submitted by overnight mail and addressed to Mary A. Francis, Corporate Secretary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Governance Officer, Chevron Corporation, 6001 Bollinger Canyon Road, San Ramon, CA 94583-2324.</w:t>
      </w:r>
    </w:p>
    <w:p>
      <w:pPr>
        <w:spacing w:after="0" w:line="61" w:lineRule="exact"/>
        <w:rPr>
          <w:rFonts w:ascii="Arial" w:cs="Arial" w:eastAsia="Arial" w:hAnsi="Arial"/>
          <w:sz w:val="16"/>
          <w:szCs w:val="16"/>
          <w:color w:val="auto"/>
        </w:rPr>
      </w:pPr>
    </w:p>
    <w:p>
      <w:pPr>
        <w:ind w:left="340" w:hanging="224"/>
        <w:spacing w:after="0"/>
        <w:tabs>
          <w:tab w:leader="none" w:pos="340" w:val="left"/>
        </w:tabs>
        <w:numPr>
          <w:ilvl w:val="0"/>
          <w:numId w:val="157"/>
        </w:numPr>
        <w:rPr>
          <w:rFonts w:ascii="Arial" w:cs="Arial" w:eastAsia="Arial" w:hAnsi="Arial"/>
          <w:sz w:val="16"/>
          <w:szCs w:val="16"/>
          <w:color w:val="auto"/>
        </w:rPr>
      </w:pPr>
      <w:r>
        <w:rPr>
          <w:rFonts w:ascii="Arial" w:cs="Arial" w:eastAsia="Arial" w:hAnsi="Arial"/>
          <w:sz w:val="16"/>
          <w:szCs w:val="16"/>
          <w:b w:val="1"/>
          <w:bCs w:val="1"/>
          <w:color w:val="auto"/>
        </w:rPr>
        <w:t xml:space="preserve">What to include. </w:t>
      </w:r>
      <w:r>
        <w:rPr>
          <w:rFonts w:ascii="Arial" w:cs="Arial" w:eastAsia="Arial" w:hAnsi="Arial"/>
          <w:sz w:val="16"/>
          <w:szCs w:val="16"/>
          <w:color w:val="auto"/>
        </w:rPr>
        <w:t>Notices must include the information required by our proxy access By-Laws.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Other proposals or nominees for presentation at next year’s Annual Meeting (advance notice)</w:t>
      </w:r>
    </w:p>
    <w:p>
      <w:pPr>
        <w:spacing w:after="0" w:line="112"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Article IV, Section 6, of our By-Laws requires that any stockholder proposal, including Director nominations, that is not submitted for inclusion in next year’s Proxy Statement (either under SEC Rule 14a-8 or our proxy access By-Laws), but is instead sought to be presented directly at the 2023 Annual Meeting, must be received at our principal executive offices no earlier than the 120th day and no later than the close of business on the 90th day prior to the first anniversary of the 2022 Annual Meeting. Additional information about these advance notice requirements can be found in our By-Laws, available at www.chevron.com/investors/corporate-governance.</w:t>
      </w:r>
    </w:p>
    <w:p>
      <w:pPr>
        <w:spacing w:after="0" w:line="85" w:lineRule="exact"/>
        <w:rPr>
          <w:sz w:val="20"/>
          <w:szCs w:val="20"/>
          <w:color w:val="auto"/>
        </w:rPr>
      </w:pPr>
    </w:p>
    <w:p>
      <w:pPr>
        <w:jc w:val="both"/>
        <w:ind w:left="340" w:right="60" w:hanging="224"/>
        <w:spacing w:after="0" w:line="259" w:lineRule="auto"/>
        <w:tabs>
          <w:tab w:leader="none" w:pos="340" w:val="left"/>
        </w:tabs>
        <w:numPr>
          <w:ilvl w:val="0"/>
          <w:numId w:val="158"/>
        </w:numPr>
        <w:rPr>
          <w:rFonts w:ascii="Arial" w:cs="Arial" w:eastAsia="Arial" w:hAnsi="Arial"/>
          <w:sz w:val="16"/>
          <w:szCs w:val="16"/>
          <w:color w:val="auto"/>
        </w:rPr>
      </w:pPr>
      <w:r>
        <w:rPr>
          <w:rFonts w:ascii="Arial" w:cs="Arial" w:eastAsia="Arial" w:hAnsi="Arial"/>
          <w:sz w:val="16"/>
          <w:szCs w:val="16"/>
          <w:b w:val="1"/>
          <w:bCs w:val="1"/>
          <w:color w:val="auto"/>
        </w:rPr>
        <w:t xml:space="preserve">When to send these proposals. </w:t>
      </w:r>
      <w:r>
        <w:rPr>
          <w:rFonts w:ascii="Arial" w:cs="Arial" w:eastAsia="Arial" w:hAnsi="Arial"/>
          <w:sz w:val="16"/>
          <w:szCs w:val="16"/>
          <w:color w:val="auto"/>
        </w:rPr>
        <w:t>Proposals and Director nominations submitted pursuant to our advance notice By-Laws must be received no earlier</w:t>
      </w:r>
      <w:r>
        <w:rPr>
          <w:rFonts w:ascii="Arial" w:cs="Arial" w:eastAsia="Arial" w:hAnsi="Arial"/>
          <w:sz w:val="16"/>
          <w:szCs w:val="16"/>
          <w:b w:val="1"/>
          <w:bCs w:val="1"/>
          <w:color w:val="auto"/>
        </w:rPr>
        <w:t xml:space="preserve"> </w:t>
      </w:r>
      <w:r>
        <w:rPr>
          <w:rFonts w:ascii="Arial" w:cs="Arial" w:eastAsia="Arial" w:hAnsi="Arial"/>
          <w:sz w:val="16"/>
          <w:szCs w:val="16"/>
          <w:color w:val="auto"/>
        </w:rPr>
        <w:t>than January 25, 2023, and no later than the close of business on February 24, 2023. In addition to satisfying the deadlines in our advance notice By-Laws, a stockholder who intends to solicit proxies in support of Director nominees submitted under these advance notice provisions must provide the notice required under Rule 14a-19 to the Corporate Secretary and Chief Governance Officer no later than March 26, 2023.</w:t>
      </w:r>
    </w:p>
    <w:p>
      <w:pPr>
        <w:spacing w:after="0" w:line="83" w:lineRule="exact"/>
        <w:rPr>
          <w:rFonts w:ascii="Arial" w:cs="Arial" w:eastAsia="Arial" w:hAnsi="Arial"/>
          <w:sz w:val="16"/>
          <w:szCs w:val="16"/>
          <w:color w:val="auto"/>
        </w:rPr>
      </w:pPr>
    </w:p>
    <w:p>
      <w:pPr>
        <w:ind w:left="340" w:right="400" w:hanging="224"/>
        <w:spacing w:after="0" w:line="286" w:lineRule="auto"/>
        <w:tabs>
          <w:tab w:leader="none" w:pos="340" w:val="left"/>
        </w:tabs>
        <w:numPr>
          <w:ilvl w:val="0"/>
          <w:numId w:val="158"/>
        </w:numPr>
        <w:rPr>
          <w:rFonts w:ascii="Arial" w:cs="Arial" w:eastAsia="Arial" w:hAnsi="Arial"/>
          <w:sz w:val="16"/>
          <w:szCs w:val="16"/>
          <w:color w:val="auto"/>
        </w:rPr>
      </w:pPr>
      <w:r>
        <w:rPr>
          <w:rFonts w:ascii="Arial" w:cs="Arial" w:eastAsia="Arial" w:hAnsi="Arial"/>
          <w:sz w:val="16"/>
          <w:szCs w:val="16"/>
          <w:b w:val="1"/>
          <w:bCs w:val="1"/>
          <w:color w:val="auto"/>
        </w:rPr>
        <w:t xml:space="preserve">Where to send these proposals. </w:t>
      </w:r>
      <w:r>
        <w:rPr>
          <w:rFonts w:ascii="Arial" w:cs="Arial" w:eastAsia="Arial" w:hAnsi="Arial"/>
          <w:sz w:val="16"/>
          <w:szCs w:val="16"/>
          <w:color w:val="auto"/>
        </w:rPr>
        <w:t>Proposals and Director nominations should be submitted by overnight mail and addressed to Mary A. Francis,</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Secretary and Chief Governance Officer, Chevron Corporation, 6001 Bollinger Canyon Road, San Ramon, CA 94583-2324.</w:t>
      </w:r>
    </w:p>
    <w:p>
      <w:pPr>
        <w:spacing w:after="0" w:line="61" w:lineRule="exact"/>
        <w:rPr>
          <w:rFonts w:ascii="Arial" w:cs="Arial" w:eastAsia="Arial" w:hAnsi="Arial"/>
          <w:sz w:val="16"/>
          <w:szCs w:val="16"/>
          <w:color w:val="auto"/>
        </w:rPr>
      </w:pPr>
    </w:p>
    <w:p>
      <w:pPr>
        <w:ind w:left="340" w:hanging="224"/>
        <w:spacing w:after="0"/>
        <w:tabs>
          <w:tab w:leader="none" w:pos="340" w:val="left"/>
        </w:tabs>
        <w:numPr>
          <w:ilvl w:val="0"/>
          <w:numId w:val="158"/>
        </w:numPr>
        <w:rPr>
          <w:rFonts w:ascii="Arial" w:cs="Arial" w:eastAsia="Arial" w:hAnsi="Arial"/>
          <w:sz w:val="16"/>
          <w:szCs w:val="16"/>
          <w:color w:val="auto"/>
        </w:rPr>
      </w:pPr>
      <w:r>
        <w:rPr>
          <w:rFonts w:ascii="Arial" w:cs="Arial" w:eastAsia="Arial" w:hAnsi="Arial"/>
          <w:sz w:val="16"/>
          <w:szCs w:val="16"/>
          <w:b w:val="1"/>
          <w:bCs w:val="1"/>
          <w:color w:val="auto"/>
        </w:rPr>
        <w:t xml:space="preserve">What to include. </w:t>
      </w:r>
      <w:r>
        <w:rPr>
          <w:rFonts w:ascii="Arial" w:cs="Arial" w:eastAsia="Arial" w:hAnsi="Arial"/>
          <w:sz w:val="16"/>
          <w:szCs w:val="16"/>
          <w:color w:val="auto"/>
        </w:rPr>
        <w:t>Proposals and Director nominations must include the information required by our advance notice By-Laws.</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106</w:t>
      </w:r>
    </w:p>
    <w:p>
      <w:pPr>
        <w:sectPr>
          <w:pgSz w:w="11900" w:h="16838" w:orient="portrait"/>
          <w:cols w:equalWidth="0" w:num="1">
            <w:col w:w="11080"/>
          </w:cols>
          <w:pgMar w:left="320" w:top="455" w:right="49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208280</wp:posOffset>
            </wp:positionV>
            <wp:extent cx="1577340" cy="1460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577340" cy="146050"/>
                    </a:xfrm>
                    <a:prstGeom prst="rect">
                      <a:avLst/>
                    </a:prstGeom>
                    <a:noFill/>
                  </pic:spPr>
                </pic:pic>
              </a:graphicData>
            </a:graphic>
          </wp:anchor>
        </w:drawing>
      </w:r>
    </w:p>
    <w:p>
      <w:pPr>
        <w:spacing w:after="0" w:line="339"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FFFFFF"/>
        </w:rPr>
        <w:t>Voting and additional information</w:t>
      </w:r>
    </w:p>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0B2D71"/>
        </w:rPr>
        <w:t>Rules for admission for the virtual annual meeting</w:t>
      </w:r>
    </w:p>
    <w:p>
      <w:pPr>
        <w:spacing w:after="0" w:line="241" w:lineRule="exact"/>
        <w:rPr>
          <w:sz w:val="20"/>
          <w:szCs w:val="20"/>
          <w:color w:val="auto"/>
        </w:rPr>
      </w:pPr>
    </w:p>
    <w:p>
      <w:pPr>
        <w:ind w:left="120"/>
        <w:spacing w:after="0" w:line="263" w:lineRule="auto"/>
        <w:rPr>
          <w:sz w:val="20"/>
          <w:szCs w:val="20"/>
          <w:color w:val="auto"/>
        </w:rPr>
      </w:pPr>
      <w:r>
        <w:rPr>
          <w:rFonts w:ascii="Arial" w:cs="Arial" w:eastAsia="Arial" w:hAnsi="Arial"/>
          <w:sz w:val="14"/>
          <w:szCs w:val="14"/>
          <w:color w:val="auto"/>
        </w:rPr>
        <w:t>You are entitled to attend and participate in the Annual Meeting only if you were a stockholder as of the close of business on March 28, 2022, or if you are a valid legal proxy holder for the Annual Meeting. If you plan to attend the Virtual Annual Meeting, please be aware of what you will need to gain admission, as described below. If you do not comply with the procedures described here for attending the Virtual Annual Meeting, you will not be able to participate in the annual meeting.</w:t>
      </w:r>
    </w:p>
    <w:p>
      <w:pPr>
        <w:spacing w:after="0" w:line="78" w:lineRule="exact"/>
        <w:rPr>
          <w:sz w:val="20"/>
          <w:szCs w:val="20"/>
          <w:color w:val="auto"/>
        </w:rPr>
      </w:pPr>
    </w:p>
    <w:p>
      <w:pPr>
        <w:ind w:left="340" w:hanging="224"/>
        <w:spacing w:after="0"/>
        <w:tabs>
          <w:tab w:leader="none" w:pos="340" w:val="left"/>
        </w:tabs>
        <w:numPr>
          <w:ilvl w:val="0"/>
          <w:numId w:val="159"/>
        </w:numPr>
        <w:rPr>
          <w:rFonts w:ascii="Arial" w:cs="Arial" w:eastAsia="Arial" w:hAnsi="Arial"/>
          <w:sz w:val="14"/>
          <w:szCs w:val="14"/>
          <w:color w:val="auto"/>
        </w:rPr>
      </w:pPr>
      <w:r>
        <w:rPr>
          <w:rFonts w:ascii="Arial" w:cs="Arial" w:eastAsia="Arial" w:hAnsi="Arial"/>
          <w:sz w:val="14"/>
          <w:szCs w:val="14"/>
          <w:b w:val="1"/>
          <w:bCs w:val="1"/>
          <w:color w:val="auto"/>
        </w:rPr>
        <w:t xml:space="preserve">Stockholders of record </w:t>
      </w:r>
      <w:r>
        <w:rPr>
          <w:rFonts w:ascii="Arial" w:cs="Arial" w:eastAsia="Arial" w:hAnsi="Arial"/>
          <w:sz w:val="14"/>
          <w:szCs w:val="14"/>
          <w:color w:val="auto"/>
        </w:rPr>
        <w:t>will need to use their control number available in their proxy materials to log into www.virtualshareholdermeeting.com/CVX2022.</w:t>
      </w:r>
    </w:p>
    <w:p>
      <w:pPr>
        <w:spacing w:after="0" w:line="122" w:lineRule="exact"/>
        <w:rPr>
          <w:rFonts w:ascii="Arial" w:cs="Arial" w:eastAsia="Arial" w:hAnsi="Arial"/>
          <w:sz w:val="14"/>
          <w:szCs w:val="14"/>
          <w:color w:val="auto"/>
        </w:rPr>
      </w:pPr>
    </w:p>
    <w:p>
      <w:pPr>
        <w:ind w:left="340" w:hanging="224"/>
        <w:spacing w:after="0" w:line="285" w:lineRule="auto"/>
        <w:tabs>
          <w:tab w:leader="none" w:pos="340" w:val="left"/>
        </w:tabs>
        <w:numPr>
          <w:ilvl w:val="0"/>
          <w:numId w:val="159"/>
        </w:numPr>
        <w:rPr>
          <w:rFonts w:ascii="Arial" w:cs="Arial" w:eastAsia="Arial" w:hAnsi="Arial"/>
          <w:sz w:val="14"/>
          <w:szCs w:val="14"/>
          <w:color w:val="auto"/>
        </w:rPr>
      </w:pPr>
      <w:r>
        <w:rPr>
          <w:rFonts w:ascii="Arial" w:cs="Arial" w:eastAsia="Arial" w:hAnsi="Arial"/>
          <w:sz w:val="14"/>
          <w:szCs w:val="14"/>
          <w:b w:val="1"/>
          <w:bCs w:val="1"/>
          <w:color w:val="auto"/>
        </w:rPr>
        <w:t xml:space="preserve">Beneficial stockholders </w:t>
      </w:r>
      <w:r>
        <w:rPr>
          <w:rFonts w:ascii="Arial" w:cs="Arial" w:eastAsia="Arial" w:hAnsi="Arial"/>
          <w:sz w:val="14"/>
          <w:szCs w:val="14"/>
          <w:color w:val="auto"/>
        </w:rPr>
        <w:t>who do not have a control number may access the meeting by logging into their bank or brokerage firm’s website and selecting the stockholder</w:t>
      </w:r>
      <w:r>
        <w:rPr>
          <w:rFonts w:ascii="Arial" w:cs="Arial" w:eastAsia="Arial" w:hAnsi="Arial"/>
          <w:sz w:val="14"/>
          <w:szCs w:val="14"/>
          <w:b w:val="1"/>
          <w:bCs w:val="1"/>
          <w:color w:val="auto"/>
        </w:rPr>
        <w:t xml:space="preserve"> </w:t>
      </w:r>
      <w:r>
        <w:rPr>
          <w:rFonts w:ascii="Arial" w:cs="Arial" w:eastAsia="Arial" w:hAnsi="Arial"/>
          <w:sz w:val="14"/>
          <w:szCs w:val="14"/>
          <w:color w:val="auto"/>
        </w:rPr>
        <w:t>communications mailbox to link through to the annual meeting. Instructions are also available on the voting instruction card provided by the bank or broker.</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See the “Attending the Virtual Annual Meeting–We Encourage Participation” section below for additional information.</w:t>
      </w:r>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0B2D71"/>
        </w:rPr>
        <w:t>Attending the virtual annual meeting</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The Annual Meeting will be held on Wednesday, May 25, 2022, online by live audio webcast. The meeting will begin promptly at 8:00 a.m. PDT.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38322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3832225"/>
                    </a:xfrm>
                    <a:prstGeom prst="rect">
                      <a:avLst/>
                    </a:prstGeom>
                    <a:noFill/>
                  </pic:spPr>
                </pic:pic>
              </a:graphicData>
            </a:graphic>
          </wp:anchor>
        </w:drawing>
      </w:r>
    </w:p>
    <w:p>
      <w:pPr>
        <w:spacing w:after="0" w:line="250"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Important notice regarding admission to the 2022 annual meeting</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Virtual Annual Meeting</w:t>
      </w:r>
    </w:p>
    <w:p>
      <w:pPr>
        <w:spacing w:after="0" w:line="123" w:lineRule="exact"/>
        <w:rPr>
          <w:sz w:val="20"/>
          <w:szCs w:val="20"/>
          <w:color w:val="auto"/>
        </w:rPr>
      </w:pPr>
    </w:p>
    <w:p>
      <w:pPr>
        <w:ind w:left="240" w:right="140"/>
        <w:spacing w:after="0" w:line="253" w:lineRule="auto"/>
        <w:rPr>
          <w:sz w:val="20"/>
          <w:szCs w:val="20"/>
          <w:color w:val="auto"/>
        </w:rPr>
      </w:pPr>
      <w:r>
        <w:rPr>
          <w:rFonts w:ascii="Arial" w:cs="Arial" w:eastAsia="Arial" w:hAnsi="Arial"/>
          <w:sz w:val="14"/>
          <w:szCs w:val="14"/>
          <w:color w:val="auto"/>
        </w:rPr>
        <w:t>We are pleased to announce that the Company will conduct its 2022 Annual Meeting of Stockholders (“Annual Meeting”) on the above date and time solely by live audio webcast in lieu of an in-person meeting. Your Board believes this format will enhance and facilitate attendance by providing convenient access for all of our stockholders with access to the internet. In addition, this meeting format should eliminate public health concerns around the COVID-19 pandemic and the significant costs associated with holding an in-person meeting. We have planned and designed the meeting to encourage stockholder participation, protect stockholder rights, and promote transparency.</w:t>
      </w:r>
    </w:p>
    <w:p>
      <w:pPr>
        <w:spacing w:after="0" w:line="29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We encourage participation</w:t>
      </w:r>
    </w:p>
    <w:p>
      <w:pPr>
        <w:spacing w:after="0" w:line="123" w:lineRule="exact"/>
        <w:rPr>
          <w:sz w:val="20"/>
          <w:szCs w:val="20"/>
          <w:color w:val="auto"/>
        </w:rPr>
      </w:pPr>
    </w:p>
    <w:p>
      <w:pPr>
        <w:ind w:left="240" w:right="60"/>
        <w:spacing w:after="0" w:line="247" w:lineRule="auto"/>
        <w:rPr>
          <w:sz w:val="20"/>
          <w:szCs w:val="20"/>
          <w:color w:val="auto"/>
        </w:rPr>
      </w:pPr>
      <w:r>
        <w:rPr>
          <w:rFonts w:ascii="Arial" w:cs="Arial" w:eastAsia="Arial" w:hAnsi="Arial"/>
          <w:sz w:val="14"/>
          <w:szCs w:val="14"/>
          <w:color w:val="auto"/>
        </w:rPr>
        <w:t>Stockholders of record owning Chevron common stock at the close of business on Monday, March 28, 2022, are entitled to participate in and vote at the Annual Meeting. To participate in the Annual Meeting, including to vote, ask questions, and view the list of registered stockholders as of the record date during the meeting, stockholders should go to the meeting website at www.virtualshareholdermeeting.com/CVX2022, enter the 16-digit control number found on your proxy card, voting instruction form, or Notice Regarding the Availability of Proxy Materials, and follow the instructions on the website. If your voting instruction form or Notice Regarding the Availability of Proxy Materials does not indicate that you may vote those shares through the www.proxyvote.com website and it does not include a 16-digit control number, you should contact your bank, broker, or other nominee (preferably at least five days before the annual meeting) and obtain a “legal proxy” in order to be able to attend, participate in, or vote at the Annual Meeting. The Annual Meeting will be opened for access beginning at 7:45 a.m. PDT on May 25, 2022. Proponents of the stockholder proposals included in this Proxy Statement will be given the option to prerecord or call in live through a dedicated line to ensure their ability to present their proposals.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We welcome questions from stockholders</w:t>
      </w:r>
    </w:p>
    <w:p>
      <w:pPr>
        <w:spacing w:after="0" w:line="123" w:lineRule="exact"/>
        <w:rPr>
          <w:sz w:val="20"/>
          <w:szCs w:val="20"/>
          <w:color w:val="auto"/>
        </w:rPr>
      </w:pPr>
    </w:p>
    <w:p>
      <w:pPr>
        <w:ind w:left="240" w:right="140"/>
        <w:spacing w:after="0" w:line="285" w:lineRule="auto"/>
        <w:rPr>
          <w:sz w:val="20"/>
          <w:szCs w:val="20"/>
          <w:color w:val="auto"/>
        </w:rPr>
      </w:pPr>
      <w:r>
        <w:rPr>
          <w:rFonts w:ascii="Arial" w:cs="Arial" w:eastAsia="Arial" w:hAnsi="Arial"/>
          <w:sz w:val="14"/>
          <w:szCs w:val="14"/>
          <w:color w:val="auto"/>
        </w:rPr>
        <w:t>Questions may be submitted in advance of the meeting at www.proxyvote.com or live during the meeting at www.virtualshareholdermeeting.com/CVX2022. If we are not able to get to every question submitted, we will post a summary of the remaining questions and answers on www.chevron.com/investors/stockholder-services.</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Technical difficulties and additional questions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If you have difficulty accessing the Annual Meeting, please call 844-976-0738 (toll free) or 303-562-9301 (international). Technicians will be available to assist you.</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Please submit any additional questions, comments, or suggestions by email at corpgov@chevron.com or by telephone by calling 1-877-259-1501.</w:t>
      </w:r>
    </w:p>
    <w:p>
      <w:pPr>
        <w:spacing w:after="0" w:line="109" w:lineRule="exact"/>
        <w:rPr>
          <w:sz w:val="20"/>
          <w:szCs w:val="20"/>
          <w:color w:val="auto"/>
        </w:rPr>
      </w:pPr>
    </w:p>
    <w:p>
      <w:pPr>
        <w:ind w:left="240" w:right="280"/>
        <w:spacing w:after="0" w:line="250" w:lineRule="auto"/>
        <w:rPr>
          <w:sz w:val="20"/>
          <w:szCs w:val="20"/>
          <w:color w:val="auto"/>
        </w:rPr>
      </w:pPr>
      <w:r>
        <w:rPr>
          <w:rFonts w:ascii="Arial" w:cs="Arial" w:eastAsia="Arial" w:hAnsi="Arial"/>
          <w:sz w:val="14"/>
          <w:szCs w:val="14"/>
          <w:color w:val="auto"/>
        </w:rPr>
        <w:t>In the event of a technical malfunction or other situation that the meeting Chair determines may affect the ability of the meeting to satisfy the requirements for a stockholder meeting to be held by means of remote communication under the Delaware General Corporation Law, or that otherwise makes it advisable to adjourn the meeting, the Chair will convene the Annual Meeting at 8:30 a.m. PDT on the date specified above at the Company’s headquarters in San Ramon, California, solely for the purpose of adjourning the meeting to reconvene at a date, time, and physical or virtual location announced by the meeting Chair. Under either of the foregoing circumstances, we will post information regarding the announcement on the investor relations page of the Company’s website at www.chevron.com/investors/stockholder-services.</w:t>
      </w:r>
    </w:p>
    <w:p>
      <w:pPr>
        <w:spacing w:after="0" w:line="254"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107</w:t>
      </w:r>
    </w:p>
    <w:p>
      <w:pPr>
        <w:sectPr>
          <w:pgSz w:w="11900" w:h="16838" w:orient="portrait"/>
          <w:cols w:equalWidth="0" w:num="1">
            <w:col w:w="11060"/>
          </w:cols>
          <w:pgMar w:left="320" w:top="455" w:right="51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440" w:right="920"/>
        <w:spacing w:after="0" w:line="262" w:lineRule="auto"/>
        <w:rPr>
          <w:sz w:val="20"/>
          <w:szCs w:val="20"/>
          <w:color w:val="auto"/>
        </w:rPr>
      </w:pPr>
      <w:r>
        <w:rPr>
          <w:rFonts w:ascii="Arial" w:cs="Arial" w:eastAsia="Arial" w:hAnsi="Arial"/>
          <w:sz w:val="65"/>
          <w:szCs w:val="65"/>
          <w:b w:val="1"/>
          <w:bCs w:val="1"/>
          <w:color w:val="0B2D71"/>
        </w:rPr>
        <w:t>2022 LONG-TERM INCENTIVE PLAN OF CHEVRON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(Effective May 25, 2022)</w:t>
      </w:r>
    </w:p>
    <w:p>
      <w:pPr>
        <w:sectPr>
          <w:pgSz w:w="11900" w:h="16838" w:orient="portrait"/>
          <w:cols w:equalWidth="0" w:num="1">
            <w:col w:w="11140"/>
          </w:cols>
          <w:pgMar w:left="320" w:top="455" w:right="4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53149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53149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0B2D71"/>
        </w:rPr>
        <w:t>TABLE OF CONTENTS</w:t>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36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380" w:type="dxa"/>
            <w:vAlign w:val="bottom"/>
            <w:gridSpan w:val="44"/>
          </w:tcPr>
          <w:p>
            <w:pPr>
              <w:spacing w:after="0"/>
              <w:rPr>
                <w:rFonts w:ascii="Arial" w:cs="Arial" w:eastAsia="Arial" w:hAnsi="Arial"/>
                <w:sz w:val="18"/>
                <w:szCs w:val="18"/>
                <w:b w:val="1"/>
                <w:bCs w:val="1"/>
                <w:color w:val="0000EE"/>
              </w:rPr>
            </w:pPr>
            <w:hyperlink w:anchor="page118">
              <w:r>
                <w:rPr>
                  <w:rFonts w:ascii="Arial" w:cs="Arial" w:eastAsia="Arial" w:hAnsi="Arial"/>
                  <w:sz w:val="18"/>
                  <w:szCs w:val="18"/>
                  <w:b w:val="1"/>
                  <w:bCs w:val="1"/>
                  <w:color w:val="0000EE"/>
                </w:rPr>
                <w:t>SECTION I. PURPOSE OF THE PLAN</w:t>
              </w:r>
            </w:hyperlink>
          </w:p>
        </w:tc>
        <w:tc>
          <w:tcPr>
            <w:tcW w:w="1840" w:type="dxa"/>
            <w:vAlign w:val="bottom"/>
          </w:tcPr>
          <w:p>
            <w:pPr>
              <w:jc w:val="right"/>
              <w:spacing w:after="0"/>
              <w:rPr>
                <w:sz w:val="20"/>
                <w:szCs w:val="20"/>
                <w:color w:val="auto"/>
              </w:rPr>
            </w:pPr>
            <w:r>
              <w:rPr>
                <w:rFonts w:ascii="Arial" w:cs="Arial" w:eastAsia="Arial" w:hAnsi="Arial"/>
                <w:sz w:val="18"/>
                <w:szCs w:val="18"/>
                <w:b w:val="1"/>
                <w:bCs w:val="1"/>
                <w:color w:val="0B2D71"/>
              </w:rPr>
              <w:t>A-1</w:t>
            </w:r>
          </w:p>
        </w:tc>
        <w:tc>
          <w:tcPr>
            <w:tcW w:w="0" w:type="dxa"/>
            <w:vAlign w:val="bottom"/>
          </w:tcPr>
          <w:p>
            <w:pPr>
              <w:spacing w:after="0"/>
              <w:rPr>
                <w:sz w:val="1"/>
                <w:szCs w:val="1"/>
                <w:color w:val="auto"/>
              </w:rPr>
            </w:pPr>
          </w:p>
        </w:tc>
      </w:tr>
      <w:tr>
        <w:trPr>
          <w:trHeight w:val="250"/>
        </w:trPr>
        <w:tc>
          <w:tcPr>
            <w:tcW w:w="3120" w:type="dxa"/>
            <w:vAlign w:val="bottom"/>
            <w:tcBorders>
              <w:top w:val="single" w:sz="8" w:color="0000EE"/>
            </w:tcBorders>
            <w:gridSpan w:val="42"/>
          </w:tcPr>
          <w:p>
            <w:pPr>
              <w:spacing w:after="0"/>
              <w:rPr>
                <w:rFonts w:ascii="Arial" w:cs="Arial" w:eastAsia="Arial" w:hAnsi="Arial"/>
                <w:sz w:val="18"/>
                <w:szCs w:val="18"/>
                <w:b w:val="1"/>
                <w:bCs w:val="1"/>
                <w:color w:val="0000EE"/>
              </w:rPr>
            </w:pPr>
            <w:hyperlink w:anchor="page118">
              <w:r>
                <w:rPr>
                  <w:rFonts w:ascii="Arial" w:cs="Arial" w:eastAsia="Arial" w:hAnsi="Arial"/>
                  <w:sz w:val="18"/>
                  <w:szCs w:val="18"/>
                  <w:b w:val="1"/>
                  <w:bCs w:val="1"/>
                  <w:color w:val="0000EE"/>
                </w:rPr>
                <w:t>SECTION II. DEFINITIONS</w:t>
              </w:r>
            </w:hyperlink>
          </w:p>
        </w:tc>
        <w:tc>
          <w:tcPr>
            <w:tcW w:w="260" w:type="dxa"/>
            <w:vAlign w:val="bottom"/>
            <w:gridSpan w:val="2"/>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0B2D71"/>
              </w:rPr>
              <w:t>A-1</w:t>
            </w:r>
          </w:p>
        </w:tc>
        <w:tc>
          <w:tcPr>
            <w:tcW w:w="0" w:type="dxa"/>
            <w:vAlign w:val="bottom"/>
          </w:tcPr>
          <w:p>
            <w:pPr>
              <w:spacing w:after="0"/>
              <w:rPr>
                <w:sz w:val="1"/>
                <w:szCs w:val="1"/>
                <w:color w:val="auto"/>
              </w:rPr>
            </w:pPr>
          </w:p>
        </w:tc>
      </w:tr>
      <w:tr>
        <w:trPr>
          <w:trHeight w:val="169"/>
        </w:trPr>
        <w:tc>
          <w:tcPr>
            <w:tcW w:w="220" w:type="dxa"/>
            <w:vAlign w:val="bottom"/>
            <w:tcBorders>
              <w:top w:val="single" w:sz="8" w:color="0000EE"/>
            </w:tcBorders>
          </w:tcPr>
          <w:p>
            <w:pPr>
              <w:spacing w:after="0"/>
              <w:rPr>
                <w:sz w:val="14"/>
                <w:szCs w:val="14"/>
                <w:color w:val="auto"/>
              </w:rPr>
            </w:pPr>
          </w:p>
        </w:tc>
        <w:tc>
          <w:tcPr>
            <w:tcW w:w="1960" w:type="dxa"/>
            <w:vAlign w:val="bottom"/>
            <w:tcBorders>
              <w:top w:val="single" w:sz="8" w:color="0000EE"/>
            </w:tcBorders>
            <w:gridSpan w:val="30"/>
          </w:tcPr>
          <w:p>
            <w:pPr>
              <w:spacing w:after="0" w:line="169" w:lineRule="exact"/>
              <w:rPr>
                <w:rFonts w:ascii="Arial" w:cs="Arial" w:eastAsia="Arial" w:hAnsi="Arial"/>
                <w:sz w:val="16"/>
                <w:szCs w:val="16"/>
                <w:color w:val="0000EE"/>
              </w:rPr>
            </w:pPr>
            <w:hyperlink w:anchor="page118">
              <w:r>
                <w:rPr>
                  <w:rFonts w:ascii="Arial" w:cs="Arial" w:eastAsia="Arial" w:hAnsi="Arial"/>
                  <w:sz w:val="16"/>
                  <w:szCs w:val="16"/>
                  <w:color w:val="0000EE"/>
                </w:rPr>
                <w:t>(a) “Award”</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A-1</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800" w:type="dxa"/>
            <w:vAlign w:val="bottom"/>
            <w:tcBorders>
              <w:top w:val="single" w:sz="8" w:color="0000EE"/>
            </w:tcBorders>
            <w:gridSpan w:val="4"/>
          </w:tcPr>
          <w:p>
            <w:pPr>
              <w:spacing w:after="0" w:line="169" w:lineRule="exact"/>
              <w:rPr>
                <w:rFonts w:ascii="Arial" w:cs="Arial" w:eastAsia="Arial" w:hAnsi="Arial"/>
                <w:sz w:val="16"/>
                <w:szCs w:val="16"/>
                <w:color w:val="0000EE"/>
                <w:w w:val="98"/>
              </w:rPr>
            </w:pPr>
            <w:hyperlink w:anchor="page118">
              <w:r>
                <w:rPr>
                  <w:rFonts w:ascii="Arial" w:cs="Arial" w:eastAsia="Arial" w:hAnsi="Arial"/>
                  <w:sz w:val="16"/>
                  <w:szCs w:val="16"/>
                  <w:color w:val="0000EE"/>
                  <w:w w:val="98"/>
                </w:rPr>
                <w:t>(b) “Benefit</w:t>
              </w:r>
            </w:hyperlink>
          </w:p>
        </w:tc>
        <w:tc>
          <w:tcPr>
            <w:tcW w:w="2360" w:type="dxa"/>
            <w:vAlign w:val="bottom"/>
            <w:gridSpan w:val="39"/>
          </w:tcPr>
          <w:p>
            <w:pPr>
              <w:ind w:left="40"/>
              <w:spacing w:after="0" w:line="169" w:lineRule="exact"/>
              <w:rPr>
                <w:rFonts w:ascii="Arial" w:cs="Arial" w:eastAsia="Arial" w:hAnsi="Arial"/>
                <w:sz w:val="16"/>
                <w:szCs w:val="16"/>
                <w:color w:val="0000EE"/>
              </w:rPr>
            </w:pPr>
            <w:hyperlink w:anchor="page118">
              <w:r>
                <w:rPr>
                  <w:rFonts w:ascii="Arial" w:cs="Arial" w:eastAsia="Arial" w:hAnsi="Arial"/>
                  <w:sz w:val="16"/>
                  <w:szCs w:val="16"/>
                  <w:color w:val="0000EE"/>
                </w:rPr>
                <w:t>Protection Period”</w:t>
              </w:r>
            </w:hyperlink>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A-1</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78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w w:val="99"/>
              </w:rPr>
            </w:pPr>
            <w:hyperlink w:anchor="page118">
              <w:r>
                <w:rPr>
                  <w:rFonts w:ascii="Arial" w:cs="Arial" w:eastAsia="Arial" w:hAnsi="Arial"/>
                  <w:sz w:val="16"/>
                  <w:szCs w:val="16"/>
                  <w:color w:val="0000EE"/>
                  <w:w w:val="99"/>
                </w:rPr>
                <w:t>(c) “Board”</w:t>
              </w:r>
            </w:hyperlink>
          </w:p>
        </w:tc>
        <w:tc>
          <w:tcPr>
            <w:tcW w:w="1360" w:type="dxa"/>
            <w:vAlign w:val="bottom"/>
            <w:tcBorders>
              <w:top w:val="single" w:sz="8" w:color="0000EE"/>
            </w:tcBorders>
            <w:gridSpan w:val="3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A-1</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3160" w:type="dxa"/>
            <w:vAlign w:val="bottom"/>
            <w:gridSpan w:val="43"/>
          </w:tcPr>
          <w:p>
            <w:pPr>
              <w:spacing w:after="0" w:line="169" w:lineRule="exact"/>
              <w:rPr>
                <w:rFonts w:ascii="Arial" w:cs="Arial" w:eastAsia="Arial" w:hAnsi="Arial"/>
                <w:sz w:val="16"/>
                <w:szCs w:val="16"/>
                <w:color w:val="0000EE"/>
              </w:rPr>
            </w:pPr>
            <w:hyperlink w:anchor="page118">
              <w:r>
                <w:rPr>
                  <w:rFonts w:ascii="Arial" w:cs="Arial" w:eastAsia="Arial" w:hAnsi="Arial"/>
                  <w:sz w:val="16"/>
                  <w:szCs w:val="16"/>
                  <w:color w:val="0000EE"/>
                </w:rPr>
                <w:t>(d) “Business in Competition”</w:t>
              </w:r>
            </w:hyperlink>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A-1</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2080" w:type="dxa"/>
            <w:vAlign w:val="bottom"/>
            <w:tcBorders>
              <w:top w:val="single" w:sz="8" w:color="0000EE"/>
            </w:tcBorders>
            <w:gridSpan w:val="33"/>
          </w:tcPr>
          <w:p>
            <w:pPr>
              <w:spacing w:after="0" w:line="169" w:lineRule="exact"/>
              <w:rPr>
                <w:rFonts w:ascii="Arial" w:cs="Arial" w:eastAsia="Arial" w:hAnsi="Arial"/>
                <w:sz w:val="16"/>
                <w:szCs w:val="16"/>
                <w:color w:val="0000EE"/>
              </w:rPr>
            </w:pPr>
            <w:hyperlink w:anchor="page118">
              <w:r>
                <w:rPr>
                  <w:rFonts w:ascii="Arial" w:cs="Arial" w:eastAsia="Arial" w:hAnsi="Arial"/>
                  <w:sz w:val="16"/>
                  <w:szCs w:val="16"/>
                  <w:color w:val="0000EE"/>
                </w:rPr>
                <w:t>(e) “Change in Control”</w:t>
              </w:r>
            </w:hyperlink>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A-1</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640" w:type="dxa"/>
            <w:vAlign w:val="bottom"/>
            <w:tcBorders>
              <w:top w:val="single" w:sz="8" w:color="0000EE"/>
            </w:tcBorders>
            <w:gridSpan w:val="22"/>
          </w:tcPr>
          <w:p>
            <w:pPr>
              <w:spacing w:after="0" w:line="169" w:lineRule="exact"/>
              <w:rPr>
                <w:rFonts w:ascii="Arial" w:cs="Arial" w:eastAsia="Arial" w:hAnsi="Arial"/>
                <w:sz w:val="16"/>
                <w:szCs w:val="16"/>
                <w:color w:val="0000EE"/>
              </w:rPr>
            </w:pPr>
            <w:hyperlink w:anchor="page118">
              <w:r>
                <w:rPr>
                  <w:rFonts w:ascii="Arial" w:cs="Arial" w:eastAsia="Arial" w:hAnsi="Arial"/>
                  <w:sz w:val="16"/>
                  <w:szCs w:val="16"/>
                  <w:color w:val="0000EE"/>
                </w:rPr>
                <w:t>(f) “Code”</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vMerge w:val="restart"/>
          </w:tcPr>
          <w:p>
            <w:pPr>
              <w:jc w:val="right"/>
              <w:spacing w:after="0"/>
              <w:rPr>
                <w:sz w:val="20"/>
                <w:szCs w:val="20"/>
                <w:color w:val="auto"/>
              </w:rPr>
            </w:pPr>
            <w:r>
              <w:rPr>
                <w:rFonts w:ascii="Arial" w:cs="Arial" w:eastAsia="Arial" w:hAnsi="Arial"/>
                <w:sz w:val="16"/>
                <w:szCs w:val="16"/>
                <w:color w:val="auto"/>
              </w:rPr>
              <w:t>A-1</w:t>
            </w:r>
          </w:p>
        </w:tc>
        <w:tc>
          <w:tcPr>
            <w:tcW w:w="0" w:type="dxa"/>
            <w:vAlign w:val="bottom"/>
          </w:tcPr>
          <w:p>
            <w:pPr>
              <w:spacing w:after="0" w:line="20" w:lineRule="exact"/>
              <w:rPr>
                <w:sz w:val="1"/>
                <w:szCs w:val="1"/>
                <w:color w:val="auto"/>
              </w:rPr>
            </w:pPr>
          </w:p>
        </w:tc>
      </w:tr>
      <w:tr>
        <w:trPr>
          <w:trHeight w:val="169"/>
        </w:trPr>
        <w:tc>
          <w:tcPr>
            <w:tcW w:w="220" w:type="dxa"/>
            <w:vAlign w:val="bottom"/>
          </w:tcPr>
          <w:p>
            <w:pPr>
              <w:spacing w:after="0"/>
              <w:rPr>
                <w:sz w:val="14"/>
                <w:szCs w:val="14"/>
                <w:color w:val="auto"/>
              </w:rPr>
            </w:pPr>
          </w:p>
        </w:tc>
        <w:tc>
          <w:tcPr>
            <w:tcW w:w="3160" w:type="dxa"/>
            <w:vAlign w:val="bottom"/>
            <w:gridSpan w:val="43"/>
          </w:tcPr>
          <w:p>
            <w:pPr>
              <w:spacing w:after="0" w:line="169" w:lineRule="exact"/>
              <w:rPr>
                <w:rFonts w:ascii="Arial" w:cs="Arial" w:eastAsia="Arial" w:hAnsi="Arial"/>
                <w:sz w:val="16"/>
                <w:szCs w:val="16"/>
                <w:color w:val="0000EE"/>
              </w:rPr>
            </w:pPr>
            <w:hyperlink w:anchor="page118">
              <w:r>
                <w:rPr>
                  <w:rFonts w:ascii="Arial" w:cs="Arial" w:eastAsia="Arial" w:hAnsi="Arial"/>
                  <w:sz w:val="16"/>
                  <w:szCs w:val="16"/>
                  <w:color w:val="0000EE"/>
                </w:rPr>
                <w:t>(g) “Commission”</w:t>
              </w:r>
            </w:hyperlink>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240" w:type="dxa"/>
            <w:vAlign w:val="bottom"/>
            <w:tcBorders>
              <w:top w:val="single" w:sz="8" w:color="0000EE"/>
            </w:tcBorders>
            <w:gridSpan w:val="15"/>
          </w:tcPr>
          <w:p>
            <w:pPr>
              <w:spacing w:after="0" w:line="169" w:lineRule="exact"/>
              <w:rPr>
                <w:rFonts w:ascii="Arial" w:cs="Arial" w:eastAsia="Arial" w:hAnsi="Arial"/>
                <w:sz w:val="16"/>
                <w:szCs w:val="16"/>
                <w:color w:val="0000EE"/>
              </w:rPr>
            </w:pPr>
            <w:hyperlink w:anchor="page118">
              <w:r>
                <w:rPr>
                  <w:rFonts w:ascii="Arial" w:cs="Arial" w:eastAsia="Arial" w:hAnsi="Arial"/>
                  <w:sz w:val="16"/>
                  <w:szCs w:val="16"/>
                  <w:color w:val="0000EE"/>
                </w:rPr>
                <w:t>(h) “Committee”</w:t>
              </w:r>
            </w:hyperlink>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vMerge w:val="restart"/>
          </w:tcPr>
          <w:p>
            <w:pPr>
              <w:jc w:val="right"/>
              <w:spacing w:after="0"/>
              <w:rPr>
                <w:sz w:val="20"/>
                <w:szCs w:val="20"/>
                <w:color w:val="auto"/>
              </w:rPr>
            </w:pPr>
            <w:r>
              <w:rPr>
                <w:rFonts w:ascii="Arial" w:cs="Arial" w:eastAsia="Arial" w:hAnsi="Arial"/>
                <w:sz w:val="16"/>
                <w:szCs w:val="16"/>
                <w:color w:val="auto"/>
              </w:rPr>
              <w:t>A-1</w:t>
            </w:r>
          </w:p>
        </w:tc>
        <w:tc>
          <w:tcPr>
            <w:tcW w:w="0" w:type="dxa"/>
            <w:vAlign w:val="bottom"/>
          </w:tcPr>
          <w:p>
            <w:pPr>
              <w:spacing w:after="0" w:line="20" w:lineRule="exact"/>
              <w:rPr>
                <w:sz w:val="1"/>
                <w:szCs w:val="1"/>
                <w:color w:val="auto"/>
              </w:rPr>
            </w:pPr>
          </w:p>
        </w:tc>
      </w:tr>
      <w:tr>
        <w:trPr>
          <w:trHeight w:val="169"/>
        </w:trPr>
        <w:tc>
          <w:tcPr>
            <w:tcW w:w="220" w:type="dxa"/>
            <w:vAlign w:val="bottom"/>
          </w:tcPr>
          <w:p>
            <w:pPr>
              <w:spacing w:after="0"/>
              <w:rPr>
                <w:sz w:val="14"/>
                <w:szCs w:val="14"/>
                <w:color w:val="auto"/>
              </w:rPr>
            </w:pPr>
          </w:p>
        </w:tc>
        <w:tc>
          <w:tcPr>
            <w:tcW w:w="3160" w:type="dxa"/>
            <w:vAlign w:val="bottom"/>
            <w:gridSpan w:val="43"/>
          </w:tcPr>
          <w:p>
            <w:pPr>
              <w:spacing w:after="0" w:line="169" w:lineRule="exact"/>
              <w:rPr>
                <w:rFonts w:ascii="Arial" w:cs="Arial" w:eastAsia="Arial" w:hAnsi="Arial"/>
                <w:sz w:val="16"/>
                <w:szCs w:val="16"/>
                <w:color w:val="0000EE"/>
              </w:rPr>
            </w:pPr>
            <w:hyperlink w:anchor="page118">
              <w:r>
                <w:rPr>
                  <w:rFonts w:ascii="Arial" w:cs="Arial" w:eastAsia="Arial" w:hAnsi="Arial"/>
                  <w:sz w:val="16"/>
                  <w:szCs w:val="16"/>
                  <w:color w:val="0000EE"/>
                </w:rPr>
                <w:t>(i) “Common Stock”</w:t>
              </w:r>
            </w:hyperlink>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400" w:type="dxa"/>
            <w:vAlign w:val="bottom"/>
            <w:tcBorders>
              <w:top w:val="single" w:sz="8" w:color="0000EE"/>
            </w:tcBorders>
            <w:gridSpan w:val="17"/>
          </w:tcPr>
          <w:p>
            <w:pPr>
              <w:spacing w:after="0" w:line="169" w:lineRule="exact"/>
              <w:rPr>
                <w:rFonts w:ascii="Arial" w:cs="Arial" w:eastAsia="Arial" w:hAnsi="Arial"/>
                <w:sz w:val="16"/>
                <w:szCs w:val="16"/>
                <w:color w:val="0000EE"/>
              </w:rPr>
            </w:pPr>
            <w:hyperlink w:anchor="page118">
              <w:r>
                <w:rPr>
                  <w:rFonts w:ascii="Arial" w:cs="Arial" w:eastAsia="Arial" w:hAnsi="Arial"/>
                  <w:sz w:val="16"/>
                  <w:szCs w:val="16"/>
                  <w:color w:val="0000EE"/>
                </w:rPr>
                <w:t>(j) “Corporation”</w:t>
              </w:r>
            </w:hyperlink>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A-1</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140" w:type="dxa"/>
            <w:vAlign w:val="bottom"/>
            <w:tcBorders>
              <w:top w:val="single" w:sz="8" w:color="0000EE"/>
            </w:tcBorders>
            <w:gridSpan w:val="11"/>
          </w:tcPr>
          <w:p>
            <w:pPr>
              <w:spacing w:after="0" w:line="169" w:lineRule="exact"/>
              <w:rPr>
                <w:rFonts w:ascii="Arial" w:cs="Arial" w:eastAsia="Arial" w:hAnsi="Arial"/>
                <w:sz w:val="16"/>
                <w:szCs w:val="16"/>
                <w:color w:val="0000EE"/>
                <w:w w:val="99"/>
              </w:rPr>
            </w:pPr>
            <w:hyperlink w:anchor="page118">
              <w:r>
                <w:rPr>
                  <w:rFonts w:ascii="Arial" w:cs="Arial" w:eastAsia="Arial" w:hAnsi="Arial"/>
                  <w:sz w:val="16"/>
                  <w:szCs w:val="16"/>
                  <w:color w:val="0000EE"/>
                  <w:w w:val="99"/>
                </w:rPr>
                <w:t>(k) “Corporation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30"/>
          </w:tcPr>
          <w:p>
            <w:pPr>
              <w:spacing w:after="0" w:line="169" w:lineRule="exact"/>
              <w:rPr>
                <w:rFonts w:ascii="Arial" w:cs="Arial" w:eastAsia="Arial" w:hAnsi="Arial"/>
                <w:sz w:val="16"/>
                <w:szCs w:val="16"/>
                <w:color w:val="0000EE"/>
              </w:rPr>
            </w:pPr>
            <w:hyperlink w:anchor="page118">
              <w:r>
                <w:rPr>
                  <w:rFonts w:ascii="Arial" w:cs="Arial" w:eastAsia="Arial" w:hAnsi="Arial"/>
                  <w:sz w:val="16"/>
                  <w:szCs w:val="16"/>
                  <w:color w:val="0000EE"/>
                </w:rPr>
                <w:t>Confidential Information”</w:t>
              </w:r>
            </w:hyperlink>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A-1</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2940" w:type="dxa"/>
            <w:vAlign w:val="bottom"/>
            <w:tcBorders>
              <w:top w:val="single" w:sz="8" w:color="0000EE"/>
            </w:tcBorders>
            <w:gridSpan w:val="42"/>
          </w:tcPr>
          <w:p>
            <w:pPr>
              <w:spacing w:after="0" w:line="169" w:lineRule="exact"/>
              <w:rPr>
                <w:rFonts w:ascii="Arial" w:cs="Arial" w:eastAsia="Arial" w:hAnsi="Arial"/>
                <w:sz w:val="16"/>
                <w:szCs w:val="16"/>
                <w:color w:val="0000EE"/>
              </w:rPr>
            </w:pPr>
            <w:hyperlink w:anchor="page119">
              <w:r>
                <w:rPr>
                  <w:rFonts w:ascii="Arial" w:cs="Arial" w:eastAsia="Arial" w:hAnsi="Arial"/>
                  <w:sz w:val="16"/>
                  <w:szCs w:val="16"/>
                  <w:color w:val="0000EE"/>
                </w:rPr>
                <w:t>(l) “Director”</w:t>
              </w:r>
            </w:hyperlink>
          </w:p>
        </w:tc>
        <w:tc>
          <w:tcPr>
            <w:tcW w:w="220" w:type="dxa"/>
            <w:vAlign w:val="bottom"/>
          </w:tcPr>
          <w:p>
            <w:pPr>
              <w:spacing w:after="0"/>
              <w:rPr>
                <w:sz w:val="14"/>
                <w:szCs w:val="14"/>
                <w:color w:val="auto"/>
              </w:rPr>
            </w:pPr>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A-2</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860" w:type="dxa"/>
            <w:vAlign w:val="bottom"/>
            <w:tcBorders>
              <w:top w:val="single" w:sz="8" w:color="0000EE"/>
            </w:tcBorders>
            <w:gridSpan w:val="6"/>
          </w:tcPr>
          <w:p>
            <w:pPr>
              <w:spacing w:after="0" w:line="169" w:lineRule="exact"/>
              <w:rPr>
                <w:rFonts w:ascii="Arial" w:cs="Arial" w:eastAsia="Arial" w:hAnsi="Arial"/>
                <w:sz w:val="16"/>
                <w:szCs w:val="16"/>
                <w:color w:val="0000EE"/>
                <w:w w:val="87"/>
              </w:rPr>
            </w:pPr>
            <w:hyperlink w:anchor="page119">
              <w:r>
                <w:rPr>
                  <w:rFonts w:ascii="Arial" w:cs="Arial" w:eastAsia="Arial" w:hAnsi="Arial"/>
                  <w:sz w:val="16"/>
                  <w:szCs w:val="16"/>
                  <w:color w:val="0000EE"/>
                  <w:w w:val="87"/>
                </w:rPr>
                <w:t>(m) “Dividend</w:t>
              </w:r>
            </w:hyperlink>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35"/>
          </w:tcPr>
          <w:p>
            <w:pPr>
              <w:spacing w:after="0" w:line="169" w:lineRule="exact"/>
              <w:rPr>
                <w:rFonts w:ascii="Arial" w:cs="Arial" w:eastAsia="Arial" w:hAnsi="Arial"/>
                <w:sz w:val="16"/>
                <w:szCs w:val="16"/>
                <w:color w:val="0000EE"/>
              </w:rPr>
            </w:pPr>
            <w:hyperlink w:anchor="page119">
              <w:r>
                <w:rPr>
                  <w:rFonts w:ascii="Arial" w:cs="Arial" w:eastAsia="Arial" w:hAnsi="Arial"/>
                  <w:sz w:val="16"/>
                  <w:szCs w:val="16"/>
                  <w:color w:val="0000EE"/>
                </w:rPr>
                <w:t>Equivalent”</w:t>
              </w:r>
            </w:hyperlink>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A-2</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080" w:type="dxa"/>
            <w:vAlign w:val="bottom"/>
            <w:tcBorders>
              <w:top w:val="single" w:sz="8" w:color="0000EE"/>
              <w:bottom w:val="single" w:sz="8" w:color="0000EE"/>
            </w:tcBorders>
            <w:gridSpan w:val="9"/>
          </w:tcPr>
          <w:p>
            <w:pPr>
              <w:spacing w:after="0" w:line="169" w:lineRule="exact"/>
              <w:rPr>
                <w:rFonts w:ascii="Arial" w:cs="Arial" w:eastAsia="Arial" w:hAnsi="Arial"/>
                <w:sz w:val="16"/>
                <w:szCs w:val="16"/>
                <w:color w:val="0000EE"/>
                <w:w w:val="98"/>
              </w:rPr>
            </w:pPr>
            <w:hyperlink w:anchor="page119">
              <w:r>
                <w:rPr>
                  <w:rFonts w:ascii="Arial" w:cs="Arial" w:eastAsia="Arial" w:hAnsi="Arial"/>
                  <w:sz w:val="16"/>
                  <w:szCs w:val="16"/>
                  <w:color w:val="0000EE"/>
                  <w:w w:val="98"/>
                </w:rPr>
                <w:t>(n) “Document”</w:t>
              </w:r>
            </w:hyperlink>
          </w:p>
        </w:tc>
        <w:tc>
          <w:tcPr>
            <w:tcW w:w="740" w:type="dxa"/>
            <w:vAlign w:val="bottom"/>
            <w:tcBorders>
              <w:top w:val="single" w:sz="8" w:color="0000EE"/>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3"/>
          </w:tcPr>
          <w:p>
            <w:pPr>
              <w:spacing w:after="0"/>
              <w:rPr>
                <w:sz w:val="14"/>
                <w:szCs w:val="14"/>
                <w:color w:val="auto"/>
              </w:rPr>
            </w:pPr>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A-2</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3160" w:type="dxa"/>
            <w:vAlign w:val="bottom"/>
            <w:gridSpan w:val="43"/>
          </w:tcPr>
          <w:p>
            <w:pPr>
              <w:spacing w:after="0" w:line="169" w:lineRule="exact"/>
              <w:rPr>
                <w:rFonts w:ascii="Arial" w:cs="Arial" w:eastAsia="Arial" w:hAnsi="Arial"/>
                <w:sz w:val="16"/>
                <w:szCs w:val="16"/>
                <w:color w:val="0000EE"/>
              </w:rPr>
            </w:pPr>
            <w:hyperlink w:anchor="page119">
              <w:r>
                <w:rPr>
                  <w:rFonts w:ascii="Arial" w:cs="Arial" w:eastAsia="Arial" w:hAnsi="Arial"/>
                  <w:sz w:val="16"/>
                  <w:szCs w:val="16"/>
                  <w:color w:val="0000EE"/>
                </w:rPr>
                <w:t>(o) “Eligible Employee”</w:t>
              </w:r>
            </w:hyperlink>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A-2</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620" w:type="dxa"/>
            <w:vAlign w:val="bottom"/>
            <w:tcBorders>
              <w:top w:val="single" w:sz="8" w:color="0000EE"/>
            </w:tcBorders>
            <w:gridSpan w:val="21"/>
          </w:tcPr>
          <w:p>
            <w:pPr>
              <w:spacing w:after="0" w:line="169" w:lineRule="exact"/>
              <w:rPr>
                <w:rFonts w:ascii="Arial" w:cs="Arial" w:eastAsia="Arial" w:hAnsi="Arial"/>
                <w:sz w:val="16"/>
                <w:szCs w:val="16"/>
                <w:color w:val="0000EE"/>
              </w:rPr>
            </w:pPr>
            <w:hyperlink w:anchor="page119">
              <w:r>
                <w:rPr>
                  <w:rFonts w:ascii="Arial" w:cs="Arial" w:eastAsia="Arial" w:hAnsi="Arial"/>
                  <w:sz w:val="16"/>
                  <w:szCs w:val="16"/>
                  <w:color w:val="0000EE"/>
                </w:rPr>
                <w:t>(p) “Exchange Act”</w:t>
              </w:r>
            </w:hyperlink>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3"/>
          </w:tcPr>
          <w:p>
            <w:pPr>
              <w:spacing w:after="0"/>
              <w:rPr>
                <w:sz w:val="14"/>
                <w:szCs w:val="14"/>
                <w:color w:val="auto"/>
              </w:rPr>
            </w:pPr>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840" w:type="dxa"/>
            <w:vAlign w:val="bottom"/>
            <w:vMerge w:val="restart"/>
          </w:tcPr>
          <w:p>
            <w:pPr>
              <w:jc w:val="right"/>
              <w:spacing w:after="0"/>
              <w:rPr>
                <w:sz w:val="20"/>
                <w:szCs w:val="20"/>
                <w:color w:val="auto"/>
              </w:rPr>
            </w:pPr>
            <w:r>
              <w:rPr>
                <w:rFonts w:ascii="Arial" w:cs="Arial" w:eastAsia="Arial" w:hAnsi="Arial"/>
                <w:sz w:val="16"/>
                <w:szCs w:val="16"/>
                <w:color w:val="auto"/>
              </w:rPr>
              <w:t>A-2</w:t>
            </w:r>
          </w:p>
        </w:tc>
        <w:tc>
          <w:tcPr>
            <w:tcW w:w="0" w:type="dxa"/>
            <w:vAlign w:val="bottom"/>
          </w:tcPr>
          <w:p>
            <w:pPr>
              <w:spacing w:after="0" w:line="20" w:lineRule="exact"/>
              <w:rPr>
                <w:sz w:val="1"/>
                <w:szCs w:val="1"/>
                <w:color w:val="auto"/>
              </w:rPr>
            </w:pPr>
          </w:p>
        </w:tc>
      </w:tr>
      <w:tr>
        <w:trPr>
          <w:trHeight w:val="169"/>
        </w:trPr>
        <w:tc>
          <w:tcPr>
            <w:tcW w:w="220" w:type="dxa"/>
            <w:vAlign w:val="bottom"/>
          </w:tcPr>
          <w:p>
            <w:pPr>
              <w:spacing w:after="0"/>
              <w:rPr>
                <w:sz w:val="14"/>
                <w:szCs w:val="14"/>
                <w:color w:val="auto"/>
              </w:rPr>
            </w:pPr>
          </w:p>
        </w:tc>
        <w:tc>
          <w:tcPr>
            <w:tcW w:w="3160" w:type="dxa"/>
            <w:vAlign w:val="bottom"/>
            <w:gridSpan w:val="43"/>
          </w:tcPr>
          <w:p>
            <w:pPr>
              <w:spacing w:after="0" w:line="169" w:lineRule="exact"/>
              <w:rPr>
                <w:rFonts w:ascii="Arial" w:cs="Arial" w:eastAsia="Arial" w:hAnsi="Arial"/>
                <w:sz w:val="16"/>
                <w:szCs w:val="16"/>
                <w:color w:val="0000EE"/>
              </w:rPr>
            </w:pPr>
            <w:hyperlink w:anchor="page119">
              <w:r>
                <w:rPr>
                  <w:rFonts w:ascii="Arial" w:cs="Arial" w:eastAsia="Arial" w:hAnsi="Arial"/>
                  <w:sz w:val="16"/>
                  <w:szCs w:val="16"/>
                  <w:color w:val="0000EE"/>
                </w:rPr>
                <w:t>(q) “Exchange Program”</w:t>
              </w:r>
            </w:hyperlink>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720" w:type="dxa"/>
            <w:vAlign w:val="bottom"/>
            <w:tcBorders>
              <w:top w:val="single" w:sz="8" w:color="0000EE"/>
            </w:tcBorders>
            <w:gridSpan w:val="23"/>
          </w:tcPr>
          <w:p>
            <w:pPr>
              <w:spacing w:after="0" w:line="169" w:lineRule="exact"/>
              <w:rPr>
                <w:rFonts w:ascii="Arial" w:cs="Arial" w:eastAsia="Arial" w:hAnsi="Arial"/>
                <w:sz w:val="16"/>
                <w:szCs w:val="16"/>
                <w:color w:val="0000EE"/>
              </w:rPr>
            </w:pPr>
            <w:hyperlink w:anchor="page119">
              <w:r>
                <w:rPr>
                  <w:rFonts w:ascii="Arial" w:cs="Arial" w:eastAsia="Arial" w:hAnsi="Arial"/>
                  <w:sz w:val="16"/>
                  <w:szCs w:val="16"/>
                  <w:color w:val="0000EE"/>
                </w:rPr>
                <w:t>(r) “Fair Market Value”</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3"/>
          </w:tcPr>
          <w:p>
            <w:pPr>
              <w:spacing w:after="0"/>
              <w:rPr>
                <w:sz w:val="14"/>
                <w:szCs w:val="14"/>
                <w:color w:val="auto"/>
              </w:rPr>
            </w:pPr>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A-2</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580" w:type="dxa"/>
            <w:vAlign w:val="bottom"/>
            <w:tcBorders>
              <w:top w:val="single" w:sz="8" w:color="0000EE"/>
            </w:tcBorders>
            <w:gridSpan w:val="19"/>
          </w:tcPr>
          <w:p>
            <w:pPr>
              <w:spacing w:after="0" w:line="169" w:lineRule="exact"/>
              <w:rPr>
                <w:rFonts w:ascii="Arial" w:cs="Arial" w:eastAsia="Arial" w:hAnsi="Arial"/>
                <w:sz w:val="16"/>
                <w:szCs w:val="16"/>
                <w:color w:val="0000EE"/>
              </w:rPr>
            </w:pPr>
            <w:hyperlink w:anchor="page119">
              <w:r>
                <w:rPr>
                  <w:rFonts w:ascii="Arial" w:cs="Arial" w:eastAsia="Arial" w:hAnsi="Arial"/>
                  <w:sz w:val="16"/>
                  <w:szCs w:val="16"/>
                  <w:color w:val="0000EE"/>
                </w:rPr>
                <w:t>(s) “Full Value Award”</w:t>
              </w:r>
            </w:hyperlink>
          </w:p>
        </w:tc>
        <w:tc>
          <w:tcPr>
            <w:tcW w:w="20" w:type="dxa"/>
            <w:vAlign w:val="bottom"/>
          </w:tcPr>
          <w:p>
            <w:pPr>
              <w:spacing w:after="0"/>
              <w:rPr>
                <w:sz w:val="14"/>
                <w:szCs w:val="14"/>
                <w:color w:val="auto"/>
              </w:rPr>
            </w:pPr>
          </w:p>
        </w:tc>
        <w:tc>
          <w:tcPr>
            <w:tcW w:w="140" w:type="dxa"/>
            <w:vAlign w:val="bottom"/>
            <w:gridSpan w:val="4"/>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3"/>
          </w:tcPr>
          <w:p>
            <w:pPr>
              <w:spacing w:after="0"/>
              <w:rPr>
                <w:sz w:val="14"/>
                <w:szCs w:val="14"/>
                <w:color w:val="auto"/>
              </w:rPr>
            </w:pPr>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840" w:type="dxa"/>
            <w:vAlign w:val="bottom"/>
            <w:vMerge w:val="restart"/>
          </w:tcPr>
          <w:p>
            <w:pPr>
              <w:jc w:val="right"/>
              <w:spacing w:after="0"/>
              <w:rPr>
                <w:sz w:val="20"/>
                <w:szCs w:val="20"/>
                <w:color w:val="auto"/>
              </w:rPr>
            </w:pPr>
            <w:r>
              <w:rPr>
                <w:rFonts w:ascii="Arial" w:cs="Arial" w:eastAsia="Arial" w:hAnsi="Arial"/>
                <w:sz w:val="16"/>
                <w:szCs w:val="16"/>
                <w:color w:val="auto"/>
              </w:rPr>
              <w:t>A-2</w:t>
            </w:r>
          </w:p>
        </w:tc>
        <w:tc>
          <w:tcPr>
            <w:tcW w:w="0" w:type="dxa"/>
            <w:vAlign w:val="bottom"/>
          </w:tcPr>
          <w:p>
            <w:pPr>
              <w:spacing w:after="0" w:line="20" w:lineRule="exact"/>
              <w:rPr>
                <w:sz w:val="1"/>
                <w:szCs w:val="1"/>
                <w:color w:val="auto"/>
              </w:rPr>
            </w:pPr>
          </w:p>
        </w:tc>
      </w:tr>
      <w:tr>
        <w:trPr>
          <w:trHeight w:val="169"/>
        </w:trPr>
        <w:tc>
          <w:tcPr>
            <w:tcW w:w="220" w:type="dxa"/>
            <w:vAlign w:val="bottom"/>
          </w:tcPr>
          <w:p>
            <w:pPr>
              <w:spacing w:after="0"/>
              <w:rPr>
                <w:sz w:val="14"/>
                <w:szCs w:val="14"/>
                <w:color w:val="auto"/>
              </w:rPr>
            </w:pPr>
          </w:p>
        </w:tc>
        <w:tc>
          <w:tcPr>
            <w:tcW w:w="3160" w:type="dxa"/>
            <w:vAlign w:val="bottom"/>
            <w:gridSpan w:val="43"/>
          </w:tcPr>
          <w:p>
            <w:pPr>
              <w:spacing w:after="0" w:line="169" w:lineRule="exact"/>
              <w:rPr>
                <w:rFonts w:ascii="Arial" w:cs="Arial" w:eastAsia="Arial" w:hAnsi="Arial"/>
                <w:sz w:val="16"/>
                <w:szCs w:val="16"/>
                <w:color w:val="0000EE"/>
              </w:rPr>
            </w:pPr>
            <w:hyperlink w:anchor="page119">
              <w:r>
                <w:rPr>
                  <w:rFonts w:ascii="Arial" w:cs="Arial" w:eastAsia="Arial" w:hAnsi="Arial"/>
                  <w:sz w:val="16"/>
                  <w:szCs w:val="16"/>
                  <w:color w:val="0000EE"/>
                </w:rPr>
                <w:t>(t) “Grant Eligible Employee”</w:t>
              </w:r>
            </w:hyperlink>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2040" w:type="dxa"/>
            <w:vAlign w:val="bottom"/>
            <w:tcBorders>
              <w:top w:val="single" w:sz="8" w:color="0000EE"/>
            </w:tcBorders>
            <w:gridSpan w:val="31"/>
          </w:tcPr>
          <w:p>
            <w:pPr>
              <w:spacing w:after="0" w:line="169" w:lineRule="exact"/>
              <w:rPr>
                <w:rFonts w:ascii="Arial" w:cs="Arial" w:eastAsia="Arial" w:hAnsi="Arial"/>
                <w:sz w:val="16"/>
                <w:szCs w:val="16"/>
                <w:color w:val="0000EE"/>
              </w:rPr>
            </w:pPr>
            <w:hyperlink w:anchor="page119">
              <w:r>
                <w:rPr>
                  <w:rFonts w:ascii="Arial" w:cs="Arial" w:eastAsia="Arial" w:hAnsi="Arial"/>
                  <w:sz w:val="16"/>
                  <w:szCs w:val="16"/>
                  <w:color w:val="0000EE"/>
                </w:rPr>
                <w:t>(u) “Independent Director”</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3"/>
          </w:tcPr>
          <w:p>
            <w:pPr>
              <w:spacing w:after="0"/>
              <w:rPr>
                <w:sz w:val="14"/>
                <w:szCs w:val="14"/>
                <w:color w:val="auto"/>
              </w:rPr>
            </w:pPr>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A-2</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180" w:type="dxa"/>
            <w:vAlign w:val="bottom"/>
            <w:tcBorders>
              <w:top w:val="single" w:sz="8" w:color="0000EE"/>
              <w:bottom w:val="single" w:sz="8" w:color="0000EE"/>
            </w:tcBorders>
            <w:gridSpan w:val="13"/>
          </w:tcPr>
          <w:p>
            <w:pPr>
              <w:spacing w:after="0" w:line="169" w:lineRule="exact"/>
              <w:rPr>
                <w:rFonts w:ascii="Arial" w:cs="Arial" w:eastAsia="Arial" w:hAnsi="Arial"/>
                <w:sz w:val="16"/>
                <w:szCs w:val="16"/>
                <w:color w:val="0000EE"/>
              </w:rPr>
            </w:pPr>
            <w:hyperlink w:anchor="page119">
              <w:r>
                <w:rPr>
                  <w:rFonts w:ascii="Arial" w:cs="Arial" w:eastAsia="Arial" w:hAnsi="Arial"/>
                  <w:sz w:val="16"/>
                  <w:szCs w:val="16"/>
                  <w:color w:val="0000EE"/>
                </w:rPr>
                <w:t>(v) “Misconduct”</w:t>
              </w:r>
            </w:hyperlink>
          </w:p>
        </w:tc>
        <w:tc>
          <w:tcPr>
            <w:tcW w:w="700" w:type="dxa"/>
            <w:vAlign w:val="bottom"/>
            <w:tcBorders>
              <w:top w:val="single" w:sz="8" w:color="0000EE"/>
            </w:tcBorders>
            <w:gridSpan w:val="16"/>
          </w:tcPr>
          <w:p>
            <w:pPr>
              <w:spacing w:after="0"/>
              <w:rPr>
                <w:sz w:val="14"/>
                <w:szCs w:val="14"/>
                <w:color w:val="auto"/>
              </w:rPr>
            </w:pPr>
          </w:p>
        </w:tc>
        <w:tc>
          <w:tcPr>
            <w:tcW w:w="18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3"/>
          </w:tcPr>
          <w:p>
            <w:pPr>
              <w:spacing w:after="0"/>
              <w:rPr>
                <w:sz w:val="14"/>
                <w:szCs w:val="14"/>
                <w:color w:val="auto"/>
              </w:rPr>
            </w:pPr>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A-2</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3160" w:type="dxa"/>
            <w:vAlign w:val="bottom"/>
            <w:gridSpan w:val="43"/>
          </w:tcPr>
          <w:p>
            <w:pPr>
              <w:spacing w:after="0" w:line="169" w:lineRule="exact"/>
              <w:rPr>
                <w:rFonts w:ascii="Arial" w:cs="Arial" w:eastAsia="Arial" w:hAnsi="Arial"/>
                <w:sz w:val="16"/>
                <w:szCs w:val="16"/>
                <w:color w:val="0000EE"/>
              </w:rPr>
            </w:pPr>
            <w:hyperlink w:anchor="page120">
              <w:r>
                <w:rPr>
                  <w:rFonts w:ascii="Arial" w:cs="Arial" w:eastAsia="Arial" w:hAnsi="Arial"/>
                  <w:sz w:val="16"/>
                  <w:szCs w:val="16"/>
                  <w:color w:val="0000EE"/>
                </w:rPr>
                <w:t>(w) “Non-Employee Director”</w:t>
              </w:r>
            </w:hyperlink>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A-3</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2060" w:type="dxa"/>
            <w:vAlign w:val="bottom"/>
            <w:tcBorders>
              <w:top w:val="single" w:sz="8" w:color="0000EE"/>
            </w:tcBorders>
            <w:gridSpan w:val="32"/>
          </w:tcPr>
          <w:p>
            <w:pPr>
              <w:spacing w:after="0" w:line="169" w:lineRule="exact"/>
              <w:rPr>
                <w:rFonts w:ascii="Arial" w:cs="Arial" w:eastAsia="Arial" w:hAnsi="Arial"/>
                <w:sz w:val="16"/>
                <w:szCs w:val="16"/>
                <w:color w:val="0000EE"/>
              </w:rPr>
            </w:pPr>
            <w:hyperlink w:anchor="page120">
              <w:r>
                <w:rPr>
                  <w:rFonts w:ascii="Arial" w:cs="Arial" w:eastAsia="Arial" w:hAnsi="Arial"/>
                  <w:sz w:val="16"/>
                  <w:szCs w:val="16"/>
                  <w:color w:val="0000EE"/>
                </w:rPr>
                <w:t>(x) “Non-Stock Award”</w:t>
              </w:r>
            </w:hyperlink>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3"/>
          </w:tcPr>
          <w:p>
            <w:pPr>
              <w:spacing w:after="0"/>
              <w:rPr>
                <w:sz w:val="14"/>
                <w:szCs w:val="14"/>
                <w:color w:val="auto"/>
              </w:rPr>
            </w:pPr>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A-3</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600" w:type="dxa"/>
            <w:vAlign w:val="bottom"/>
            <w:tcBorders>
              <w:top w:val="single" w:sz="8" w:color="0000EE"/>
            </w:tcBorders>
            <w:gridSpan w:val="20"/>
          </w:tcPr>
          <w:p>
            <w:pPr>
              <w:spacing w:after="0" w:line="169" w:lineRule="exact"/>
              <w:rPr>
                <w:rFonts w:ascii="Arial" w:cs="Arial" w:eastAsia="Arial" w:hAnsi="Arial"/>
                <w:sz w:val="16"/>
                <w:szCs w:val="16"/>
                <w:color w:val="0000EE"/>
              </w:rPr>
            </w:pPr>
            <w:hyperlink w:anchor="page120">
              <w:r>
                <w:rPr>
                  <w:rFonts w:ascii="Arial" w:cs="Arial" w:eastAsia="Arial" w:hAnsi="Arial"/>
                  <w:sz w:val="16"/>
                  <w:szCs w:val="16"/>
                  <w:color w:val="0000EE"/>
                </w:rPr>
                <w:t>(y) “Non-Stock Award</w:t>
              </w:r>
            </w:hyperlink>
          </w:p>
        </w:tc>
        <w:tc>
          <w:tcPr>
            <w:tcW w:w="1560" w:type="dxa"/>
            <w:vAlign w:val="bottom"/>
            <w:gridSpan w:val="23"/>
          </w:tcPr>
          <w:p>
            <w:pPr>
              <w:spacing w:after="0" w:line="169" w:lineRule="exact"/>
              <w:rPr>
                <w:rFonts w:ascii="Arial" w:cs="Arial" w:eastAsia="Arial" w:hAnsi="Arial"/>
                <w:sz w:val="16"/>
                <w:szCs w:val="16"/>
                <w:color w:val="0000EE"/>
              </w:rPr>
            </w:pPr>
            <w:hyperlink w:anchor="page120">
              <w:r>
                <w:rPr>
                  <w:rFonts w:ascii="Arial" w:cs="Arial" w:eastAsia="Arial" w:hAnsi="Arial"/>
                  <w:sz w:val="16"/>
                  <w:szCs w:val="16"/>
                  <w:color w:val="0000EE"/>
                </w:rPr>
                <w:t>Agreement”</w:t>
              </w:r>
            </w:hyperlink>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A-3</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000" w:type="dxa"/>
            <w:vAlign w:val="bottom"/>
            <w:tcBorders>
              <w:top w:val="single" w:sz="8" w:color="0000EE"/>
              <w:bottom w:val="single" w:sz="8" w:color="0000EE"/>
            </w:tcBorders>
            <w:gridSpan w:val="8"/>
          </w:tcPr>
          <w:p>
            <w:pPr>
              <w:spacing w:after="0" w:line="169" w:lineRule="exact"/>
              <w:rPr>
                <w:rFonts w:ascii="Arial" w:cs="Arial" w:eastAsia="Arial" w:hAnsi="Arial"/>
                <w:sz w:val="16"/>
                <w:szCs w:val="16"/>
                <w:color w:val="0000EE"/>
                <w:w w:val="99"/>
              </w:rPr>
            </w:pPr>
            <w:hyperlink w:anchor="page120">
              <w:r>
                <w:rPr>
                  <w:rFonts w:ascii="Arial" w:cs="Arial" w:eastAsia="Arial" w:hAnsi="Arial"/>
                  <w:sz w:val="16"/>
                  <w:szCs w:val="16"/>
                  <w:color w:val="0000EE"/>
                  <w:w w:val="99"/>
                </w:rPr>
                <w:t>(z) “Optionee”</w:t>
              </w:r>
            </w:hyperlink>
          </w:p>
        </w:tc>
        <w:tc>
          <w:tcPr>
            <w:tcW w:w="1420" w:type="dxa"/>
            <w:vAlign w:val="bottom"/>
            <w:tcBorders>
              <w:top w:val="single" w:sz="8" w:color="0000EE"/>
            </w:tcBorders>
            <w:gridSpan w:val="32"/>
          </w:tcPr>
          <w:p>
            <w:pPr>
              <w:spacing w:after="0"/>
              <w:rPr>
                <w:sz w:val="14"/>
                <w:szCs w:val="14"/>
                <w:color w:val="auto"/>
              </w:rPr>
            </w:pPr>
          </w:p>
        </w:tc>
        <w:tc>
          <w:tcPr>
            <w:tcW w:w="740" w:type="dxa"/>
            <w:vAlign w:val="bottom"/>
            <w:gridSpan w:val="3"/>
          </w:tcPr>
          <w:p>
            <w:pPr>
              <w:spacing w:after="0"/>
              <w:rPr>
                <w:sz w:val="14"/>
                <w:szCs w:val="14"/>
                <w:color w:val="auto"/>
              </w:rPr>
            </w:pPr>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A-3</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3160" w:type="dxa"/>
            <w:vAlign w:val="bottom"/>
            <w:gridSpan w:val="43"/>
          </w:tcPr>
          <w:p>
            <w:pPr>
              <w:spacing w:after="0" w:line="169" w:lineRule="exact"/>
              <w:rPr>
                <w:rFonts w:ascii="Arial" w:cs="Arial" w:eastAsia="Arial" w:hAnsi="Arial"/>
                <w:sz w:val="16"/>
                <w:szCs w:val="16"/>
                <w:color w:val="0000EE"/>
              </w:rPr>
            </w:pPr>
            <w:hyperlink w:anchor="page120">
              <w:r>
                <w:rPr>
                  <w:rFonts w:ascii="Arial" w:cs="Arial" w:eastAsia="Arial" w:hAnsi="Arial"/>
                  <w:sz w:val="16"/>
                  <w:szCs w:val="16"/>
                  <w:color w:val="0000EE"/>
                </w:rPr>
                <w:t>(aa) “Other Share-Based Award”</w:t>
              </w:r>
            </w:hyperlink>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A-3</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2320" w:type="dxa"/>
            <w:vAlign w:val="bottom"/>
            <w:tcBorders>
              <w:top w:val="single" w:sz="8" w:color="0000EE"/>
              <w:bottom w:val="single" w:sz="8" w:color="0000EE"/>
            </w:tcBorders>
            <w:gridSpan w:val="38"/>
          </w:tcPr>
          <w:p>
            <w:pPr>
              <w:spacing w:after="0" w:line="169" w:lineRule="exact"/>
              <w:rPr>
                <w:rFonts w:ascii="Arial" w:cs="Arial" w:eastAsia="Arial" w:hAnsi="Arial"/>
                <w:sz w:val="16"/>
                <w:szCs w:val="16"/>
                <w:color w:val="0000EE"/>
              </w:rPr>
            </w:pPr>
            <w:hyperlink w:anchor="page120">
              <w:r>
                <w:rPr>
                  <w:rFonts w:ascii="Arial" w:cs="Arial" w:eastAsia="Arial" w:hAnsi="Arial"/>
                  <w:sz w:val="16"/>
                  <w:szCs w:val="16"/>
                  <w:color w:val="0000EE"/>
                </w:rPr>
                <w:t>(bb) “Other Share-Based Award</w:t>
              </w:r>
            </w:hyperlink>
          </w:p>
        </w:tc>
        <w:tc>
          <w:tcPr>
            <w:tcW w:w="840" w:type="dxa"/>
            <w:vAlign w:val="bottom"/>
            <w:tcBorders>
              <w:bottom w:val="single" w:sz="8" w:color="0000EE"/>
            </w:tcBorders>
            <w:gridSpan w:val="5"/>
          </w:tcPr>
          <w:p>
            <w:pPr>
              <w:spacing w:after="0" w:line="169" w:lineRule="exact"/>
              <w:rPr>
                <w:rFonts w:ascii="Arial" w:cs="Arial" w:eastAsia="Arial" w:hAnsi="Arial"/>
                <w:sz w:val="16"/>
                <w:szCs w:val="16"/>
                <w:color w:val="0000EE"/>
                <w:w w:val="98"/>
              </w:rPr>
            </w:pPr>
            <w:hyperlink w:anchor="page120">
              <w:r>
                <w:rPr>
                  <w:rFonts w:ascii="Arial" w:cs="Arial" w:eastAsia="Arial" w:hAnsi="Arial"/>
                  <w:sz w:val="16"/>
                  <w:szCs w:val="16"/>
                  <w:color w:val="0000EE"/>
                  <w:w w:val="98"/>
                </w:rPr>
                <w:t>Agreement”</w:t>
              </w:r>
            </w:hyperlink>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A-3</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3160" w:type="dxa"/>
            <w:vAlign w:val="bottom"/>
            <w:gridSpan w:val="43"/>
          </w:tcPr>
          <w:p>
            <w:pPr>
              <w:spacing w:after="0" w:line="169" w:lineRule="exact"/>
              <w:rPr>
                <w:rFonts w:ascii="Arial" w:cs="Arial" w:eastAsia="Arial" w:hAnsi="Arial"/>
                <w:sz w:val="16"/>
                <w:szCs w:val="16"/>
                <w:color w:val="0000EE"/>
              </w:rPr>
            </w:pPr>
            <w:hyperlink w:anchor="page120">
              <w:r>
                <w:rPr>
                  <w:rFonts w:ascii="Arial" w:cs="Arial" w:eastAsia="Arial" w:hAnsi="Arial"/>
                  <w:sz w:val="16"/>
                  <w:szCs w:val="16"/>
                  <w:color w:val="0000EE"/>
                </w:rPr>
                <w:t>(cc) “Participant”</w:t>
              </w:r>
            </w:hyperlink>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A-3</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180" w:type="dxa"/>
            <w:vAlign w:val="bottom"/>
            <w:tcBorders>
              <w:top w:val="single" w:sz="8" w:color="0000EE"/>
            </w:tcBorders>
            <w:gridSpan w:val="13"/>
          </w:tcPr>
          <w:p>
            <w:pPr>
              <w:spacing w:after="0" w:line="169" w:lineRule="exact"/>
              <w:rPr>
                <w:rFonts w:ascii="Arial" w:cs="Arial" w:eastAsia="Arial" w:hAnsi="Arial"/>
                <w:sz w:val="16"/>
                <w:szCs w:val="16"/>
                <w:color w:val="0000EE"/>
              </w:rPr>
            </w:pPr>
            <w:hyperlink w:anchor="page120">
              <w:r>
                <w:rPr>
                  <w:rFonts w:ascii="Arial" w:cs="Arial" w:eastAsia="Arial" w:hAnsi="Arial"/>
                  <w:sz w:val="16"/>
                  <w:szCs w:val="16"/>
                  <w:color w:val="0000EE"/>
                </w:rPr>
                <w:t>(dd) “Payroll”</w:t>
              </w:r>
            </w:hyperlink>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0" w:type="dxa"/>
            <w:vAlign w:val="bottom"/>
            <w:gridSpan w:val="2"/>
          </w:tcPr>
          <w:p>
            <w:pPr>
              <w:spacing w:after="0"/>
              <w:rPr>
                <w:sz w:val="14"/>
                <w:szCs w:val="14"/>
                <w:color w:val="auto"/>
              </w:rPr>
            </w:pPr>
          </w:p>
        </w:tc>
        <w:tc>
          <w:tcPr>
            <w:tcW w:w="200" w:type="dxa"/>
            <w:vAlign w:val="bottom"/>
            <w:gridSpan w:val="6"/>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6"/>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780" w:type="dxa"/>
            <w:vAlign w:val="bottom"/>
            <w:gridSpan w:val="4"/>
          </w:tcPr>
          <w:p>
            <w:pPr>
              <w:spacing w:after="0"/>
              <w:rPr>
                <w:sz w:val="14"/>
                <w:szCs w:val="14"/>
                <w:color w:val="auto"/>
              </w:rPr>
            </w:pPr>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840" w:type="dxa"/>
            <w:vAlign w:val="bottom"/>
            <w:vMerge w:val="restart"/>
          </w:tcPr>
          <w:p>
            <w:pPr>
              <w:jc w:val="right"/>
              <w:spacing w:after="0"/>
              <w:rPr>
                <w:sz w:val="20"/>
                <w:szCs w:val="20"/>
                <w:color w:val="auto"/>
              </w:rPr>
            </w:pPr>
            <w:r>
              <w:rPr>
                <w:rFonts w:ascii="Arial" w:cs="Arial" w:eastAsia="Arial" w:hAnsi="Arial"/>
                <w:sz w:val="16"/>
                <w:szCs w:val="16"/>
                <w:color w:val="auto"/>
              </w:rPr>
              <w:t>A-3</w:t>
            </w:r>
          </w:p>
        </w:tc>
        <w:tc>
          <w:tcPr>
            <w:tcW w:w="0" w:type="dxa"/>
            <w:vAlign w:val="bottom"/>
          </w:tcPr>
          <w:p>
            <w:pPr>
              <w:spacing w:after="0" w:line="20" w:lineRule="exact"/>
              <w:rPr>
                <w:sz w:val="1"/>
                <w:szCs w:val="1"/>
                <w:color w:val="auto"/>
              </w:rPr>
            </w:pPr>
          </w:p>
        </w:tc>
      </w:tr>
      <w:tr>
        <w:trPr>
          <w:trHeight w:val="169"/>
        </w:trPr>
        <w:tc>
          <w:tcPr>
            <w:tcW w:w="220" w:type="dxa"/>
            <w:vAlign w:val="bottom"/>
          </w:tcPr>
          <w:p>
            <w:pPr>
              <w:spacing w:after="0"/>
              <w:rPr>
                <w:sz w:val="14"/>
                <w:szCs w:val="14"/>
                <w:color w:val="auto"/>
              </w:rPr>
            </w:pPr>
          </w:p>
        </w:tc>
        <w:tc>
          <w:tcPr>
            <w:tcW w:w="3160" w:type="dxa"/>
            <w:vAlign w:val="bottom"/>
            <w:gridSpan w:val="43"/>
          </w:tcPr>
          <w:p>
            <w:pPr>
              <w:spacing w:after="0" w:line="169" w:lineRule="exact"/>
              <w:rPr>
                <w:rFonts w:ascii="Arial" w:cs="Arial" w:eastAsia="Arial" w:hAnsi="Arial"/>
                <w:sz w:val="16"/>
                <w:szCs w:val="16"/>
                <w:color w:val="0000EE"/>
              </w:rPr>
            </w:pPr>
            <w:hyperlink w:anchor="page120">
              <w:r>
                <w:rPr>
                  <w:rFonts w:ascii="Arial" w:cs="Arial" w:eastAsia="Arial" w:hAnsi="Arial"/>
                  <w:sz w:val="16"/>
                  <w:szCs w:val="16"/>
                  <w:color w:val="0000EE"/>
                </w:rPr>
                <w:t>(ee) “Performance Goals”</w:t>
              </w:r>
            </w:hyperlink>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840" w:type="dxa"/>
            <w:vAlign w:val="bottom"/>
            <w:tcBorders>
              <w:top w:val="single" w:sz="8" w:color="0000EE"/>
            </w:tcBorders>
            <w:gridSpan w:val="27"/>
          </w:tcPr>
          <w:p>
            <w:pPr>
              <w:spacing w:after="0" w:line="169" w:lineRule="exact"/>
              <w:rPr>
                <w:rFonts w:ascii="Arial" w:cs="Arial" w:eastAsia="Arial" w:hAnsi="Arial"/>
                <w:sz w:val="16"/>
                <w:szCs w:val="16"/>
                <w:color w:val="0000EE"/>
              </w:rPr>
            </w:pPr>
            <w:hyperlink w:anchor="page120">
              <w:r>
                <w:rPr>
                  <w:rFonts w:ascii="Arial" w:cs="Arial" w:eastAsia="Arial" w:hAnsi="Arial"/>
                  <w:sz w:val="16"/>
                  <w:szCs w:val="16"/>
                  <w:color w:val="0000EE"/>
                </w:rPr>
                <w:t>(ff) “Performance Share”</w:t>
              </w:r>
            </w:hyperlink>
          </w:p>
        </w:tc>
        <w:tc>
          <w:tcPr>
            <w:tcW w:w="20" w:type="dxa"/>
            <w:vAlign w:val="bottom"/>
          </w:tcPr>
          <w:p>
            <w:pPr>
              <w:spacing w:after="0"/>
              <w:rPr>
                <w:sz w:val="14"/>
                <w:szCs w:val="14"/>
                <w:color w:val="auto"/>
              </w:rPr>
            </w:pPr>
          </w:p>
        </w:tc>
        <w:tc>
          <w:tcPr>
            <w:tcW w:w="240" w:type="dxa"/>
            <w:vAlign w:val="bottom"/>
            <w:gridSpan w:val="6"/>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780" w:type="dxa"/>
            <w:vAlign w:val="bottom"/>
            <w:gridSpan w:val="4"/>
          </w:tcPr>
          <w:p>
            <w:pPr>
              <w:spacing w:after="0"/>
              <w:rPr>
                <w:sz w:val="14"/>
                <w:szCs w:val="14"/>
                <w:color w:val="auto"/>
              </w:rPr>
            </w:pPr>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A-3</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740" w:type="dxa"/>
            <w:vAlign w:val="bottom"/>
            <w:tcBorders>
              <w:top w:val="single" w:sz="8" w:color="0000EE"/>
            </w:tcBorders>
            <w:gridSpan w:val="24"/>
          </w:tcPr>
          <w:p>
            <w:pPr>
              <w:spacing w:after="0" w:line="169" w:lineRule="exact"/>
              <w:rPr>
                <w:rFonts w:ascii="Arial" w:cs="Arial" w:eastAsia="Arial" w:hAnsi="Arial"/>
                <w:sz w:val="16"/>
                <w:szCs w:val="16"/>
                <w:color w:val="0000EE"/>
              </w:rPr>
            </w:pPr>
            <w:hyperlink w:anchor="page121">
              <w:r>
                <w:rPr>
                  <w:rFonts w:ascii="Arial" w:cs="Arial" w:eastAsia="Arial" w:hAnsi="Arial"/>
                  <w:sz w:val="16"/>
                  <w:szCs w:val="16"/>
                  <w:color w:val="0000EE"/>
                </w:rPr>
                <w:t>(gg) “Plan”</w:t>
              </w:r>
            </w:hyperlink>
          </w:p>
        </w:tc>
        <w:tc>
          <w:tcPr>
            <w:tcW w:w="6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40" w:type="dxa"/>
            <w:vAlign w:val="bottom"/>
            <w:gridSpan w:val="6"/>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780" w:type="dxa"/>
            <w:vAlign w:val="bottom"/>
            <w:gridSpan w:val="4"/>
          </w:tcPr>
          <w:p>
            <w:pPr>
              <w:spacing w:after="0"/>
              <w:rPr>
                <w:sz w:val="14"/>
                <w:szCs w:val="14"/>
                <w:color w:val="auto"/>
              </w:rPr>
            </w:pPr>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A-4</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760" w:type="dxa"/>
            <w:vAlign w:val="bottom"/>
            <w:tcBorders>
              <w:top w:val="single" w:sz="8" w:color="0000EE"/>
            </w:tcBorders>
            <w:gridSpan w:val="2"/>
          </w:tcPr>
          <w:p>
            <w:pPr>
              <w:spacing w:after="0" w:line="169" w:lineRule="exact"/>
              <w:rPr>
                <w:rFonts w:ascii="Arial" w:cs="Arial" w:eastAsia="Arial" w:hAnsi="Arial"/>
                <w:sz w:val="16"/>
                <w:szCs w:val="16"/>
                <w:color w:val="0000EE"/>
              </w:rPr>
            </w:pPr>
            <w:hyperlink w:anchor="page121">
              <w:r>
                <w:rPr>
                  <w:rFonts w:ascii="Arial" w:cs="Arial" w:eastAsia="Arial" w:hAnsi="Arial"/>
                  <w:sz w:val="16"/>
                  <w:szCs w:val="16"/>
                  <w:color w:val="0000EE"/>
                </w:rPr>
                <w:t>(hh) “Prior</w:t>
              </w:r>
            </w:hyperlink>
          </w:p>
        </w:tc>
        <w:tc>
          <w:tcPr>
            <w:tcW w:w="2400" w:type="dxa"/>
            <w:vAlign w:val="bottom"/>
            <w:gridSpan w:val="41"/>
          </w:tcPr>
          <w:p>
            <w:pPr>
              <w:spacing w:after="0" w:line="169" w:lineRule="exact"/>
              <w:rPr>
                <w:rFonts w:ascii="Arial" w:cs="Arial" w:eastAsia="Arial" w:hAnsi="Arial"/>
                <w:sz w:val="16"/>
                <w:szCs w:val="16"/>
                <w:color w:val="0000EE"/>
              </w:rPr>
            </w:pPr>
            <w:hyperlink w:anchor="page121">
              <w:r>
                <w:rPr>
                  <w:rFonts w:ascii="Arial" w:cs="Arial" w:eastAsia="Arial" w:hAnsi="Arial"/>
                  <w:sz w:val="16"/>
                  <w:szCs w:val="16"/>
                  <w:color w:val="0000EE"/>
                </w:rPr>
                <w:t>Plan”</w:t>
              </w:r>
            </w:hyperlink>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A-4</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160" w:type="dxa"/>
            <w:vAlign w:val="bottom"/>
            <w:tcBorders>
              <w:top w:val="single" w:sz="8" w:color="0000EE"/>
            </w:tcBorders>
            <w:gridSpan w:val="12"/>
          </w:tcPr>
          <w:p>
            <w:pPr>
              <w:spacing w:after="0" w:line="169" w:lineRule="exact"/>
              <w:rPr>
                <w:rFonts w:ascii="Arial" w:cs="Arial" w:eastAsia="Arial" w:hAnsi="Arial"/>
                <w:sz w:val="16"/>
                <w:szCs w:val="16"/>
                <w:color w:val="0000EE"/>
              </w:rPr>
            </w:pPr>
            <w:hyperlink w:anchor="page121">
              <w:r>
                <w:rPr>
                  <w:rFonts w:ascii="Arial" w:cs="Arial" w:eastAsia="Arial" w:hAnsi="Arial"/>
                  <w:sz w:val="16"/>
                  <w:szCs w:val="16"/>
                  <w:color w:val="0000EE"/>
                </w:rPr>
                <w:t>(ii) “Restricted</w:t>
              </w:r>
            </w:hyperlink>
          </w:p>
        </w:tc>
        <w:tc>
          <w:tcPr>
            <w:tcW w:w="2000" w:type="dxa"/>
            <w:vAlign w:val="bottom"/>
            <w:gridSpan w:val="31"/>
          </w:tcPr>
          <w:p>
            <w:pPr>
              <w:spacing w:after="0" w:line="169" w:lineRule="exact"/>
              <w:rPr>
                <w:rFonts w:ascii="Arial" w:cs="Arial" w:eastAsia="Arial" w:hAnsi="Arial"/>
                <w:sz w:val="16"/>
                <w:szCs w:val="16"/>
                <w:color w:val="0000EE"/>
              </w:rPr>
            </w:pPr>
            <w:hyperlink w:anchor="page121">
              <w:r>
                <w:rPr>
                  <w:rFonts w:ascii="Arial" w:cs="Arial" w:eastAsia="Arial" w:hAnsi="Arial"/>
                  <w:sz w:val="16"/>
                  <w:szCs w:val="16"/>
                  <w:color w:val="0000EE"/>
                </w:rPr>
                <w:t>Stock”</w:t>
              </w:r>
            </w:hyperlink>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A-4</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540" w:type="dxa"/>
            <w:vAlign w:val="bottom"/>
            <w:tcBorders>
              <w:top w:val="single" w:sz="8" w:color="0000EE"/>
            </w:tcBorders>
            <w:gridSpan w:val="18"/>
          </w:tcPr>
          <w:p>
            <w:pPr>
              <w:spacing w:after="0" w:line="169" w:lineRule="exact"/>
              <w:rPr>
                <w:rFonts w:ascii="Arial" w:cs="Arial" w:eastAsia="Arial" w:hAnsi="Arial"/>
                <w:sz w:val="16"/>
                <w:szCs w:val="16"/>
                <w:color w:val="0000EE"/>
              </w:rPr>
            </w:pPr>
            <w:hyperlink w:anchor="page121">
              <w:r>
                <w:rPr>
                  <w:rFonts w:ascii="Arial" w:cs="Arial" w:eastAsia="Arial" w:hAnsi="Arial"/>
                  <w:sz w:val="16"/>
                  <w:szCs w:val="16"/>
                  <w:color w:val="0000EE"/>
                </w:rPr>
                <w:t>(jj) “Restricted Stock</w:t>
              </w:r>
            </w:hyperlink>
          </w:p>
        </w:tc>
        <w:tc>
          <w:tcPr>
            <w:tcW w:w="1620" w:type="dxa"/>
            <w:vAlign w:val="bottom"/>
            <w:gridSpan w:val="25"/>
          </w:tcPr>
          <w:p>
            <w:pPr>
              <w:spacing w:after="0" w:line="169" w:lineRule="exact"/>
              <w:rPr>
                <w:rFonts w:ascii="Arial" w:cs="Arial" w:eastAsia="Arial" w:hAnsi="Arial"/>
                <w:sz w:val="16"/>
                <w:szCs w:val="16"/>
                <w:color w:val="0000EE"/>
              </w:rPr>
            </w:pPr>
            <w:hyperlink w:anchor="page121">
              <w:r>
                <w:rPr>
                  <w:rFonts w:ascii="Arial" w:cs="Arial" w:eastAsia="Arial" w:hAnsi="Arial"/>
                  <w:sz w:val="16"/>
                  <w:szCs w:val="16"/>
                  <w:color w:val="0000EE"/>
                </w:rPr>
                <w:t>Agreement”.</w:t>
              </w:r>
            </w:hyperlink>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A-4</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2380" w:type="dxa"/>
            <w:vAlign w:val="bottom"/>
            <w:tcBorders>
              <w:top w:val="single" w:sz="8" w:color="0000EE"/>
            </w:tcBorders>
            <w:gridSpan w:val="39"/>
          </w:tcPr>
          <w:p>
            <w:pPr>
              <w:spacing w:after="0" w:line="169" w:lineRule="exact"/>
              <w:rPr>
                <w:rFonts w:ascii="Arial" w:cs="Arial" w:eastAsia="Arial" w:hAnsi="Arial"/>
                <w:sz w:val="16"/>
                <w:szCs w:val="16"/>
                <w:color w:val="0000EE"/>
              </w:rPr>
            </w:pPr>
            <w:hyperlink w:anchor="page121">
              <w:r>
                <w:rPr>
                  <w:rFonts w:ascii="Arial" w:cs="Arial" w:eastAsia="Arial" w:hAnsi="Arial"/>
                  <w:sz w:val="16"/>
                  <w:szCs w:val="16"/>
                  <w:color w:val="0000EE"/>
                </w:rPr>
                <w:t>(kk) “Restricted Stock Award”</w:t>
              </w:r>
            </w:hyperlink>
          </w:p>
        </w:tc>
        <w:tc>
          <w:tcPr>
            <w:tcW w:w="780" w:type="dxa"/>
            <w:vAlign w:val="bottom"/>
            <w:gridSpan w:val="4"/>
          </w:tcPr>
          <w:p>
            <w:pPr>
              <w:spacing w:after="0"/>
              <w:rPr>
                <w:sz w:val="14"/>
                <w:szCs w:val="14"/>
                <w:color w:val="auto"/>
              </w:rPr>
            </w:pPr>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A-4</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2100" w:type="dxa"/>
            <w:vAlign w:val="bottom"/>
            <w:tcBorders>
              <w:top w:val="single" w:sz="8" w:color="0000EE"/>
            </w:tcBorders>
            <w:gridSpan w:val="34"/>
          </w:tcPr>
          <w:p>
            <w:pPr>
              <w:spacing w:after="0" w:line="169" w:lineRule="exact"/>
              <w:rPr>
                <w:rFonts w:ascii="Arial" w:cs="Arial" w:eastAsia="Arial" w:hAnsi="Arial"/>
                <w:sz w:val="16"/>
                <w:szCs w:val="16"/>
                <w:color w:val="0000EE"/>
              </w:rPr>
            </w:pPr>
            <w:hyperlink w:anchor="page121">
              <w:r>
                <w:rPr>
                  <w:rFonts w:ascii="Arial" w:cs="Arial" w:eastAsia="Arial" w:hAnsi="Arial"/>
                  <w:sz w:val="16"/>
                  <w:szCs w:val="16"/>
                  <w:color w:val="0000EE"/>
                </w:rPr>
                <w:t>(ll) “Restricted Stock Unit”</w:t>
              </w:r>
            </w:hyperlink>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6"/>
          </w:tcPr>
          <w:p>
            <w:pPr>
              <w:spacing w:after="0"/>
              <w:rPr>
                <w:sz w:val="14"/>
                <w:szCs w:val="14"/>
                <w:color w:val="auto"/>
              </w:rPr>
            </w:pPr>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A-4</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860" w:type="dxa"/>
            <w:vAlign w:val="bottom"/>
            <w:tcBorders>
              <w:top w:val="single" w:sz="8" w:color="0000EE"/>
            </w:tcBorders>
            <w:gridSpan w:val="28"/>
          </w:tcPr>
          <w:p>
            <w:pPr>
              <w:spacing w:after="0" w:line="169" w:lineRule="exact"/>
              <w:rPr>
                <w:rFonts w:ascii="Arial" w:cs="Arial" w:eastAsia="Arial" w:hAnsi="Arial"/>
                <w:sz w:val="16"/>
                <w:szCs w:val="16"/>
                <w:color w:val="0000EE"/>
              </w:rPr>
            </w:pPr>
            <w:hyperlink w:anchor="page121">
              <w:r>
                <w:rPr>
                  <w:rFonts w:ascii="Arial" w:cs="Arial" w:eastAsia="Arial" w:hAnsi="Arial"/>
                  <w:sz w:val="16"/>
                  <w:szCs w:val="16"/>
                  <w:color w:val="0000EE"/>
                </w:rPr>
                <w:t>(mm) “Restriction Period”</w:t>
              </w:r>
            </w:hyperlink>
          </w:p>
        </w:tc>
        <w:tc>
          <w:tcPr>
            <w:tcW w:w="32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6"/>
          </w:tcPr>
          <w:p>
            <w:pPr>
              <w:spacing w:after="0"/>
              <w:rPr>
                <w:sz w:val="14"/>
                <w:szCs w:val="14"/>
                <w:color w:val="auto"/>
              </w:rPr>
            </w:pPr>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A-4</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800" w:type="dxa"/>
            <w:vAlign w:val="bottom"/>
            <w:tcBorders>
              <w:top w:val="single" w:sz="8" w:color="0000EE"/>
            </w:tcBorders>
            <w:gridSpan w:val="25"/>
          </w:tcPr>
          <w:p>
            <w:pPr>
              <w:spacing w:after="0" w:line="169" w:lineRule="exact"/>
              <w:rPr>
                <w:rFonts w:ascii="Arial" w:cs="Arial" w:eastAsia="Arial" w:hAnsi="Arial"/>
                <w:sz w:val="16"/>
                <w:szCs w:val="16"/>
                <w:color w:val="0000EE"/>
              </w:rPr>
            </w:pPr>
            <w:hyperlink w:anchor="page121">
              <w:r>
                <w:rPr>
                  <w:rFonts w:ascii="Arial" w:cs="Arial" w:eastAsia="Arial" w:hAnsi="Arial"/>
                  <w:sz w:val="16"/>
                  <w:szCs w:val="16"/>
                  <w:color w:val="0000EE"/>
                </w:rPr>
                <w:t>(nn) “Rule 16b-3”</w:t>
              </w:r>
            </w:hyperlink>
          </w:p>
        </w:tc>
        <w:tc>
          <w:tcPr>
            <w:tcW w:w="380" w:type="dxa"/>
            <w:vAlign w:val="bottom"/>
            <w:gridSpan w:val="11"/>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6"/>
          </w:tcPr>
          <w:p>
            <w:pPr>
              <w:spacing w:after="0"/>
              <w:rPr>
                <w:sz w:val="14"/>
                <w:szCs w:val="14"/>
                <w:color w:val="auto"/>
              </w:rPr>
            </w:pPr>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A-4</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220" w:type="dxa"/>
            <w:vAlign w:val="bottom"/>
            <w:tcBorders>
              <w:top w:val="single" w:sz="8" w:color="0000EE"/>
            </w:tcBorders>
            <w:gridSpan w:val="14"/>
          </w:tcPr>
          <w:p>
            <w:pPr>
              <w:spacing w:after="0" w:line="169" w:lineRule="exact"/>
              <w:rPr>
                <w:rFonts w:ascii="Arial" w:cs="Arial" w:eastAsia="Arial" w:hAnsi="Arial"/>
                <w:sz w:val="16"/>
                <w:szCs w:val="16"/>
                <w:color w:val="0000EE"/>
              </w:rPr>
            </w:pPr>
            <w:hyperlink w:anchor="page121">
              <w:r>
                <w:rPr>
                  <w:rFonts w:ascii="Arial" w:cs="Arial" w:eastAsia="Arial" w:hAnsi="Arial"/>
                  <w:sz w:val="16"/>
                  <w:szCs w:val="16"/>
                  <w:color w:val="0000EE"/>
                </w:rPr>
                <w:t>(oo) “Rules”</w:t>
              </w:r>
            </w:hyperlink>
          </w:p>
        </w:tc>
        <w:tc>
          <w:tcPr>
            <w:tcW w:w="120" w:type="dxa"/>
            <w:vAlign w:val="bottom"/>
            <w:gridSpan w:val="2"/>
          </w:tcPr>
          <w:p>
            <w:pPr>
              <w:spacing w:after="0"/>
              <w:rPr>
                <w:sz w:val="14"/>
                <w:szCs w:val="14"/>
                <w:color w:val="auto"/>
              </w:rPr>
            </w:pPr>
          </w:p>
        </w:tc>
        <w:tc>
          <w:tcPr>
            <w:tcW w:w="840" w:type="dxa"/>
            <w:vAlign w:val="bottom"/>
            <w:gridSpan w:val="20"/>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6"/>
          </w:tcPr>
          <w:p>
            <w:pPr>
              <w:spacing w:after="0"/>
              <w:rPr>
                <w:sz w:val="14"/>
                <w:szCs w:val="14"/>
                <w:color w:val="auto"/>
              </w:rPr>
            </w:pPr>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A-4</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84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w w:val="95"/>
              </w:rPr>
            </w:pPr>
            <w:hyperlink w:anchor="page121">
              <w:r>
                <w:rPr>
                  <w:rFonts w:ascii="Arial" w:cs="Arial" w:eastAsia="Arial" w:hAnsi="Arial"/>
                  <w:sz w:val="16"/>
                  <w:szCs w:val="16"/>
                  <w:color w:val="0000EE"/>
                  <w:w w:val="95"/>
                </w:rPr>
                <w:t>(pp) “Share”</w:t>
              </w:r>
            </w:hyperlink>
          </w:p>
        </w:tc>
        <w:tc>
          <w:tcPr>
            <w:tcW w:w="80" w:type="dxa"/>
            <w:vAlign w:val="bottom"/>
            <w:tcBorders>
              <w:bottom w:val="single" w:sz="8" w:color="0000EE"/>
            </w:tcBorders>
            <w:gridSpan w:val="2"/>
          </w:tcPr>
          <w:p>
            <w:pPr>
              <w:spacing w:after="0"/>
              <w:rPr>
                <w:sz w:val="14"/>
                <w:szCs w:val="14"/>
                <w:color w:val="auto"/>
              </w:rPr>
            </w:pPr>
          </w:p>
        </w:tc>
        <w:tc>
          <w:tcPr>
            <w:tcW w:w="20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160" w:type="dxa"/>
            <w:vAlign w:val="bottom"/>
            <w:gridSpan w:val="3"/>
          </w:tcPr>
          <w:p>
            <w:pPr>
              <w:spacing w:after="0"/>
              <w:rPr>
                <w:sz w:val="14"/>
                <w:szCs w:val="14"/>
                <w:color w:val="auto"/>
              </w:rPr>
            </w:pPr>
          </w:p>
        </w:tc>
        <w:tc>
          <w:tcPr>
            <w:tcW w:w="840" w:type="dxa"/>
            <w:vAlign w:val="bottom"/>
            <w:gridSpan w:val="20"/>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6"/>
          </w:tcPr>
          <w:p>
            <w:pPr>
              <w:spacing w:after="0"/>
              <w:rPr>
                <w:sz w:val="14"/>
                <w:szCs w:val="14"/>
                <w:color w:val="auto"/>
              </w:rPr>
            </w:pPr>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A-4</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920" w:type="dxa"/>
            <w:vAlign w:val="bottom"/>
            <w:gridSpan w:val="7"/>
          </w:tcPr>
          <w:p>
            <w:pPr>
              <w:spacing w:after="0" w:line="169" w:lineRule="exact"/>
              <w:rPr>
                <w:rFonts w:ascii="Arial" w:cs="Arial" w:eastAsia="Arial" w:hAnsi="Arial"/>
                <w:sz w:val="16"/>
                <w:szCs w:val="16"/>
                <w:color w:val="0000EE"/>
              </w:rPr>
            </w:pPr>
            <w:hyperlink w:anchor="page121">
              <w:r>
                <w:rPr>
                  <w:rFonts w:ascii="Arial" w:cs="Arial" w:eastAsia="Arial" w:hAnsi="Arial"/>
                  <w:sz w:val="16"/>
                  <w:szCs w:val="16"/>
                  <w:color w:val="0000EE"/>
                </w:rPr>
                <w:t>(qq) “Stock</w:t>
              </w:r>
            </w:hyperlink>
          </w:p>
        </w:tc>
        <w:tc>
          <w:tcPr>
            <w:tcW w:w="2240" w:type="dxa"/>
            <w:vAlign w:val="bottom"/>
            <w:gridSpan w:val="36"/>
          </w:tcPr>
          <w:p>
            <w:pPr>
              <w:spacing w:after="0" w:line="169" w:lineRule="exact"/>
              <w:rPr>
                <w:rFonts w:ascii="Arial" w:cs="Arial" w:eastAsia="Arial" w:hAnsi="Arial"/>
                <w:sz w:val="16"/>
                <w:szCs w:val="16"/>
                <w:color w:val="0000EE"/>
              </w:rPr>
            </w:pPr>
            <w:hyperlink w:anchor="page121">
              <w:r>
                <w:rPr>
                  <w:rFonts w:ascii="Arial" w:cs="Arial" w:eastAsia="Arial" w:hAnsi="Arial"/>
                  <w:sz w:val="16"/>
                  <w:szCs w:val="16"/>
                  <w:color w:val="0000EE"/>
                </w:rPr>
                <w:t>Appreciation Right”</w:t>
              </w:r>
            </w:hyperlink>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A-4</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2200" w:type="dxa"/>
            <w:vAlign w:val="bottom"/>
            <w:tcBorders>
              <w:top w:val="single" w:sz="8" w:color="0000EE"/>
            </w:tcBorders>
            <w:gridSpan w:val="37"/>
          </w:tcPr>
          <w:p>
            <w:pPr>
              <w:spacing w:after="0" w:line="169" w:lineRule="exact"/>
              <w:rPr>
                <w:rFonts w:ascii="Arial" w:cs="Arial" w:eastAsia="Arial" w:hAnsi="Arial"/>
                <w:sz w:val="16"/>
                <w:szCs w:val="16"/>
                <w:color w:val="0000EE"/>
              </w:rPr>
            </w:pPr>
            <w:hyperlink w:anchor="page121">
              <w:r>
                <w:rPr>
                  <w:rFonts w:ascii="Arial" w:cs="Arial" w:eastAsia="Arial" w:hAnsi="Arial"/>
                  <w:sz w:val="16"/>
                  <w:szCs w:val="16"/>
                  <w:color w:val="0000EE"/>
                </w:rPr>
                <w:t>(rr) “Stock Option”</w:t>
              </w:r>
            </w:hyperlink>
          </w:p>
        </w:tc>
        <w:tc>
          <w:tcPr>
            <w:tcW w:w="960" w:type="dxa"/>
            <w:vAlign w:val="bottom"/>
            <w:gridSpan w:val="6"/>
          </w:tcPr>
          <w:p>
            <w:pPr>
              <w:spacing w:after="0"/>
              <w:rPr>
                <w:sz w:val="14"/>
                <w:szCs w:val="14"/>
                <w:color w:val="auto"/>
              </w:rPr>
            </w:pPr>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A-4</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340" w:type="dxa"/>
            <w:vAlign w:val="bottom"/>
            <w:tcBorders>
              <w:top w:val="single" w:sz="8" w:color="0000EE"/>
            </w:tcBorders>
            <w:gridSpan w:val="16"/>
          </w:tcPr>
          <w:p>
            <w:pPr>
              <w:spacing w:after="0" w:line="169" w:lineRule="exact"/>
              <w:rPr>
                <w:rFonts w:ascii="Arial" w:cs="Arial" w:eastAsia="Arial" w:hAnsi="Arial"/>
                <w:sz w:val="16"/>
                <w:szCs w:val="16"/>
                <w:color w:val="0000EE"/>
              </w:rPr>
            </w:pPr>
            <w:hyperlink w:anchor="page121">
              <w:r>
                <w:rPr>
                  <w:rFonts w:ascii="Arial" w:cs="Arial" w:eastAsia="Arial" w:hAnsi="Arial"/>
                  <w:sz w:val="16"/>
                  <w:szCs w:val="16"/>
                  <w:color w:val="0000EE"/>
                </w:rPr>
                <w:t>(ss) “Stock Option</w:t>
              </w:r>
            </w:hyperlink>
          </w:p>
        </w:tc>
        <w:tc>
          <w:tcPr>
            <w:tcW w:w="1820" w:type="dxa"/>
            <w:vAlign w:val="bottom"/>
            <w:gridSpan w:val="27"/>
          </w:tcPr>
          <w:p>
            <w:pPr>
              <w:spacing w:after="0" w:line="169" w:lineRule="exact"/>
              <w:rPr>
                <w:rFonts w:ascii="Arial" w:cs="Arial" w:eastAsia="Arial" w:hAnsi="Arial"/>
                <w:sz w:val="16"/>
                <w:szCs w:val="16"/>
                <w:color w:val="0000EE"/>
              </w:rPr>
            </w:pPr>
            <w:hyperlink w:anchor="page121">
              <w:r>
                <w:rPr>
                  <w:rFonts w:ascii="Arial" w:cs="Arial" w:eastAsia="Arial" w:hAnsi="Arial"/>
                  <w:sz w:val="16"/>
                  <w:szCs w:val="16"/>
                  <w:color w:val="0000EE"/>
                </w:rPr>
                <w:t>Agreement”</w:t>
              </w:r>
            </w:hyperlink>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A-4</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2180" w:type="dxa"/>
            <w:vAlign w:val="bottom"/>
            <w:tcBorders>
              <w:top w:val="single" w:sz="8" w:color="0000EE"/>
            </w:tcBorders>
            <w:gridSpan w:val="36"/>
          </w:tcPr>
          <w:p>
            <w:pPr>
              <w:spacing w:after="0" w:line="169" w:lineRule="exact"/>
              <w:rPr>
                <w:rFonts w:ascii="Arial" w:cs="Arial" w:eastAsia="Arial" w:hAnsi="Arial"/>
                <w:sz w:val="16"/>
                <w:szCs w:val="16"/>
                <w:color w:val="0000EE"/>
              </w:rPr>
            </w:pPr>
            <w:hyperlink w:anchor="page121">
              <w:r>
                <w:rPr>
                  <w:rFonts w:ascii="Arial" w:cs="Arial" w:eastAsia="Arial" w:hAnsi="Arial"/>
                  <w:sz w:val="16"/>
                  <w:szCs w:val="16"/>
                  <w:color w:val="0000EE"/>
                </w:rPr>
                <w:t>(tt) “Subsidiary”</w:t>
              </w:r>
            </w:hyperlink>
          </w:p>
        </w:tc>
        <w:tc>
          <w:tcPr>
            <w:tcW w:w="980" w:type="dxa"/>
            <w:vAlign w:val="bottom"/>
            <w:gridSpan w:val="7"/>
          </w:tcPr>
          <w:p>
            <w:pPr>
              <w:spacing w:after="0"/>
              <w:rPr>
                <w:sz w:val="14"/>
                <w:szCs w:val="14"/>
                <w:color w:val="auto"/>
              </w:rPr>
            </w:pPr>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A-4</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120" w:type="dxa"/>
            <w:vAlign w:val="bottom"/>
            <w:tcBorders>
              <w:top w:val="single" w:sz="8" w:color="0000EE"/>
              <w:bottom w:val="single" w:sz="8" w:color="0000EE"/>
            </w:tcBorders>
            <w:gridSpan w:val="10"/>
          </w:tcPr>
          <w:p>
            <w:pPr>
              <w:spacing w:after="0" w:line="169" w:lineRule="exact"/>
              <w:rPr>
                <w:rFonts w:ascii="Arial" w:cs="Arial" w:eastAsia="Arial" w:hAnsi="Arial"/>
                <w:sz w:val="16"/>
                <w:szCs w:val="16"/>
                <w:color w:val="0000EE"/>
                <w:w w:val="92"/>
              </w:rPr>
            </w:pPr>
            <w:hyperlink w:anchor="page121">
              <w:r>
                <w:rPr>
                  <w:rFonts w:ascii="Arial" w:cs="Arial" w:eastAsia="Arial" w:hAnsi="Arial"/>
                  <w:sz w:val="16"/>
                  <w:szCs w:val="16"/>
                  <w:color w:val="0000EE"/>
                  <w:w w:val="92"/>
                </w:rPr>
                <w:t>(uu) “Stock Unit”</w:t>
              </w:r>
            </w:hyperlink>
          </w:p>
        </w:tc>
        <w:tc>
          <w:tcPr>
            <w:tcW w:w="60" w:type="dxa"/>
            <w:vAlign w:val="bottom"/>
            <w:tcBorders>
              <w:bottom w:val="single" w:sz="8" w:color="0000EE"/>
            </w:tcBorders>
            <w:gridSpan w:val="3"/>
          </w:tcPr>
          <w:p>
            <w:pPr>
              <w:spacing w:after="0"/>
              <w:rPr>
                <w:sz w:val="14"/>
                <w:szCs w:val="14"/>
                <w:color w:val="auto"/>
              </w:rPr>
            </w:pPr>
          </w:p>
        </w:tc>
        <w:tc>
          <w:tcPr>
            <w:tcW w:w="1980" w:type="dxa"/>
            <w:vAlign w:val="bottom"/>
            <w:gridSpan w:val="30"/>
          </w:tcPr>
          <w:p>
            <w:pPr>
              <w:spacing w:after="0"/>
              <w:rPr>
                <w:sz w:val="14"/>
                <w:szCs w:val="14"/>
                <w:color w:val="auto"/>
              </w:rPr>
            </w:pPr>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A-4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line="1" w:lineRule="exact"/>
        <w:rPr>
          <w:sz w:val="1"/>
          <w:szCs w:val="1"/>
          <w:color w:val="auto"/>
        </w:rPr>
      </w:pPr>
    </w:p>
    <w:tbl>
      <w:tblPr>
        <w:tblLayout w:type="fixed"/>
        <w:tblInd w:w="200" w:type="dxa"/>
        <w:tblCellMar>
          <w:top w:w="0" w:type="dxa"/>
          <w:left w:w="0" w:type="dxa"/>
          <w:bottom w:w="0" w:type="dxa"/>
          <w:right w:w="0" w:type="dxa"/>
        </w:tblCellMar>
      </w:tblPr>
      <w:tr>
        <w:trPr>
          <w:trHeight w:val="184"/>
        </w:trPr>
        <w:tc>
          <w:tcPr>
            <w:tcW w:w="2080" w:type="dxa"/>
            <w:vAlign w:val="bottom"/>
            <w:tcBorders>
              <w:bottom w:val="single" w:sz="8" w:color="0000EE"/>
            </w:tcBorders>
          </w:tcPr>
          <w:p>
            <w:pPr>
              <w:spacing w:after="0"/>
              <w:rPr>
                <w:rFonts w:ascii="Arial" w:cs="Arial" w:eastAsia="Arial" w:hAnsi="Arial"/>
                <w:sz w:val="16"/>
                <w:szCs w:val="16"/>
                <w:color w:val="0000EE"/>
              </w:rPr>
            </w:pPr>
            <w:hyperlink w:anchor="page121">
              <w:r>
                <w:rPr>
                  <w:rFonts w:ascii="Arial" w:cs="Arial" w:eastAsia="Arial" w:hAnsi="Arial"/>
                  <w:sz w:val="16"/>
                  <w:szCs w:val="16"/>
                  <w:color w:val="0000EE"/>
                </w:rPr>
                <w:t>(vv) “Successors or Assigns”</w:t>
              </w:r>
            </w:hyperlink>
          </w:p>
        </w:tc>
        <w:tc>
          <w:tcPr>
            <w:tcW w:w="1360" w:type="dxa"/>
            <w:vAlign w:val="bottom"/>
          </w:tcPr>
          <w:p>
            <w:pPr>
              <w:spacing w:after="0"/>
              <w:rPr>
                <w:sz w:val="16"/>
                <w:szCs w:val="16"/>
                <w:color w:val="auto"/>
              </w:rPr>
            </w:pPr>
          </w:p>
        </w:tc>
        <w:tc>
          <w:tcPr>
            <w:tcW w:w="1700" w:type="dxa"/>
            <w:vAlign w:val="bottom"/>
          </w:tcPr>
          <w:p>
            <w:pPr>
              <w:ind w:left="1440"/>
              <w:spacing w:after="0"/>
              <w:rPr>
                <w:sz w:val="20"/>
                <w:szCs w:val="20"/>
                <w:color w:val="auto"/>
              </w:rPr>
            </w:pPr>
            <w:r>
              <w:rPr>
                <w:rFonts w:ascii="Arial" w:cs="Arial" w:eastAsia="Arial" w:hAnsi="Arial"/>
                <w:sz w:val="16"/>
                <w:szCs w:val="16"/>
                <w:color w:val="auto"/>
                <w:w w:val="96"/>
              </w:rPr>
              <w:t>A-4</w:t>
            </w:r>
          </w:p>
        </w:tc>
      </w:tr>
      <w:tr>
        <w:trPr>
          <w:trHeight w:val="169"/>
        </w:trPr>
        <w:tc>
          <w:tcPr>
            <w:tcW w:w="3440" w:type="dxa"/>
            <w:vAlign w:val="bottom"/>
            <w:tcBorders>
              <w:bottom w:val="single" w:sz="8" w:color="0000EE"/>
            </w:tcBorders>
            <w:gridSpan w:val="2"/>
          </w:tcPr>
          <w:p>
            <w:pPr>
              <w:spacing w:after="0" w:line="169" w:lineRule="exact"/>
              <w:rPr>
                <w:rFonts w:ascii="Arial" w:cs="Arial" w:eastAsia="Arial" w:hAnsi="Arial"/>
                <w:sz w:val="16"/>
                <w:szCs w:val="16"/>
                <w:color w:val="0000EE"/>
                <w:w w:val="99"/>
              </w:rPr>
            </w:pPr>
            <w:hyperlink w:anchor="page121">
              <w:r>
                <w:rPr>
                  <w:rFonts w:ascii="Arial" w:cs="Arial" w:eastAsia="Arial" w:hAnsi="Arial"/>
                  <w:sz w:val="16"/>
                  <w:szCs w:val="16"/>
                  <w:color w:val="0000EE"/>
                  <w:w w:val="99"/>
                </w:rPr>
                <w:t>(ww) “Termination”, “Terminated”, or “Terminate”</w:t>
              </w:r>
            </w:hyperlink>
          </w:p>
        </w:tc>
        <w:tc>
          <w:tcPr>
            <w:tcW w:w="1700" w:type="dxa"/>
            <w:vAlign w:val="bottom"/>
          </w:tcPr>
          <w:p>
            <w:pPr>
              <w:ind w:left="1440"/>
              <w:spacing w:after="0" w:line="169" w:lineRule="exact"/>
              <w:rPr>
                <w:sz w:val="20"/>
                <w:szCs w:val="20"/>
                <w:color w:val="auto"/>
              </w:rPr>
            </w:pPr>
            <w:r>
              <w:rPr>
                <w:rFonts w:ascii="Arial" w:cs="Arial" w:eastAsia="Arial" w:hAnsi="Arial"/>
                <w:sz w:val="16"/>
                <w:szCs w:val="16"/>
                <w:color w:val="auto"/>
                <w:w w:val="96"/>
              </w:rPr>
              <w:t>A-4</w:t>
            </w:r>
          </w:p>
        </w:tc>
      </w:tr>
    </w:tbl>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gridSpan w:val="37"/>
          </w:tcPr>
          <w:p>
            <w:pPr>
              <w:spacing w:after="0"/>
              <w:rPr>
                <w:rFonts w:ascii="Arial" w:cs="Arial" w:eastAsia="Arial" w:hAnsi="Arial"/>
                <w:sz w:val="18"/>
                <w:szCs w:val="18"/>
                <w:b w:val="1"/>
                <w:bCs w:val="1"/>
                <w:color w:val="0000EE"/>
              </w:rPr>
            </w:pPr>
            <w:hyperlink w:anchor="page121">
              <w:r>
                <w:rPr>
                  <w:rFonts w:ascii="Arial" w:cs="Arial" w:eastAsia="Arial" w:hAnsi="Arial"/>
                  <w:sz w:val="18"/>
                  <w:szCs w:val="18"/>
                  <w:b w:val="1"/>
                  <w:bCs w:val="1"/>
                  <w:color w:val="0000EE"/>
                </w:rPr>
                <w:t>SECTION III. ADMINISTRATION</w:t>
              </w:r>
            </w:hyperlink>
          </w:p>
        </w:tc>
        <w:tc>
          <w:tcPr>
            <w:tcW w:w="660" w:type="dxa"/>
            <w:vAlign w:val="bottom"/>
          </w:tcPr>
          <w:p>
            <w:pPr>
              <w:jc w:val="right"/>
              <w:spacing w:after="0"/>
              <w:rPr>
                <w:sz w:val="20"/>
                <w:szCs w:val="20"/>
                <w:color w:val="auto"/>
              </w:rPr>
            </w:pPr>
            <w:r>
              <w:rPr>
                <w:rFonts w:ascii="Arial" w:cs="Arial" w:eastAsia="Arial" w:hAnsi="Arial"/>
                <w:sz w:val="18"/>
                <w:szCs w:val="18"/>
                <w:b w:val="1"/>
                <w:bCs w:val="1"/>
                <w:color w:val="0B2D71"/>
              </w:rPr>
              <w:t>A-4</w:t>
            </w:r>
          </w:p>
        </w:tc>
        <w:tc>
          <w:tcPr>
            <w:tcW w:w="0" w:type="dxa"/>
            <w:vAlign w:val="bottom"/>
          </w:tcPr>
          <w:p>
            <w:pPr>
              <w:spacing w:after="0"/>
              <w:rPr>
                <w:sz w:val="1"/>
                <w:szCs w:val="1"/>
                <w:color w:val="auto"/>
              </w:rPr>
            </w:pPr>
          </w:p>
        </w:tc>
      </w:tr>
      <w:tr>
        <w:trPr>
          <w:trHeight w:val="169"/>
        </w:trPr>
        <w:tc>
          <w:tcPr>
            <w:tcW w:w="220" w:type="dxa"/>
            <w:vAlign w:val="bottom"/>
            <w:tcBorders>
              <w:top w:val="single" w:sz="8" w:color="0000EE"/>
            </w:tcBorders>
          </w:tcPr>
          <w:p>
            <w:pPr>
              <w:spacing w:after="0"/>
              <w:rPr>
                <w:sz w:val="14"/>
                <w:szCs w:val="14"/>
                <w:color w:val="auto"/>
              </w:rPr>
            </w:pPr>
          </w:p>
        </w:tc>
        <w:tc>
          <w:tcPr>
            <w:tcW w:w="2440" w:type="dxa"/>
            <w:vAlign w:val="bottom"/>
            <w:tcBorders>
              <w:top w:val="single" w:sz="8" w:color="0000EE"/>
            </w:tcBorders>
            <w:gridSpan w:val="19"/>
          </w:tcPr>
          <w:p>
            <w:pPr>
              <w:spacing w:after="0" w:line="169" w:lineRule="exact"/>
              <w:rPr>
                <w:rFonts w:ascii="Arial" w:cs="Arial" w:eastAsia="Arial" w:hAnsi="Arial"/>
                <w:sz w:val="16"/>
                <w:szCs w:val="16"/>
                <w:color w:val="0000EE"/>
              </w:rPr>
            </w:pPr>
            <w:hyperlink w:anchor="page121">
              <w:r>
                <w:rPr>
                  <w:rFonts w:ascii="Arial" w:cs="Arial" w:eastAsia="Arial" w:hAnsi="Arial"/>
                  <w:sz w:val="16"/>
                  <w:szCs w:val="16"/>
                  <w:color w:val="0000EE"/>
                </w:rPr>
                <w:t>(a) Composition of the Committee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6"/>
                <w:szCs w:val="16"/>
                <w:color w:val="auto"/>
              </w:rPr>
              <w:t>A-4</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2420" w:type="dxa"/>
            <w:vAlign w:val="bottom"/>
            <w:tcBorders>
              <w:top w:val="single" w:sz="8" w:color="0000EE"/>
            </w:tcBorders>
            <w:gridSpan w:val="18"/>
          </w:tcPr>
          <w:p>
            <w:pPr>
              <w:spacing w:after="0" w:line="169" w:lineRule="exact"/>
              <w:rPr>
                <w:rFonts w:ascii="Arial" w:cs="Arial" w:eastAsia="Arial" w:hAnsi="Arial"/>
                <w:sz w:val="16"/>
                <w:szCs w:val="16"/>
                <w:color w:val="0000EE"/>
              </w:rPr>
            </w:pPr>
            <w:hyperlink w:anchor="page122">
              <w:r>
                <w:rPr>
                  <w:rFonts w:ascii="Arial" w:cs="Arial" w:eastAsia="Arial" w:hAnsi="Arial"/>
                  <w:sz w:val="16"/>
                  <w:szCs w:val="16"/>
                  <w:color w:val="0000EE"/>
                </w:rPr>
                <w:t>(b) Actions by the Committee</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6"/>
                <w:szCs w:val="16"/>
                <w:color w:val="auto"/>
              </w:rPr>
              <w:t>A-5</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2060" w:type="dxa"/>
            <w:vAlign w:val="bottom"/>
            <w:tcBorders>
              <w:top w:val="single" w:sz="8" w:color="0000EE"/>
              <w:bottom w:val="single" w:sz="8" w:color="0000EE"/>
            </w:tcBorders>
            <w:gridSpan w:val="14"/>
          </w:tcPr>
          <w:p>
            <w:pPr>
              <w:spacing w:after="0" w:line="169" w:lineRule="exact"/>
              <w:rPr>
                <w:rFonts w:ascii="Arial" w:cs="Arial" w:eastAsia="Arial" w:hAnsi="Arial"/>
                <w:sz w:val="16"/>
                <w:szCs w:val="16"/>
                <w:color w:val="0000EE"/>
              </w:rPr>
            </w:pPr>
            <w:hyperlink w:anchor="page122">
              <w:r>
                <w:rPr>
                  <w:rFonts w:ascii="Arial" w:cs="Arial" w:eastAsia="Arial" w:hAnsi="Arial"/>
                  <w:sz w:val="16"/>
                  <w:szCs w:val="16"/>
                  <w:color w:val="0000EE"/>
                </w:rPr>
                <w:t>(c) Powers of the Committee</w:t>
              </w:r>
            </w:hyperlink>
          </w:p>
        </w:tc>
        <w:tc>
          <w:tcPr>
            <w:tcW w:w="20" w:type="dxa"/>
            <w:vAlign w:val="bottom"/>
            <w:tcBorders>
              <w:top w:val="single" w:sz="8" w:color="0000EE"/>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6"/>
                <w:szCs w:val="16"/>
                <w:color w:val="auto"/>
              </w:rPr>
              <w:t>A-5</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4460" w:type="dxa"/>
            <w:vAlign w:val="bottom"/>
            <w:gridSpan w:val="36"/>
          </w:tcPr>
          <w:p>
            <w:pPr>
              <w:spacing w:after="0" w:line="169" w:lineRule="exact"/>
              <w:rPr>
                <w:rFonts w:ascii="Arial" w:cs="Arial" w:eastAsia="Arial" w:hAnsi="Arial"/>
                <w:sz w:val="16"/>
                <w:szCs w:val="16"/>
                <w:color w:val="0000EE"/>
              </w:rPr>
            </w:pPr>
            <w:hyperlink w:anchor="page122">
              <w:r>
                <w:rPr>
                  <w:rFonts w:ascii="Arial" w:cs="Arial" w:eastAsia="Arial" w:hAnsi="Arial"/>
                  <w:sz w:val="16"/>
                  <w:szCs w:val="16"/>
                  <w:color w:val="0000EE"/>
                </w:rPr>
                <w:t>(d) Liability of Committee Members</w:t>
              </w:r>
            </w:hyperlink>
          </w:p>
        </w:tc>
        <w:tc>
          <w:tcPr>
            <w:tcW w:w="660" w:type="dxa"/>
            <w:vAlign w:val="bottom"/>
          </w:tcPr>
          <w:p>
            <w:pPr>
              <w:jc w:val="right"/>
              <w:spacing w:after="0" w:line="169" w:lineRule="exact"/>
              <w:rPr>
                <w:sz w:val="20"/>
                <w:szCs w:val="20"/>
                <w:color w:val="auto"/>
              </w:rPr>
            </w:pPr>
            <w:r>
              <w:rPr>
                <w:rFonts w:ascii="Arial" w:cs="Arial" w:eastAsia="Arial" w:hAnsi="Arial"/>
                <w:sz w:val="16"/>
                <w:szCs w:val="16"/>
                <w:color w:val="auto"/>
              </w:rPr>
              <w:t>A-5</w:t>
            </w:r>
          </w:p>
        </w:tc>
        <w:tc>
          <w:tcPr>
            <w:tcW w:w="0" w:type="dxa"/>
            <w:vAlign w:val="bottom"/>
          </w:tcPr>
          <w:p>
            <w:pPr>
              <w:spacing w:after="0"/>
              <w:rPr>
                <w:sz w:val="1"/>
                <w:szCs w:val="1"/>
                <w:color w:val="auto"/>
              </w:rPr>
            </w:pP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A-5</w:t>
            </w:r>
          </w:p>
        </w:tc>
        <w:tc>
          <w:tcPr>
            <w:tcW w:w="0" w:type="dxa"/>
            <w:vAlign w:val="bottom"/>
          </w:tcPr>
          <w:p>
            <w:pPr>
              <w:spacing w:after="0" w:line="20" w:lineRule="exact"/>
              <w:rPr>
                <w:sz w:val="1"/>
                <w:szCs w:val="1"/>
                <w:color w:val="auto"/>
              </w:rPr>
            </w:pPr>
          </w:p>
        </w:tc>
      </w:tr>
      <w:tr>
        <w:trPr>
          <w:trHeight w:val="169"/>
        </w:trPr>
        <w:tc>
          <w:tcPr>
            <w:tcW w:w="220" w:type="dxa"/>
            <w:vAlign w:val="bottom"/>
          </w:tcPr>
          <w:p>
            <w:pPr>
              <w:spacing w:after="0"/>
              <w:rPr>
                <w:sz w:val="14"/>
                <w:szCs w:val="14"/>
                <w:color w:val="auto"/>
              </w:rPr>
            </w:pPr>
          </w:p>
        </w:tc>
        <w:tc>
          <w:tcPr>
            <w:tcW w:w="4300" w:type="dxa"/>
            <w:vAlign w:val="bottom"/>
            <w:tcBorders>
              <w:bottom w:val="single" w:sz="8" w:color="0000EE"/>
            </w:tcBorders>
            <w:gridSpan w:val="34"/>
          </w:tcPr>
          <w:p>
            <w:pPr>
              <w:spacing w:after="0" w:line="169" w:lineRule="exact"/>
              <w:rPr>
                <w:rFonts w:ascii="Arial" w:cs="Arial" w:eastAsia="Arial" w:hAnsi="Arial"/>
                <w:sz w:val="16"/>
                <w:szCs w:val="16"/>
                <w:color w:val="0000EE"/>
              </w:rPr>
            </w:pPr>
            <w:hyperlink w:anchor="page122">
              <w:r>
                <w:rPr>
                  <w:rFonts w:ascii="Arial" w:cs="Arial" w:eastAsia="Arial" w:hAnsi="Arial"/>
                  <w:sz w:val="16"/>
                  <w:szCs w:val="16"/>
                  <w:color w:val="0000EE"/>
                </w:rPr>
                <w:t>(e) Administration of the Plan Following a Change in Control</w:t>
              </w:r>
            </w:hyperlink>
          </w:p>
        </w:tc>
        <w:tc>
          <w:tcPr>
            <w:tcW w:w="160" w:type="dxa"/>
            <w:vAlign w:val="bottom"/>
            <w:gridSpan w:val="2"/>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680" w:type="dxa"/>
            <w:vAlign w:val="bottom"/>
            <w:gridSpan w:val="37"/>
          </w:tcPr>
          <w:p>
            <w:pPr>
              <w:spacing w:after="0"/>
              <w:rPr>
                <w:rFonts w:ascii="Arial" w:cs="Arial" w:eastAsia="Arial" w:hAnsi="Arial"/>
                <w:sz w:val="18"/>
                <w:szCs w:val="18"/>
                <w:b w:val="1"/>
                <w:bCs w:val="1"/>
                <w:color w:val="0000EE"/>
              </w:rPr>
            </w:pPr>
            <w:hyperlink w:anchor="page122">
              <w:r>
                <w:rPr>
                  <w:rFonts w:ascii="Arial" w:cs="Arial" w:eastAsia="Arial" w:hAnsi="Arial"/>
                  <w:sz w:val="18"/>
                  <w:szCs w:val="18"/>
                  <w:b w:val="1"/>
                  <w:bCs w:val="1"/>
                  <w:color w:val="0000EE"/>
                </w:rPr>
                <w:t>SECTION IV. DURATION OF THE PLAN</w:t>
              </w:r>
            </w:hyperlink>
          </w:p>
        </w:tc>
        <w:tc>
          <w:tcPr>
            <w:tcW w:w="660" w:type="dxa"/>
            <w:vAlign w:val="bottom"/>
          </w:tcPr>
          <w:p>
            <w:pPr>
              <w:jc w:val="right"/>
              <w:spacing w:after="0"/>
              <w:rPr>
                <w:sz w:val="20"/>
                <w:szCs w:val="20"/>
                <w:color w:val="auto"/>
              </w:rPr>
            </w:pPr>
            <w:r>
              <w:rPr>
                <w:rFonts w:ascii="Arial" w:cs="Arial" w:eastAsia="Arial" w:hAnsi="Arial"/>
                <w:sz w:val="18"/>
                <w:szCs w:val="18"/>
                <w:b w:val="1"/>
                <w:bCs w:val="1"/>
                <w:color w:val="0B2D71"/>
              </w:rPr>
              <w:t>A-5</w:t>
            </w:r>
          </w:p>
        </w:tc>
        <w:tc>
          <w:tcPr>
            <w:tcW w:w="0" w:type="dxa"/>
            <w:vAlign w:val="bottom"/>
          </w:tcPr>
          <w:p>
            <w:pPr>
              <w:spacing w:after="0"/>
              <w:rPr>
                <w:sz w:val="1"/>
                <w:szCs w:val="1"/>
                <w:color w:val="auto"/>
              </w:rPr>
            </w:pPr>
          </w:p>
        </w:tc>
      </w:tr>
      <w:tr>
        <w:trPr>
          <w:trHeight w:val="20"/>
        </w:trPr>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gridSpan w:val="37"/>
          </w:tcPr>
          <w:p>
            <w:pPr>
              <w:spacing w:after="0"/>
              <w:rPr>
                <w:rFonts w:ascii="Arial" w:cs="Arial" w:eastAsia="Arial" w:hAnsi="Arial"/>
                <w:sz w:val="18"/>
                <w:szCs w:val="18"/>
                <w:b w:val="1"/>
                <w:bCs w:val="1"/>
                <w:color w:val="0000EE"/>
              </w:rPr>
            </w:pPr>
            <w:hyperlink w:anchor="page122">
              <w:r>
                <w:rPr>
                  <w:rFonts w:ascii="Arial" w:cs="Arial" w:eastAsia="Arial" w:hAnsi="Arial"/>
                  <w:sz w:val="18"/>
                  <w:szCs w:val="18"/>
                  <w:b w:val="1"/>
                  <w:bCs w:val="1"/>
                  <w:color w:val="0000EE"/>
                </w:rPr>
                <w:t>SECTION V. SHARES SUBJECT TO THE PLAN</w:t>
              </w:r>
            </w:hyperlink>
          </w:p>
        </w:tc>
        <w:tc>
          <w:tcPr>
            <w:tcW w:w="660" w:type="dxa"/>
            <w:vAlign w:val="bottom"/>
          </w:tcPr>
          <w:p>
            <w:pPr>
              <w:jc w:val="right"/>
              <w:spacing w:after="0"/>
              <w:rPr>
                <w:sz w:val="20"/>
                <w:szCs w:val="20"/>
                <w:color w:val="auto"/>
              </w:rPr>
            </w:pPr>
            <w:r>
              <w:rPr>
                <w:rFonts w:ascii="Arial" w:cs="Arial" w:eastAsia="Arial" w:hAnsi="Arial"/>
                <w:sz w:val="18"/>
                <w:szCs w:val="18"/>
                <w:b w:val="1"/>
                <w:bCs w:val="1"/>
                <w:color w:val="0B2D71"/>
              </w:rPr>
              <w:t>A-5</w:t>
            </w:r>
          </w:p>
        </w:tc>
        <w:tc>
          <w:tcPr>
            <w:tcW w:w="0" w:type="dxa"/>
            <w:vAlign w:val="bottom"/>
          </w:tcPr>
          <w:p>
            <w:pPr>
              <w:spacing w:after="0"/>
              <w:rPr>
                <w:sz w:val="1"/>
                <w:szCs w:val="1"/>
                <w:color w:val="auto"/>
              </w:rPr>
            </w:pPr>
          </w:p>
        </w:tc>
      </w:tr>
      <w:tr>
        <w:trPr>
          <w:trHeight w:val="169"/>
        </w:trPr>
        <w:tc>
          <w:tcPr>
            <w:tcW w:w="220" w:type="dxa"/>
            <w:vAlign w:val="bottom"/>
            <w:tcBorders>
              <w:top w:val="single" w:sz="8" w:color="0000EE"/>
            </w:tcBorders>
          </w:tcPr>
          <w:p>
            <w:pPr>
              <w:spacing w:after="0"/>
              <w:rPr>
                <w:sz w:val="14"/>
                <w:szCs w:val="14"/>
                <w:color w:val="auto"/>
              </w:rPr>
            </w:pPr>
          </w:p>
        </w:tc>
        <w:tc>
          <w:tcPr>
            <w:tcW w:w="2300" w:type="dxa"/>
            <w:vAlign w:val="bottom"/>
            <w:tcBorders>
              <w:top w:val="single" w:sz="8" w:color="0000EE"/>
              <w:bottom w:val="single" w:sz="8" w:color="0000EE"/>
            </w:tcBorders>
            <w:gridSpan w:val="17"/>
          </w:tcPr>
          <w:p>
            <w:pPr>
              <w:spacing w:after="0" w:line="169" w:lineRule="exact"/>
              <w:rPr>
                <w:rFonts w:ascii="Arial" w:cs="Arial" w:eastAsia="Arial" w:hAnsi="Arial"/>
                <w:sz w:val="16"/>
                <w:szCs w:val="16"/>
                <w:color w:val="0000EE"/>
              </w:rPr>
            </w:pPr>
            <w:hyperlink w:anchor="page122">
              <w:r>
                <w:rPr>
                  <w:rFonts w:ascii="Arial" w:cs="Arial" w:eastAsia="Arial" w:hAnsi="Arial"/>
                  <w:sz w:val="16"/>
                  <w:szCs w:val="16"/>
                  <w:color w:val="0000EE"/>
                </w:rPr>
                <w:t>(a) Maximum Number of Shares</w:t>
              </w:r>
            </w:hyperlink>
          </w:p>
        </w:tc>
        <w:tc>
          <w:tcPr>
            <w:tcW w:w="1420" w:type="dxa"/>
            <w:vAlign w:val="bottom"/>
            <w:tcBorders>
              <w:top w:val="single" w:sz="8" w:color="0000EE"/>
            </w:tcBorders>
            <w:gridSpan w:val="14"/>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6"/>
                <w:szCs w:val="16"/>
                <w:color w:val="auto"/>
              </w:rPr>
              <w:t>A-5</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4460" w:type="dxa"/>
            <w:vAlign w:val="bottom"/>
            <w:gridSpan w:val="36"/>
          </w:tcPr>
          <w:p>
            <w:pPr>
              <w:spacing w:after="0" w:line="169" w:lineRule="exact"/>
              <w:rPr>
                <w:rFonts w:ascii="Arial" w:cs="Arial" w:eastAsia="Arial" w:hAnsi="Arial"/>
                <w:sz w:val="16"/>
                <w:szCs w:val="16"/>
                <w:color w:val="0000EE"/>
              </w:rPr>
            </w:pPr>
            <w:hyperlink w:anchor="page123">
              <w:r>
                <w:rPr>
                  <w:rFonts w:ascii="Arial" w:cs="Arial" w:eastAsia="Arial" w:hAnsi="Arial"/>
                  <w:sz w:val="16"/>
                  <w:szCs w:val="16"/>
                  <w:color w:val="0000EE"/>
                </w:rPr>
                <w:t>(b) Accounting for Number of Shares</w:t>
              </w:r>
            </w:hyperlink>
          </w:p>
        </w:tc>
        <w:tc>
          <w:tcPr>
            <w:tcW w:w="660" w:type="dxa"/>
            <w:vAlign w:val="bottom"/>
          </w:tcPr>
          <w:p>
            <w:pPr>
              <w:jc w:val="right"/>
              <w:spacing w:after="0" w:line="169" w:lineRule="exact"/>
              <w:rPr>
                <w:sz w:val="20"/>
                <w:szCs w:val="20"/>
                <w:color w:val="auto"/>
              </w:rPr>
            </w:pPr>
            <w:r>
              <w:rPr>
                <w:rFonts w:ascii="Arial" w:cs="Arial" w:eastAsia="Arial" w:hAnsi="Arial"/>
                <w:sz w:val="16"/>
                <w:szCs w:val="16"/>
                <w:color w:val="auto"/>
              </w:rPr>
              <w:t>A-6</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2620" w:type="dxa"/>
            <w:vAlign w:val="bottom"/>
            <w:tcBorders>
              <w:top w:val="single" w:sz="8" w:color="0000EE"/>
              <w:bottom w:val="single" w:sz="8" w:color="0000EE"/>
            </w:tcBorders>
            <w:gridSpan w:val="22"/>
          </w:tcPr>
          <w:p>
            <w:pPr>
              <w:spacing w:after="0" w:line="169" w:lineRule="exact"/>
              <w:rPr>
                <w:rFonts w:ascii="Arial" w:cs="Arial" w:eastAsia="Arial" w:hAnsi="Arial"/>
                <w:sz w:val="16"/>
                <w:szCs w:val="16"/>
                <w:color w:val="0000EE"/>
                <w:w w:val="99"/>
              </w:rPr>
            </w:pPr>
            <w:hyperlink w:anchor="page123">
              <w:r>
                <w:rPr>
                  <w:rFonts w:ascii="Arial" w:cs="Arial" w:eastAsia="Arial" w:hAnsi="Arial"/>
                  <w:sz w:val="16"/>
                  <w:szCs w:val="16"/>
                  <w:color w:val="0000EE"/>
                  <w:w w:val="99"/>
                </w:rPr>
                <w:t>(c) Source of Stock Issued Under the</w:t>
              </w:r>
            </w:hyperlink>
          </w:p>
        </w:tc>
        <w:tc>
          <w:tcPr>
            <w:tcW w:w="60" w:type="dxa"/>
            <w:vAlign w:val="bottom"/>
            <w:tcBorders>
              <w:bottom w:val="single" w:sz="8" w:color="0000EE"/>
            </w:tcBorders>
          </w:tcPr>
          <w:p>
            <w:pPr>
              <w:spacing w:after="0"/>
              <w:rPr>
                <w:sz w:val="14"/>
                <w:szCs w:val="14"/>
                <w:color w:val="auto"/>
              </w:rPr>
            </w:pPr>
          </w:p>
        </w:tc>
        <w:tc>
          <w:tcPr>
            <w:tcW w:w="380" w:type="dxa"/>
            <w:vAlign w:val="bottom"/>
            <w:tcBorders>
              <w:bottom w:val="single" w:sz="8" w:color="0000EE"/>
            </w:tcBorders>
            <w:gridSpan w:val="5"/>
          </w:tcPr>
          <w:p>
            <w:pPr>
              <w:ind w:left="20"/>
              <w:spacing w:after="0" w:line="169" w:lineRule="exact"/>
              <w:rPr>
                <w:rFonts w:ascii="Arial" w:cs="Arial" w:eastAsia="Arial" w:hAnsi="Arial"/>
                <w:sz w:val="16"/>
                <w:szCs w:val="16"/>
                <w:color w:val="0000EE"/>
                <w:w w:val="99"/>
              </w:rPr>
            </w:pPr>
            <w:hyperlink w:anchor="page123">
              <w:r>
                <w:rPr>
                  <w:rFonts w:ascii="Arial" w:cs="Arial" w:eastAsia="Arial" w:hAnsi="Arial"/>
                  <w:sz w:val="16"/>
                  <w:szCs w:val="16"/>
                  <w:color w:val="0000EE"/>
                  <w:w w:val="99"/>
                </w:rPr>
                <w:t>Plan</w:t>
              </w:r>
            </w:hyperlink>
          </w:p>
        </w:tc>
        <w:tc>
          <w:tcPr>
            <w:tcW w:w="1400" w:type="dxa"/>
            <w:vAlign w:val="bottom"/>
            <w:gridSpan w:val="8"/>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6"/>
                <w:szCs w:val="16"/>
                <w:color w:val="auto"/>
              </w:rPr>
              <w:t>A-6</w:t>
            </w:r>
          </w:p>
        </w:tc>
        <w:tc>
          <w:tcPr>
            <w:tcW w:w="0" w:type="dxa"/>
            <w:vAlign w:val="bottom"/>
          </w:tcPr>
          <w:p>
            <w:pPr>
              <w:spacing w:after="0"/>
              <w:rPr>
                <w:sz w:val="1"/>
                <w:szCs w:val="1"/>
                <w:color w:val="auto"/>
              </w:rPr>
            </w:pPr>
          </w:p>
        </w:tc>
      </w:tr>
      <w:tr>
        <w:trPr>
          <w:trHeight w:val="250"/>
        </w:trPr>
        <w:tc>
          <w:tcPr>
            <w:tcW w:w="4680" w:type="dxa"/>
            <w:vAlign w:val="bottom"/>
            <w:gridSpan w:val="37"/>
          </w:tcPr>
          <w:p>
            <w:pPr>
              <w:spacing w:after="0"/>
              <w:rPr>
                <w:rFonts w:ascii="Arial" w:cs="Arial" w:eastAsia="Arial" w:hAnsi="Arial"/>
                <w:sz w:val="18"/>
                <w:szCs w:val="18"/>
                <w:b w:val="1"/>
                <w:bCs w:val="1"/>
                <w:color w:val="0000EE"/>
              </w:rPr>
            </w:pPr>
            <w:hyperlink w:anchor="page123">
              <w:r>
                <w:rPr>
                  <w:rFonts w:ascii="Arial" w:cs="Arial" w:eastAsia="Arial" w:hAnsi="Arial"/>
                  <w:sz w:val="18"/>
                  <w:szCs w:val="18"/>
                  <w:b w:val="1"/>
                  <w:bCs w:val="1"/>
                  <w:color w:val="0000EE"/>
                </w:rPr>
                <w:t>SECTION VI. PERSONS ELIGIBLE FOR AWARDS</w:t>
              </w:r>
            </w:hyperlink>
          </w:p>
        </w:tc>
        <w:tc>
          <w:tcPr>
            <w:tcW w:w="660" w:type="dxa"/>
            <w:vAlign w:val="bottom"/>
          </w:tcPr>
          <w:p>
            <w:pPr>
              <w:jc w:val="right"/>
              <w:spacing w:after="0"/>
              <w:rPr>
                <w:sz w:val="20"/>
                <w:szCs w:val="20"/>
                <w:color w:val="auto"/>
              </w:rPr>
            </w:pPr>
            <w:r>
              <w:rPr>
                <w:rFonts w:ascii="Arial" w:cs="Arial" w:eastAsia="Arial" w:hAnsi="Arial"/>
                <w:sz w:val="18"/>
                <w:szCs w:val="18"/>
                <w:b w:val="1"/>
                <w:bCs w:val="1"/>
                <w:color w:val="0B2D71"/>
              </w:rPr>
              <w:t>A-6</w:t>
            </w:r>
          </w:p>
        </w:tc>
        <w:tc>
          <w:tcPr>
            <w:tcW w:w="0" w:type="dxa"/>
            <w:vAlign w:val="bottom"/>
          </w:tcPr>
          <w:p>
            <w:pPr>
              <w:spacing w:after="0"/>
              <w:rPr>
                <w:sz w:val="1"/>
                <w:szCs w:val="1"/>
                <w:color w:val="auto"/>
              </w:rPr>
            </w:pPr>
          </w:p>
        </w:tc>
      </w:tr>
      <w:tr>
        <w:trPr>
          <w:trHeight w:val="250"/>
        </w:trPr>
        <w:tc>
          <w:tcPr>
            <w:tcW w:w="4140" w:type="dxa"/>
            <w:vAlign w:val="bottom"/>
            <w:tcBorders>
              <w:top w:val="single" w:sz="8" w:color="0000EE"/>
            </w:tcBorders>
            <w:gridSpan w:val="34"/>
          </w:tcPr>
          <w:p>
            <w:pPr>
              <w:spacing w:after="0"/>
              <w:rPr>
                <w:rFonts w:ascii="Arial" w:cs="Arial" w:eastAsia="Arial" w:hAnsi="Arial"/>
                <w:sz w:val="18"/>
                <w:szCs w:val="18"/>
                <w:b w:val="1"/>
                <w:bCs w:val="1"/>
                <w:color w:val="0000EE"/>
                <w:w w:val="99"/>
              </w:rPr>
            </w:pPr>
            <w:hyperlink w:anchor="page123">
              <w:r>
                <w:rPr>
                  <w:rFonts w:ascii="Arial" w:cs="Arial" w:eastAsia="Arial" w:hAnsi="Arial"/>
                  <w:sz w:val="18"/>
                  <w:szCs w:val="18"/>
                  <w:b w:val="1"/>
                  <w:bCs w:val="1"/>
                  <w:color w:val="0000EE"/>
                  <w:w w:val="99"/>
                </w:rPr>
                <w:t>SECTION VII. AGGREGATE LIMITS ON AWARDS</w:t>
              </w:r>
            </w:hyperlink>
          </w:p>
        </w:tc>
        <w:tc>
          <w:tcPr>
            <w:tcW w:w="540" w:type="dxa"/>
            <w:vAlign w:val="bottom"/>
            <w:gridSpan w:val="3"/>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0B2D71"/>
              </w:rPr>
              <w:t>A-6</w:t>
            </w:r>
          </w:p>
        </w:tc>
        <w:tc>
          <w:tcPr>
            <w:tcW w:w="0" w:type="dxa"/>
            <w:vAlign w:val="bottom"/>
          </w:tcPr>
          <w:p>
            <w:pPr>
              <w:spacing w:after="0"/>
              <w:rPr>
                <w:sz w:val="1"/>
                <w:szCs w:val="1"/>
                <w:color w:val="auto"/>
              </w:rPr>
            </w:pPr>
          </w:p>
        </w:tc>
      </w:tr>
      <w:tr>
        <w:trPr>
          <w:trHeight w:val="169"/>
        </w:trPr>
        <w:tc>
          <w:tcPr>
            <w:tcW w:w="220" w:type="dxa"/>
            <w:vAlign w:val="bottom"/>
            <w:tcBorders>
              <w:top w:val="single" w:sz="8" w:color="0000EE"/>
            </w:tcBorders>
          </w:tcPr>
          <w:p>
            <w:pPr>
              <w:spacing w:after="0"/>
              <w:rPr>
                <w:sz w:val="14"/>
                <w:szCs w:val="14"/>
                <w:color w:val="auto"/>
              </w:rPr>
            </w:pPr>
          </w:p>
        </w:tc>
        <w:tc>
          <w:tcPr>
            <w:tcW w:w="3900" w:type="dxa"/>
            <w:vAlign w:val="bottom"/>
            <w:tcBorders>
              <w:top w:val="single" w:sz="8" w:color="0000EE"/>
            </w:tcBorders>
            <w:gridSpan w:val="32"/>
          </w:tcPr>
          <w:p>
            <w:pPr>
              <w:spacing w:after="0" w:line="169" w:lineRule="exact"/>
              <w:rPr>
                <w:rFonts w:ascii="Arial" w:cs="Arial" w:eastAsia="Arial" w:hAnsi="Arial"/>
                <w:sz w:val="16"/>
                <w:szCs w:val="16"/>
                <w:color w:val="0000EE"/>
                <w:w w:val="97"/>
              </w:rPr>
            </w:pPr>
            <w:hyperlink w:anchor="page123">
              <w:r>
                <w:rPr>
                  <w:rFonts w:ascii="Arial" w:cs="Arial" w:eastAsia="Arial" w:hAnsi="Arial"/>
                  <w:sz w:val="16"/>
                  <w:szCs w:val="16"/>
                  <w:color w:val="0000EE"/>
                  <w:w w:val="97"/>
                </w:rPr>
                <w:t>(a) Stock Options, Stock Appreciation Rights, Restricted</w:t>
              </w:r>
            </w:hyperlink>
          </w:p>
        </w:tc>
        <w:tc>
          <w:tcPr>
            <w:tcW w:w="560" w:type="dxa"/>
            <w:vAlign w:val="bottom"/>
            <w:gridSpan w:val="4"/>
          </w:tcPr>
          <w:p>
            <w:pPr>
              <w:ind w:left="160"/>
              <w:spacing w:after="0" w:line="169" w:lineRule="exact"/>
              <w:rPr>
                <w:rFonts w:ascii="Arial" w:cs="Arial" w:eastAsia="Arial" w:hAnsi="Arial"/>
                <w:sz w:val="16"/>
                <w:szCs w:val="16"/>
                <w:color w:val="0000EE"/>
                <w:w w:val="94"/>
              </w:rPr>
            </w:pPr>
            <w:hyperlink w:anchor="page123">
              <w:r>
                <w:rPr>
                  <w:rFonts w:ascii="Arial" w:cs="Arial" w:eastAsia="Arial" w:hAnsi="Arial"/>
                  <w:sz w:val="16"/>
                  <w:szCs w:val="16"/>
                  <w:color w:val="0000EE"/>
                  <w:w w:val="94"/>
                </w:rPr>
                <w:t>Stock</w:t>
              </w:r>
            </w:hyperlink>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A-6</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300" w:type="dxa"/>
            <w:vAlign w:val="bottom"/>
            <w:tcBorders>
              <w:top w:val="single" w:sz="8" w:color="0000EE"/>
            </w:tcBorders>
            <w:gridSpan w:val="35"/>
          </w:tcPr>
          <w:p>
            <w:pPr>
              <w:spacing w:after="0" w:line="169" w:lineRule="exact"/>
              <w:rPr>
                <w:rFonts w:ascii="Arial" w:cs="Arial" w:eastAsia="Arial" w:hAnsi="Arial"/>
                <w:sz w:val="16"/>
                <w:szCs w:val="16"/>
                <w:color w:val="0000EE"/>
              </w:rPr>
            </w:pPr>
            <w:hyperlink w:anchor="page123">
              <w:r>
                <w:rPr>
                  <w:rFonts w:ascii="Arial" w:cs="Arial" w:eastAsia="Arial" w:hAnsi="Arial"/>
                  <w:sz w:val="16"/>
                  <w:szCs w:val="16"/>
                  <w:color w:val="0000EE"/>
                </w:rPr>
                <w:t>and Other Share-Based Awards</w:t>
              </w:r>
            </w:hyperlink>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60" w:type="dxa"/>
            <w:vAlign w:val="bottom"/>
          </w:tcPr>
          <w:p>
            <w:pPr>
              <w:spacing w:after="0" w:line="169" w:lineRule="exact"/>
              <w:rPr>
                <w:rFonts w:ascii="Arial" w:cs="Arial" w:eastAsia="Arial" w:hAnsi="Arial"/>
                <w:sz w:val="16"/>
                <w:szCs w:val="16"/>
                <w:color w:val="0000EE"/>
                <w:w w:val="71"/>
              </w:rPr>
            </w:pPr>
            <w:hyperlink w:anchor="page123">
              <w:r>
                <w:rPr>
                  <w:rFonts w:ascii="Arial" w:cs="Arial" w:eastAsia="Arial" w:hAnsi="Arial"/>
                  <w:sz w:val="16"/>
                  <w:szCs w:val="16"/>
                  <w:color w:val="0000EE"/>
                  <w:w w:val="71"/>
                </w:rPr>
                <w:t>(b)</w:t>
              </w:r>
            </w:hyperlink>
          </w:p>
        </w:tc>
        <w:tc>
          <w:tcPr>
            <w:tcW w:w="2300" w:type="dxa"/>
            <w:vAlign w:val="bottom"/>
            <w:tcBorders>
              <w:top w:val="single" w:sz="8" w:color="0000EE"/>
            </w:tcBorders>
            <w:gridSpan w:val="19"/>
          </w:tcPr>
          <w:p>
            <w:pPr>
              <w:ind w:left="80"/>
              <w:spacing w:after="0" w:line="169" w:lineRule="exact"/>
              <w:rPr>
                <w:rFonts w:ascii="Arial" w:cs="Arial" w:eastAsia="Arial" w:hAnsi="Arial"/>
                <w:sz w:val="16"/>
                <w:szCs w:val="16"/>
                <w:color w:val="0000EE"/>
              </w:rPr>
            </w:pPr>
            <w:hyperlink w:anchor="page123">
              <w:r>
                <w:rPr>
                  <w:rFonts w:ascii="Arial" w:cs="Arial" w:eastAsia="Arial" w:hAnsi="Arial"/>
                  <w:sz w:val="16"/>
                  <w:szCs w:val="16"/>
                  <w:color w:val="0000EE"/>
                </w:rPr>
                <w:t>Non-stock Awards</w:t>
              </w:r>
            </w:hyperlink>
          </w:p>
        </w:tc>
        <w:tc>
          <w:tcPr>
            <w:tcW w:w="2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gridSpan w:val="5"/>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6"/>
                <w:szCs w:val="16"/>
                <w:color w:val="auto"/>
              </w:rPr>
              <w:t>A-6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gridSpan w:val="37"/>
          </w:tcPr>
          <w:p>
            <w:pPr>
              <w:spacing w:after="0"/>
              <w:rPr>
                <w:rFonts w:ascii="Arial" w:cs="Arial" w:eastAsia="Arial" w:hAnsi="Arial"/>
                <w:sz w:val="18"/>
                <w:szCs w:val="18"/>
                <w:b w:val="1"/>
                <w:bCs w:val="1"/>
                <w:color w:val="0000EE"/>
              </w:rPr>
            </w:pPr>
            <w:hyperlink w:anchor="page123">
              <w:r>
                <w:rPr>
                  <w:rFonts w:ascii="Arial" w:cs="Arial" w:eastAsia="Arial" w:hAnsi="Arial"/>
                  <w:sz w:val="18"/>
                  <w:szCs w:val="18"/>
                  <w:b w:val="1"/>
                  <w:bCs w:val="1"/>
                  <w:color w:val="0000EE"/>
                </w:rPr>
                <w:t>SECTION VIII. STOCK OPTIONS</w:t>
              </w:r>
            </w:hyperlink>
          </w:p>
        </w:tc>
        <w:tc>
          <w:tcPr>
            <w:tcW w:w="660" w:type="dxa"/>
            <w:vAlign w:val="bottom"/>
          </w:tcPr>
          <w:p>
            <w:pPr>
              <w:jc w:val="right"/>
              <w:spacing w:after="0"/>
              <w:rPr>
                <w:sz w:val="20"/>
                <w:szCs w:val="20"/>
                <w:color w:val="auto"/>
              </w:rPr>
            </w:pPr>
            <w:r>
              <w:rPr>
                <w:rFonts w:ascii="Arial" w:cs="Arial" w:eastAsia="Arial" w:hAnsi="Arial"/>
                <w:sz w:val="18"/>
                <w:szCs w:val="18"/>
                <w:b w:val="1"/>
                <w:bCs w:val="1"/>
                <w:color w:val="0B2D71"/>
              </w:rPr>
              <w:t>A-6</w:t>
            </w:r>
          </w:p>
        </w:tc>
        <w:tc>
          <w:tcPr>
            <w:tcW w:w="0" w:type="dxa"/>
            <w:vAlign w:val="bottom"/>
          </w:tcPr>
          <w:p>
            <w:pPr>
              <w:spacing w:after="0"/>
              <w:rPr>
                <w:sz w:val="1"/>
                <w:szCs w:val="1"/>
                <w:color w:val="auto"/>
              </w:rPr>
            </w:pPr>
          </w:p>
        </w:tc>
      </w:tr>
      <w:tr>
        <w:trPr>
          <w:trHeight w:val="20"/>
        </w:trPr>
        <w:tc>
          <w:tcPr>
            <w:tcW w:w="22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A-6</w:t>
            </w:r>
          </w:p>
        </w:tc>
        <w:tc>
          <w:tcPr>
            <w:tcW w:w="0" w:type="dxa"/>
            <w:vAlign w:val="bottom"/>
          </w:tcPr>
          <w:p>
            <w:pPr>
              <w:spacing w:after="0" w:line="20" w:lineRule="exact"/>
              <w:rPr>
                <w:sz w:val="1"/>
                <w:szCs w:val="1"/>
                <w:color w:val="auto"/>
              </w:rPr>
            </w:pPr>
          </w:p>
        </w:tc>
      </w:tr>
      <w:tr>
        <w:trPr>
          <w:trHeight w:val="169"/>
        </w:trPr>
        <w:tc>
          <w:tcPr>
            <w:tcW w:w="220" w:type="dxa"/>
            <w:vAlign w:val="bottom"/>
          </w:tcPr>
          <w:p>
            <w:pPr>
              <w:spacing w:after="0"/>
              <w:rPr>
                <w:sz w:val="14"/>
                <w:szCs w:val="14"/>
                <w:color w:val="auto"/>
              </w:rPr>
            </w:pPr>
          </w:p>
        </w:tc>
        <w:tc>
          <w:tcPr>
            <w:tcW w:w="4460" w:type="dxa"/>
            <w:vAlign w:val="bottom"/>
            <w:gridSpan w:val="36"/>
          </w:tcPr>
          <w:p>
            <w:pPr>
              <w:spacing w:after="0" w:line="169" w:lineRule="exact"/>
              <w:rPr>
                <w:rFonts w:ascii="Arial" w:cs="Arial" w:eastAsia="Arial" w:hAnsi="Arial"/>
                <w:sz w:val="16"/>
                <w:szCs w:val="16"/>
                <w:color w:val="0000EE"/>
              </w:rPr>
            </w:pPr>
            <w:hyperlink w:anchor="page123">
              <w:r>
                <w:rPr>
                  <w:rFonts w:ascii="Arial" w:cs="Arial" w:eastAsia="Arial" w:hAnsi="Arial"/>
                  <w:sz w:val="16"/>
                  <w:szCs w:val="16"/>
                  <w:color w:val="0000EE"/>
                </w:rPr>
                <w:t>(a) Limitation to Non-Statutory Stock Options</w:t>
              </w:r>
            </w:hyperlink>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3200" w:type="dxa"/>
            <w:vAlign w:val="bottom"/>
            <w:tcBorders>
              <w:top w:val="single" w:sz="8" w:color="0000EE"/>
            </w:tcBorders>
            <w:gridSpan w:val="29"/>
          </w:tcPr>
          <w:p>
            <w:pPr>
              <w:spacing w:after="0" w:line="169" w:lineRule="exact"/>
              <w:rPr>
                <w:rFonts w:ascii="Arial" w:cs="Arial" w:eastAsia="Arial" w:hAnsi="Arial"/>
                <w:sz w:val="16"/>
                <w:szCs w:val="16"/>
                <w:color w:val="0000EE"/>
              </w:rPr>
            </w:pPr>
            <w:hyperlink w:anchor="page123">
              <w:r>
                <w:rPr>
                  <w:rFonts w:ascii="Arial" w:cs="Arial" w:eastAsia="Arial" w:hAnsi="Arial"/>
                  <w:sz w:val="16"/>
                  <w:szCs w:val="16"/>
                  <w:color w:val="0000EE"/>
                </w:rPr>
                <w:t>(b) Awards of Stock Options</w:t>
              </w:r>
            </w:hyperlink>
          </w:p>
        </w:tc>
        <w:tc>
          <w:tcPr>
            <w:tcW w:w="480" w:type="dxa"/>
            <w:vAlign w:val="bottom"/>
          </w:tcPr>
          <w:p>
            <w:pPr>
              <w:spacing w:after="0"/>
              <w:rPr>
                <w:sz w:val="14"/>
                <w:szCs w:val="14"/>
                <w:color w:val="auto"/>
              </w:rPr>
            </w:pPr>
          </w:p>
        </w:tc>
        <w:tc>
          <w:tcPr>
            <w:tcW w:w="720" w:type="dxa"/>
            <w:vAlign w:val="bottom"/>
            <w:gridSpan w:val="5"/>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6"/>
                <w:szCs w:val="16"/>
                <w:color w:val="auto"/>
              </w:rPr>
              <w:t>A-6</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2020" w:type="dxa"/>
            <w:vAlign w:val="bottom"/>
            <w:tcBorders>
              <w:top w:val="single" w:sz="8" w:color="0000EE"/>
            </w:tcBorders>
            <w:gridSpan w:val="12"/>
          </w:tcPr>
          <w:p>
            <w:pPr>
              <w:spacing w:after="0" w:line="169" w:lineRule="exact"/>
              <w:rPr>
                <w:rFonts w:ascii="Arial" w:cs="Arial" w:eastAsia="Arial" w:hAnsi="Arial"/>
                <w:sz w:val="16"/>
                <w:szCs w:val="16"/>
                <w:color w:val="0000EE"/>
              </w:rPr>
            </w:pPr>
            <w:hyperlink w:anchor="page124">
              <w:r>
                <w:rPr>
                  <w:rFonts w:ascii="Arial" w:cs="Arial" w:eastAsia="Arial" w:hAnsi="Arial"/>
                  <w:sz w:val="16"/>
                  <w:szCs w:val="16"/>
                  <w:color w:val="0000EE"/>
                </w:rPr>
                <w:t>(c) Number of Shares</w:t>
              </w:r>
            </w:hyperlink>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480" w:type="dxa"/>
            <w:vAlign w:val="bottom"/>
            <w:gridSpan w:val="7"/>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spacing w:after="0"/>
              <w:rPr>
                <w:sz w:val="14"/>
                <w:szCs w:val="14"/>
                <w:color w:val="auto"/>
              </w:rPr>
            </w:pPr>
          </w:p>
        </w:tc>
        <w:tc>
          <w:tcPr>
            <w:tcW w:w="720" w:type="dxa"/>
            <w:vAlign w:val="bottom"/>
            <w:gridSpan w:val="5"/>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6"/>
                <w:szCs w:val="16"/>
                <w:color w:val="auto"/>
              </w:rPr>
              <w:t>A-7</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560" w:type="dxa"/>
            <w:vAlign w:val="bottom"/>
            <w:tcBorders>
              <w:top w:val="single" w:sz="8" w:color="0000EE"/>
            </w:tcBorders>
            <w:gridSpan w:val="7"/>
          </w:tcPr>
          <w:p>
            <w:pPr>
              <w:spacing w:after="0" w:line="169" w:lineRule="exact"/>
              <w:rPr>
                <w:rFonts w:ascii="Arial" w:cs="Arial" w:eastAsia="Arial" w:hAnsi="Arial"/>
                <w:sz w:val="16"/>
                <w:szCs w:val="16"/>
                <w:color w:val="0000EE"/>
              </w:rPr>
            </w:pPr>
            <w:hyperlink w:anchor="page124">
              <w:r>
                <w:rPr>
                  <w:rFonts w:ascii="Arial" w:cs="Arial" w:eastAsia="Arial" w:hAnsi="Arial"/>
                  <w:sz w:val="16"/>
                  <w:szCs w:val="16"/>
                  <w:color w:val="0000EE"/>
                </w:rPr>
                <w:t>(d) Exercise Price</w:t>
              </w:r>
            </w:hyperlink>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3"/>
          </w:tcPr>
          <w:p>
            <w:pPr>
              <w:spacing w:after="0"/>
              <w:rPr>
                <w:sz w:val="14"/>
                <w:szCs w:val="14"/>
                <w:color w:val="auto"/>
              </w:rPr>
            </w:pPr>
          </w:p>
        </w:tc>
        <w:tc>
          <w:tcPr>
            <w:tcW w:w="480" w:type="dxa"/>
            <w:vAlign w:val="bottom"/>
            <w:gridSpan w:val="7"/>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spacing w:after="0"/>
              <w:rPr>
                <w:sz w:val="14"/>
                <w:szCs w:val="14"/>
                <w:color w:val="auto"/>
              </w:rPr>
            </w:pPr>
          </w:p>
        </w:tc>
        <w:tc>
          <w:tcPr>
            <w:tcW w:w="720" w:type="dxa"/>
            <w:vAlign w:val="bottom"/>
            <w:gridSpan w:val="5"/>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6"/>
                <w:szCs w:val="16"/>
                <w:color w:val="auto"/>
              </w:rPr>
              <w:t>A-7</w:t>
            </w:r>
          </w:p>
        </w:tc>
        <w:tc>
          <w:tcPr>
            <w:tcW w:w="0" w:type="dxa"/>
            <w:vAlign w:val="bottom"/>
          </w:tcPr>
          <w:p>
            <w:pPr>
              <w:spacing w:after="0"/>
              <w:rPr>
                <w:sz w:val="1"/>
                <w:szCs w:val="1"/>
                <w:color w:val="auto"/>
              </w:rPr>
            </w:pP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A-7</w:t>
            </w:r>
          </w:p>
        </w:tc>
        <w:tc>
          <w:tcPr>
            <w:tcW w:w="0" w:type="dxa"/>
            <w:vAlign w:val="bottom"/>
          </w:tcPr>
          <w:p>
            <w:pPr>
              <w:spacing w:after="0" w:line="20" w:lineRule="exact"/>
              <w:rPr>
                <w:sz w:val="1"/>
                <w:szCs w:val="1"/>
                <w:color w:val="auto"/>
              </w:rPr>
            </w:pPr>
          </w:p>
        </w:tc>
      </w:tr>
      <w:tr>
        <w:trPr>
          <w:trHeight w:val="169"/>
        </w:trPr>
        <w:tc>
          <w:tcPr>
            <w:tcW w:w="220" w:type="dxa"/>
            <w:vAlign w:val="bottom"/>
          </w:tcPr>
          <w:p>
            <w:pPr>
              <w:spacing w:after="0"/>
              <w:rPr>
                <w:sz w:val="14"/>
                <w:szCs w:val="14"/>
                <w:color w:val="auto"/>
              </w:rPr>
            </w:pPr>
          </w:p>
        </w:tc>
        <w:tc>
          <w:tcPr>
            <w:tcW w:w="1640" w:type="dxa"/>
            <w:vAlign w:val="bottom"/>
            <w:tcBorders>
              <w:bottom w:val="single" w:sz="8" w:color="0000EE"/>
            </w:tcBorders>
            <w:gridSpan w:val="8"/>
          </w:tcPr>
          <w:p>
            <w:pPr>
              <w:spacing w:after="0" w:line="169" w:lineRule="exact"/>
              <w:rPr>
                <w:rFonts w:ascii="Arial" w:cs="Arial" w:eastAsia="Arial" w:hAnsi="Arial"/>
                <w:sz w:val="16"/>
                <w:szCs w:val="16"/>
                <w:color w:val="0000EE"/>
                <w:w w:val="99"/>
              </w:rPr>
            </w:pPr>
            <w:hyperlink w:anchor="page124">
              <w:r>
                <w:rPr>
                  <w:rFonts w:ascii="Arial" w:cs="Arial" w:eastAsia="Arial" w:hAnsi="Arial"/>
                  <w:sz w:val="16"/>
                  <w:szCs w:val="16"/>
                  <w:color w:val="0000EE"/>
                  <w:w w:val="99"/>
                </w:rPr>
                <w:t>(e) Method of Payment</w:t>
              </w:r>
            </w:hyperlink>
          </w:p>
        </w:tc>
        <w:tc>
          <w:tcPr>
            <w:tcW w:w="2820" w:type="dxa"/>
            <w:vAlign w:val="bottom"/>
            <w:gridSpan w:val="28"/>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4460" w:type="dxa"/>
            <w:vAlign w:val="bottom"/>
            <w:gridSpan w:val="36"/>
          </w:tcPr>
          <w:p>
            <w:pPr>
              <w:spacing w:after="0" w:line="169" w:lineRule="exact"/>
              <w:rPr>
                <w:rFonts w:ascii="Arial" w:cs="Arial" w:eastAsia="Arial" w:hAnsi="Arial"/>
                <w:sz w:val="16"/>
                <w:szCs w:val="16"/>
                <w:color w:val="0000EE"/>
              </w:rPr>
            </w:pPr>
            <w:hyperlink w:anchor="page124">
              <w:r>
                <w:rPr>
                  <w:rFonts w:ascii="Arial" w:cs="Arial" w:eastAsia="Arial" w:hAnsi="Arial"/>
                  <w:sz w:val="16"/>
                  <w:szCs w:val="16"/>
                  <w:color w:val="0000EE"/>
                </w:rPr>
                <w:t>(f) Term and Exercise of Stock Options; Non-Transferability of</w:t>
              </w:r>
            </w:hyperlink>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A-7</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240" w:type="dxa"/>
            <w:vAlign w:val="bottom"/>
            <w:tcBorders>
              <w:top w:val="single" w:sz="8" w:color="0000EE"/>
            </w:tcBorders>
            <w:gridSpan w:val="34"/>
          </w:tcPr>
          <w:p>
            <w:pPr>
              <w:spacing w:after="0" w:line="169" w:lineRule="exact"/>
              <w:rPr>
                <w:rFonts w:ascii="Arial" w:cs="Arial" w:eastAsia="Arial" w:hAnsi="Arial"/>
                <w:sz w:val="16"/>
                <w:szCs w:val="16"/>
                <w:color w:val="0000EE"/>
              </w:rPr>
            </w:pPr>
            <w:hyperlink w:anchor="page124">
              <w:r>
                <w:rPr>
                  <w:rFonts w:ascii="Arial" w:cs="Arial" w:eastAsia="Arial" w:hAnsi="Arial"/>
                  <w:sz w:val="16"/>
                  <w:szCs w:val="16"/>
                  <w:color w:val="0000EE"/>
                </w:rPr>
                <w:t>Stock Options</w:t>
              </w:r>
            </w:hyperlink>
          </w:p>
        </w:tc>
        <w:tc>
          <w:tcPr>
            <w:tcW w:w="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60" w:type="dxa"/>
            <w:vAlign w:val="bottom"/>
            <w:vMerge w:val="restart"/>
          </w:tcPr>
          <w:p>
            <w:pPr>
              <w:spacing w:after="0"/>
              <w:rPr>
                <w:rFonts w:ascii="Arial" w:cs="Arial" w:eastAsia="Arial" w:hAnsi="Arial"/>
                <w:sz w:val="16"/>
                <w:szCs w:val="16"/>
                <w:color w:val="0000EE"/>
                <w:w w:val="71"/>
              </w:rPr>
            </w:pPr>
            <w:hyperlink w:anchor="page124">
              <w:r>
                <w:rPr>
                  <w:rFonts w:ascii="Arial" w:cs="Arial" w:eastAsia="Arial" w:hAnsi="Arial"/>
                  <w:sz w:val="16"/>
                  <w:szCs w:val="16"/>
                  <w:color w:val="0000EE"/>
                  <w:w w:val="71"/>
                </w:rPr>
                <w:t>(g)</w:t>
              </w:r>
            </w:hyperlink>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A-7</w:t>
            </w:r>
          </w:p>
        </w:tc>
        <w:tc>
          <w:tcPr>
            <w:tcW w:w="0" w:type="dxa"/>
            <w:vAlign w:val="bottom"/>
          </w:tcPr>
          <w:p>
            <w:pPr>
              <w:spacing w:after="0" w:line="20" w:lineRule="exact"/>
              <w:rPr>
                <w:sz w:val="1"/>
                <w:szCs w:val="1"/>
                <w:color w:val="auto"/>
              </w:rPr>
            </w:pPr>
          </w:p>
        </w:tc>
      </w:tr>
      <w:tr>
        <w:trPr>
          <w:trHeight w:val="169"/>
        </w:trPr>
        <w:tc>
          <w:tcPr>
            <w:tcW w:w="2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4300" w:type="dxa"/>
            <w:vAlign w:val="bottom"/>
            <w:gridSpan w:val="35"/>
          </w:tcPr>
          <w:p>
            <w:pPr>
              <w:ind w:left="80"/>
              <w:spacing w:after="0" w:line="169" w:lineRule="exact"/>
              <w:rPr>
                <w:rFonts w:ascii="Arial" w:cs="Arial" w:eastAsia="Arial" w:hAnsi="Arial"/>
                <w:sz w:val="16"/>
                <w:szCs w:val="16"/>
                <w:color w:val="0000EE"/>
              </w:rPr>
            </w:pPr>
            <w:hyperlink w:anchor="page124">
              <w:r>
                <w:rPr>
                  <w:rFonts w:ascii="Arial" w:cs="Arial" w:eastAsia="Arial" w:hAnsi="Arial"/>
                  <w:sz w:val="16"/>
                  <w:szCs w:val="16"/>
                  <w:color w:val="0000EE"/>
                </w:rPr>
                <w:t>Termination of Employment</w:t>
              </w:r>
            </w:hyperlink>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2200" w:type="dxa"/>
            <w:vAlign w:val="bottom"/>
            <w:tcBorders>
              <w:top w:val="single" w:sz="8" w:color="0000EE"/>
            </w:tcBorders>
            <w:gridSpan w:val="16"/>
          </w:tcPr>
          <w:p>
            <w:pPr>
              <w:spacing w:after="0" w:line="169" w:lineRule="exact"/>
              <w:rPr>
                <w:rFonts w:ascii="Arial" w:cs="Arial" w:eastAsia="Arial" w:hAnsi="Arial"/>
                <w:sz w:val="16"/>
                <w:szCs w:val="16"/>
                <w:color w:val="0000EE"/>
              </w:rPr>
            </w:pPr>
            <w:hyperlink w:anchor="page124">
              <w:r>
                <w:rPr>
                  <w:rFonts w:ascii="Arial" w:cs="Arial" w:eastAsia="Arial" w:hAnsi="Arial"/>
                  <w:sz w:val="16"/>
                  <w:szCs w:val="16"/>
                  <w:color w:val="0000EE"/>
                </w:rPr>
                <w:t>(h) Rights as a Stockholder</w:t>
              </w:r>
            </w:hyperlink>
          </w:p>
        </w:tc>
        <w:tc>
          <w:tcPr>
            <w:tcW w:w="480" w:type="dxa"/>
            <w:vAlign w:val="bottom"/>
            <w:gridSpan w:val="7"/>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spacing w:after="0"/>
              <w:rPr>
                <w:sz w:val="14"/>
                <w:szCs w:val="14"/>
                <w:color w:val="auto"/>
              </w:rPr>
            </w:pPr>
          </w:p>
        </w:tc>
        <w:tc>
          <w:tcPr>
            <w:tcW w:w="780" w:type="dxa"/>
            <w:vAlign w:val="bottom"/>
            <w:gridSpan w:val="6"/>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6"/>
                <w:szCs w:val="16"/>
                <w:color w:val="auto"/>
              </w:rPr>
              <w:t>A-7</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940" w:type="dxa"/>
            <w:vAlign w:val="bottom"/>
            <w:tcBorders>
              <w:top w:val="single" w:sz="8" w:color="0000EE"/>
              <w:bottom w:val="single" w:sz="8" w:color="0000EE"/>
            </w:tcBorders>
            <w:gridSpan w:val="10"/>
          </w:tcPr>
          <w:p>
            <w:pPr>
              <w:spacing w:after="0" w:line="169" w:lineRule="exact"/>
              <w:rPr>
                <w:rFonts w:ascii="Arial" w:cs="Arial" w:eastAsia="Arial" w:hAnsi="Arial"/>
                <w:sz w:val="16"/>
                <w:szCs w:val="16"/>
                <w:color w:val="0000EE"/>
                <w:w w:val="95"/>
              </w:rPr>
            </w:pPr>
            <w:hyperlink w:anchor="page125">
              <w:r>
                <w:rPr>
                  <w:rFonts w:ascii="Arial" w:cs="Arial" w:eastAsia="Arial" w:hAnsi="Arial"/>
                  <w:sz w:val="16"/>
                  <w:szCs w:val="16"/>
                  <w:color w:val="0000EE"/>
                  <w:w w:val="95"/>
                </w:rPr>
                <w:t>(i) Stock Appreciation Rights</w:t>
              </w:r>
            </w:hyperlink>
          </w:p>
        </w:tc>
        <w:tc>
          <w:tcPr>
            <w:tcW w:w="60" w:type="dxa"/>
            <w:vAlign w:val="bottom"/>
            <w:tcBorders>
              <w:bottom w:val="single" w:sz="8" w:color="0000EE"/>
            </w:tcBorders>
          </w:tcPr>
          <w:p>
            <w:pPr>
              <w:spacing w:after="0"/>
              <w:rPr>
                <w:sz w:val="14"/>
                <w:szCs w:val="14"/>
                <w:color w:val="auto"/>
              </w:rPr>
            </w:pPr>
          </w:p>
        </w:tc>
        <w:tc>
          <w:tcPr>
            <w:tcW w:w="40" w:type="dxa"/>
            <w:vAlign w:val="bottom"/>
            <w:tcBorders>
              <w:bottom w:val="single" w:sz="8" w:color="0000EE"/>
            </w:tcBorders>
            <w:gridSpan w:val="2"/>
          </w:tcPr>
          <w:p>
            <w:pPr>
              <w:spacing w:after="0"/>
              <w:rPr>
                <w:sz w:val="14"/>
                <w:szCs w:val="14"/>
                <w:color w:val="auto"/>
              </w:rPr>
            </w:pPr>
          </w:p>
        </w:tc>
        <w:tc>
          <w:tcPr>
            <w:tcW w:w="640" w:type="dxa"/>
            <w:vAlign w:val="bottom"/>
            <w:gridSpan w:val="10"/>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spacing w:after="0"/>
              <w:rPr>
                <w:sz w:val="14"/>
                <w:szCs w:val="14"/>
                <w:color w:val="auto"/>
              </w:rPr>
            </w:pPr>
          </w:p>
        </w:tc>
        <w:tc>
          <w:tcPr>
            <w:tcW w:w="780" w:type="dxa"/>
            <w:vAlign w:val="bottom"/>
            <w:gridSpan w:val="6"/>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6"/>
                <w:szCs w:val="16"/>
                <w:color w:val="auto"/>
              </w:rPr>
              <w:t>A-8</w:t>
            </w:r>
          </w:p>
        </w:tc>
        <w:tc>
          <w:tcPr>
            <w:tcW w:w="0" w:type="dxa"/>
            <w:vAlign w:val="bottom"/>
          </w:tcPr>
          <w:p>
            <w:pPr>
              <w:spacing w:after="0"/>
              <w:rPr>
                <w:sz w:val="1"/>
                <w:szCs w:val="1"/>
                <w:color w:val="auto"/>
              </w:rPr>
            </w:pPr>
          </w:p>
        </w:tc>
      </w:tr>
      <w:tr>
        <w:trPr>
          <w:trHeight w:val="250"/>
        </w:trPr>
        <w:tc>
          <w:tcPr>
            <w:tcW w:w="4680" w:type="dxa"/>
            <w:vAlign w:val="bottom"/>
            <w:gridSpan w:val="37"/>
          </w:tcPr>
          <w:p>
            <w:pPr>
              <w:spacing w:after="0"/>
              <w:rPr>
                <w:rFonts w:ascii="Arial" w:cs="Arial" w:eastAsia="Arial" w:hAnsi="Arial"/>
                <w:sz w:val="18"/>
                <w:szCs w:val="18"/>
                <w:b w:val="1"/>
                <w:bCs w:val="1"/>
                <w:color w:val="0000EE"/>
              </w:rPr>
            </w:pPr>
            <w:hyperlink w:anchor="page125">
              <w:r>
                <w:rPr>
                  <w:rFonts w:ascii="Arial" w:cs="Arial" w:eastAsia="Arial" w:hAnsi="Arial"/>
                  <w:sz w:val="18"/>
                  <w:szCs w:val="18"/>
                  <w:b w:val="1"/>
                  <w:bCs w:val="1"/>
                  <w:color w:val="0000EE"/>
                </w:rPr>
                <w:t>SECTION IX. RESTRICTED STOCK</w:t>
              </w:r>
            </w:hyperlink>
          </w:p>
        </w:tc>
        <w:tc>
          <w:tcPr>
            <w:tcW w:w="660" w:type="dxa"/>
            <w:vAlign w:val="bottom"/>
          </w:tcPr>
          <w:p>
            <w:pPr>
              <w:jc w:val="right"/>
              <w:spacing w:after="0"/>
              <w:rPr>
                <w:sz w:val="20"/>
                <w:szCs w:val="20"/>
                <w:color w:val="auto"/>
              </w:rPr>
            </w:pPr>
            <w:r>
              <w:rPr>
                <w:rFonts w:ascii="Arial" w:cs="Arial" w:eastAsia="Arial" w:hAnsi="Arial"/>
                <w:sz w:val="18"/>
                <w:szCs w:val="18"/>
                <w:b w:val="1"/>
                <w:bCs w:val="1"/>
                <w:color w:val="0B2D71"/>
              </w:rPr>
              <w:t>A-8</w:t>
            </w:r>
          </w:p>
        </w:tc>
        <w:tc>
          <w:tcPr>
            <w:tcW w:w="0" w:type="dxa"/>
            <w:vAlign w:val="bottom"/>
          </w:tcPr>
          <w:p>
            <w:pPr>
              <w:spacing w:after="0"/>
              <w:rPr>
                <w:sz w:val="1"/>
                <w:szCs w:val="1"/>
                <w:color w:val="auto"/>
              </w:rPr>
            </w:pPr>
          </w:p>
        </w:tc>
      </w:tr>
      <w:tr>
        <w:trPr>
          <w:trHeight w:val="169"/>
        </w:trPr>
        <w:tc>
          <w:tcPr>
            <w:tcW w:w="220" w:type="dxa"/>
            <w:vAlign w:val="bottom"/>
            <w:tcBorders>
              <w:top w:val="single" w:sz="8" w:color="0000EE"/>
            </w:tcBorders>
          </w:tcPr>
          <w:p>
            <w:pPr>
              <w:spacing w:after="0"/>
              <w:rPr>
                <w:sz w:val="14"/>
                <w:szCs w:val="14"/>
                <w:color w:val="auto"/>
              </w:rPr>
            </w:pPr>
          </w:p>
        </w:tc>
        <w:tc>
          <w:tcPr>
            <w:tcW w:w="2720" w:type="dxa"/>
            <w:vAlign w:val="bottom"/>
            <w:tcBorders>
              <w:top w:val="single" w:sz="8" w:color="0000EE"/>
            </w:tcBorders>
            <w:gridSpan w:val="24"/>
          </w:tcPr>
          <w:p>
            <w:pPr>
              <w:spacing w:after="0" w:line="169" w:lineRule="exact"/>
              <w:rPr>
                <w:rFonts w:ascii="Arial" w:cs="Arial" w:eastAsia="Arial" w:hAnsi="Arial"/>
                <w:sz w:val="16"/>
                <w:szCs w:val="16"/>
                <w:color w:val="0000EE"/>
              </w:rPr>
            </w:pPr>
            <w:hyperlink w:anchor="page125">
              <w:r>
                <w:rPr>
                  <w:rFonts w:ascii="Arial" w:cs="Arial" w:eastAsia="Arial" w:hAnsi="Arial"/>
                  <w:sz w:val="16"/>
                  <w:szCs w:val="16"/>
                  <w:color w:val="0000EE"/>
                </w:rPr>
                <w:t>(a) Restricted Stock Awards</w:t>
              </w:r>
            </w:hyperlink>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spacing w:after="0"/>
              <w:rPr>
                <w:sz w:val="14"/>
                <w:szCs w:val="14"/>
                <w:color w:val="auto"/>
              </w:rPr>
            </w:pPr>
          </w:p>
        </w:tc>
        <w:tc>
          <w:tcPr>
            <w:tcW w:w="780" w:type="dxa"/>
            <w:vAlign w:val="bottom"/>
            <w:gridSpan w:val="6"/>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6"/>
                <w:szCs w:val="16"/>
                <w:color w:val="auto"/>
              </w:rPr>
              <w:t>A-8</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2000" w:type="dxa"/>
            <w:vAlign w:val="bottom"/>
            <w:tcBorders>
              <w:top w:val="single" w:sz="8" w:color="0000EE"/>
            </w:tcBorders>
            <w:gridSpan w:val="11"/>
          </w:tcPr>
          <w:p>
            <w:pPr>
              <w:spacing w:after="0" w:line="169" w:lineRule="exact"/>
              <w:rPr>
                <w:rFonts w:ascii="Arial" w:cs="Arial" w:eastAsia="Arial" w:hAnsi="Arial"/>
                <w:sz w:val="16"/>
                <w:szCs w:val="16"/>
                <w:color w:val="0000EE"/>
              </w:rPr>
            </w:pPr>
            <w:hyperlink w:anchor="page125">
              <w:r>
                <w:rPr>
                  <w:rFonts w:ascii="Arial" w:cs="Arial" w:eastAsia="Arial" w:hAnsi="Arial"/>
                  <w:sz w:val="16"/>
                  <w:szCs w:val="16"/>
                  <w:color w:val="0000EE"/>
                </w:rPr>
                <w:t>(b) Terms, Conditions, and</w:t>
              </w:r>
            </w:hyperlink>
          </w:p>
        </w:tc>
        <w:tc>
          <w:tcPr>
            <w:tcW w:w="2460" w:type="dxa"/>
            <w:vAlign w:val="bottom"/>
            <w:gridSpan w:val="25"/>
          </w:tcPr>
          <w:p>
            <w:pPr>
              <w:jc w:val="right"/>
              <w:ind w:right="1680"/>
              <w:spacing w:after="0" w:line="169" w:lineRule="exact"/>
              <w:rPr>
                <w:rFonts w:ascii="Arial" w:cs="Arial" w:eastAsia="Arial" w:hAnsi="Arial"/>
                <w:sz w:val="16"/>
                <w:szCs w:val="16"/>
                <w:color w:val="0000EE"/>
                <w:w w:val="90"/>
              </w:rPr>
            </w:pPr>
            <w:hyperlink w:anchor="page125">
              <w:r>
                <w:rPr>
                  <w:rFonts w:ascii="Arial" w:cs="Arial" w:eastAsia="Arial" w:hAnsi="Arial"/>
                  <w:sz w:val="16"/>
                  <w:szCs w:val="16"/>
                  <w:color w:val="0000EE"/>
                  <w:w w:val="90"/>
                </w:rPr>
                <w:t>Restrictions</w:t>
              </w:r>
            </w:hyperlink>
          </w:p>
        </w:tc>
        <w:tc>
          <w:tcPr>
            <w:tcW w:w="660" w:type="dxa"/>
            <w:vAlign w:val="bottom"/>
          </w:tcPr>
          <w:p>
            <w:pPr>
              <w:jc w:val="right"/>
              <w:spacing w:after="0" w:line="169" w:lineRule="exact"/>
              <w:rPr>
                <w:sz w:val="20"/>
                <w:szCs w:val="20"/>
                <w:color w:val="auto"/>
              </w:rPr>
            </w:pPr>
            <w:r>
              <w:rPr>
                <w:rFonts w:ascii="Arial" w:cs="Arial" w:eastAsia="Arial" w:hAnsi="Arial"/>
                <w:sz w:val="16"/>
                <w:szCs w:val="16"/>
                <w:color w:val="auto"/>
              </w:rPr>
              <w:t>A-8</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00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w w:val="98"/>
              </w:rPr>
            </w:pPr>
            <w:hyperlink w:anchor="page125">
              <w:r>
                <w:rPr>
                  <w:rFonts w:ascii="Arial" w:cs="Arial" w:eastAsia="Arial" w:hAnsi="Arial"/>
                  <w:sz w:val="16"/>
                  <w:szCs w:val="16"/>
                  <w:color w:val="0000EE"/>
                  <w:w w:val="98"/>
                </w:rPr>
                <w:t>(c) Limitations</w:t>
              </w:r>
            </w:hyperlink>
          </w:p>
        </w:tc>
        <w:tc>
          <w:tcPr>
            <w:tcW w:w="1780" w:type="dxa"/>
            <w:vAlign w:val="bottom"/>
            <w:tcBorders>
              <w:top w:val="single" w:sz="8" w:color="0000EE"/>
            </w:tcBorders>
            <w:gridSpan w:val="21"/>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spacing w:after="0"/>
              <w:rPr>
                <w:sz w:val="14"/>
                <w:szCs w:val="14"/>
                <w:color w:val="auto"/>
              </w:rPr>
            </w:pPr>
          </w:p>
        </w:tc>
        <w:tc>
          <w:tcPr>
            <w:tcW w:w="780" w:type="dxa"/>
            <w:vAlign w:val="bottom"/>
            <w:gridSpan w:val="6"/>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6"/>
                <w:szCs w:val="16"/>
                <w:color w:val="auto"/>
              </w:rPr>
              <w:t>A-8</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4460" w:type="dxa"/>
            <w:vAlign w:val="bottom"/>
            <w:gridSpan w:val="36"/>
          </w:tcPr>
          <w:p>
            <w:pPr>
              <w:spacing w:after="0" w:line="169" w:lineRule="exact"/>
              <w:rPr>
                <w:rFonts w:ascii="Arial" w:cs="Arial" w:eastAsia="Arial" w:hAnsi="Arial"/>
                <w:sz w:val="16"/>
                <w:szCs w:val="16"/>
                <w:color w:val="0000EE"/>
              </w:rPr>
            </w:pPr>
            <w:hyperlink w:anchor="page126">
              <w:r>
                <w:rPr>
                  <w:rFonts w:ascii="Arial" w:cs="Arial" w:eastAsia="Arial" w:hAnsi="Arial"/>
                  <w:sz w:val="16"/>
                  <w:szCs w:val="16"/>
                  <w:color w:val="0000EE"/>
                </w:rPr>
                <w:t>(d) Rights as a Stockholder</w:t>
              </w:r>
            </w:hyperlink>
          </w:p>
        </w:tc>
        <w:tc>
          <w:tcPr>
            <w:tcW w:w="660" w:type="dxa"/>
            <w:vAlign w:val="bottom"/>
          </w:tcPr>
          <w:p>
            <w:pPr>
              <w:jc w:val="right"/>
              <w:spacing w:after="0" w:line="169" w:lineRule="exact"/>
              <w:rPr>
                <w:sz w:val="20"/>
                <w:szCs w:val="20"/>
                <w:color w:val="auto"/>
              </w:rPr>
            </w:pPr>
            <w:r>
              <w:rPr>
                <w:rFonts w:ascii="Arial" w:cs="Arial" w:eastAsia="Arial" w:hAnsi="Arial"/>
                <w:sz w:val="16"/>
                <w:szCs w:val="16"/>
                <w:color w:val="auto"/>
              </w:rPr>
              <w:t>A-9</w:t>
            </w:r>
          </w:p>
        </w:tc>
        <w:tc>
          <w:tcPr>
            <w:tcW w:w="0" w:type="dxa"/>
            <w:vAlign w:val="bottom"/>
          </w:tcPr>
          <w:p>
            <w:pPr>
              <w:spacing w:after="0"/>
              <w:rPr>
                <w:sz w:val="1"/>
                <w:szCs w:val="1"/>
                <w:color w:val="auto"/>
              </w:rPr>
            </w:pP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gridSpan w:val="1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A-9</w:t>
            </w:r>
          </w:p>
        </w:tc>
        <w:tc>
          <w:tcPr>
            <w:tcW w:w="0" w:type="dxa"/>
            <w:vAlign w:val="bottom"/>
          </w:tcPr>
          <w:p>
            <w:pPr>
              <w:spacing w:after="0" w:line="20" w:lineRule="exact"/>
              <w:rPr>
                <w:sz w:val="1"/>
                <w:szCs w:val="1"/>
                <w:color w:val="auto"/>
              </w:rPr>
            </w:pPr>
          </w:p>
        </w:tc>
      </w:tr>
      <w:tr>
        <w:trPr>
          <w:trHeight w:val="169"/>
        </w:trPr>
        <w:tc>
          <w:tcPr>
            <w:tcW w:w="220" w:type="dxa"/>
            <w:vAlign w:val="bottom"/>
          </w:tcPr>
          <w:p>
            <w:pPr>
              <w:spacing w:after="0"/>
              <w:rPr>
                <w:sz w:val="14"/>
                <w:szCs w:val="14"/>
                <w:color w:val="auto"/>
              </w:rPr>
            </w:pPr>
          </w:p>
        </w:tc>
        <w:tc>
          <w:tcPr>
            <w:tcW w:w="2940" w:type="dxa"/>
            <w:vAlign w:val="bottom"/>
            <w:tcBorders>
              <w:bottom w:val="single" w:sz="8" w:color="0000EE"/>
            </w:tcBorders>
            <w:gridSpan w:val="27"/>
          </w:tcPr>
          <w:p>
            <w:pPr>
              <w:spacing w:after="0" w:line="169" w:lineRule="exact"/>
              <w:rPr>
                <w:rFonts w:ascii="Arial" w:cs="Arial" w:eastAsia="Arial" w:hAnsi="Arial"/>
                <w:sz w:val="16"/>
                <w:szCs w:val="16"/>
                <w:color w:val="0000EE"/>
              </w:rPr>
            </w:pPr>
            <w:hyperlink w:anchor="page126">
              <w:r>
                <w:rPr>
                  <w:rFonts w:ascii="Arial" w:cs="Arial" w:eastAsia="Arial" w:hAnsi="Arial"/>
                  <w:sz w:val="16"/>
                  <w:szCs w:val="16"/>
                  <w:color w:val="0000EE"/>
                </w:rPr>
                <w:t>(e) Recording of the Participant’s Interest</w:t>
              </w:r>
            </w:hyperlink>
          </w:p>
        </w:tc>
        <w:tc>
          <w:tcPr>
            <w:tcW w:w="1520" w:type="dxa"/>
            <w:vAlign w:val="bottom"/>
            <w:gridSpan w:val="9"/>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680" w:type="dxa"/>
            <w:vAlign w:val="bottom"/>
            <w:gridSpan w:val="37"/>
          </w:tcPr>
          <w:p>
            <w:pPr>
              <w:spacing w:after="0"/>
              <w:rPr>
                <w:rFonts w:ascii="Arial" w:cs="Arial" w:eastAsia="Arial" w:hAnsi="Arial"/>
                <w:sz w:val="18"/>
                <w:szCs w:val="18"/>
                <w:b w:val="1"/>
                <w:bCs w:val="1"/>
                <w:color w:val="0000EE"/>
              </w:rPr>
            </w:pPr>
            <w:hyperlink w:anchor="page126">
              <w:r>
                <w:rPr>
                  <w:rFonts w:ascii="Arial" w:cs="Arial" w:eastAsia="Arial" w:hAnsi="Arial"/>
                  <w:sz w:val="18"/>
                  <w:szCs w:val="18"/>
                  <w:b w:val="1"/>
                  <w:bCs w:val="1"/>
                  <w:color w:val="0000EE"/>
                </w:rPr>
                <w:t>SECTION X. OTHER SHARE-BASED AWARDS</w:t>
              </w:r>
            </w:hyperlink>
          </w:p>
        </w:tc>
        <w:tc>
          <w:tcPr>
            <w:tcW w:w="660" w:type="dxa"/>
            <w:vAlign w:val="bottom"/>
          </w:tcPr>
          <w:p>
            <w:pPr>
              <w:jc w:val="right"/>
              <w:spacing w:after="0"/>
              <w:rPr>
                <w:sz w:val="20"/>
                <w:szCs w:val="20"/>
                <w:color w:val="auto"/>
              </w:rPr>
            </w:pPr>
            <w:r>
              <w:rPr>
                <w:rFonts w:ascii="Arial" w:cs="Arial" w:eastAsia="Arial" w:hAnsi="Arial"/>
                <w:sz w:val="18"/>
                <w:szCs w:val="18"/>
                <w:b w:val="1"/>
                <w:bCs w:val="1"/>
                <w:color w:val="0B2D71"/>
              </w:rPr>
              <w:t>A-9</w:t>
            </w:r>
          </w:p>
        </w:tc>
        <w:tc>
          <w:tcPr>
            <w:tcW w:w="0" w:type="dxa"/>
            <w:vAlign w:val="bottom"/>
          </w:tcPr>
          <w:p>
            <w:pPr>
              <w:spacing w:after="0"/>
              <w:rPr>
                <w:sz w:val="1"/>
                <w:szCs w:val="1"/>
                <w:color w:val="auto"/>
              </w:rPr>
            </w:pPr>
          </w:p>
        </w:tc>
      </w:tr>
      <w:tr>
        <w:trPr>
          <w:trHeight w:val="169"/>
        </w:trPr>
        <w:tc>
          <w:tcPr>
            <w:tcW w:w="220" w:type="dxa"/>
            <w:vAlign w:val="bottom"/>
            <w:tcBorders>
              <w:top w:val="single" w:sz="8" w:color="0000EE"/>
            </w:tcBorders>
          </w:tcPr>
          <w:p>
            <w:pPr>
              <w:spacing w:after="0"/>
              <w:rPr>
                <w:sz w:val="14"/>
                <w:szCs w:val="14"/>
                <w:color w:val="auto"/>
              </w:rPr>
            </w:pPr>
          </w:p>
        </w:tc>
        <w:tc>
          <w:tcPr>
            <w:tcW w:w="3680" w:type="dxa"/>
            <w:vAlign w:val="bottom"/>
            <w:tcBorders>
              <w:top w:val="single" w:sz="8" w:color="0000EE"/>
            </w:tcBorders>
            <w:gridSpan w:val="30"/>
          </w:tcPr>
          <w:p>
            <w:pPr>
              <w:spacing w:after="0" w:line="169" w:lineRule="exact"/>
              <w:rPr>
                <w:rFonts w:ascii="Arial" w:cs="Arial" w:eastAsia="Arial" w:hAnsi="Arial"/>
                <w:sz w:val="16"/>
                <w:szCs w:val="16"/>
                <w:color w:val="0000EE"/>
              </w:rPr>
            </w:pPr>
            <w:hyperlink w:anchor="page126">
              <w:r>
                <w:rPr>
                  <w:rFonts w:ascii="Arial" w:cs="Arial" w:eastAsia="Arial" w:hAnsi="Arial"/>
                  <w:sz w:val="16"/>
                  <w:szCs w:val="16"/>
                  <w:color w:val="0000EE"/>
                </w:rPr>
                <w:t>(a) Grants</w:t>
              </w:r>
            </w:hyperlink>
          </w:p>
        </w:tc>
        <w:tc>
          <w:tcPr>
            <w:tcW w:w="780" w:type="dxa"/>
            <w:vAlign w:val="bottom"/>
            <w:gridSpan w:val="6"/>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6"/>
                <w:szCs w:val="16"/>
                <w:color w:val="auto"/>
              </w:rPr>
              <w:t>A-9</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740" w:type="dxa"/>
            <w:vAlign w:val="bottom"/>
            <w:tcBorders>
              <w:top w:val="single" w:sz="8" w:color="0000EE"/>
            </w:tcBorders>
            <w:gridSpan w:val="3"/>
          </w:tcPr>
          <w:p>
            <w:pPr>
              <w:spacing w:after="0" w:line="169" w:lineRule="exact"/>
              <w:rPr>
                <w:rFonts w:ascii="Arial" w:cs="Arial" w:eastAsia="Arial" w:hAnsi="Arial"/>
                <w:sz w:val="16"/>
                <w:szCs w:val="16"/>
                <w:color w:val="0000EE"/>
                <w:w w:val="97"/>
              </w:rPr>
            </w:pPr>
            <w:hyperlink w:anchor="page126">
              <w:r>
                <w:rPr>
                  <w:rFonts w:ascii="Arial" w:cs="Arial" w:eastAsia="Arial" w:hAnsi="Arial"/>
                  <w:sz w:val="16"/>
                  <w:szCs w:val="16"/>
                  <w:color w:val="0000EE"/>
                  <w:w w:val="97"/>
                </w:rPr>
                <w:t>(b) Terms,</w:t>
              </w:r>
            </w:hyperlink>
          </w:p>
        </w:tc>
        <w:tc>
          <w:tcPr>
            <w:tcW w:w="3720" w:type="dxa"/>
            <w:vAlign w:val="bottom"/>
            <w:gridSpan w:val="33"/>
          </w:tcPr>
          <w:p>
            <w:pPr>
              <w:jc w:val="right"/>
              <w:ind w:right="1680"/>
              <w:spacing w:after="0" w:line="169" w:lineRule="exact"/>
              <w:rPr>
                <w:rFonts w:ascii="Arial" w:cs="Arial" w:eastAsia="Arial" w:hAnsi="Arial"/>
                <w:sz w:val="16"/>
                <w:szCs w:val="16"/>
                <w:color w:val="0000EE"/>
              </w:rPr>
            </w:pPr>
            <w:hyperlink w:anchor="page126">
              <w:r>
                <w:rPr>
                  <w:rFonts w:ascii="Arial" w:cs="Arial" w:eastAsia="Arial" w:hAnsi="Arial"/>
                  <w:sz w:val="16"/>
                  <w:szCs w:val="16"/>
                  <w:color w:val="0000EE"/>
                </w:rPr>
                <w:t>Conditions, and Restrictions</w:t>
              </w:r>
            </w:hyperlink>
          </w:p>
        </w:tc>
        <w:tc>
          <w:tcPr>
            <w:tcW w:w="660" w:type="dxa"/>
            <w:vAlign w:val="bottom"/>
          </w:tcPr>
          <w:p>
            <w:pPr>
              <w:jc w:val="right"/>
              <w:spacing w:after="0" w:line="169" w:lineRule="exact"/>
              <w:rPr>
                <w:sz w:val="20"/>
                <w:szCs w:val="20"/>
                <w:color w:val="auto"/>
              </w:rPr>
            </w:pPr>
            <w:r>
              <w:rPr>
                <w:rFonts w:ascii="Arial" w:cs="Arial" w:eastAsia="Arial" w:hAnsi="Arial"/>
                <w:sz w:val="16"/>
                <w:szCs w:val="16"/>
                <w:color w:val="auto"/>
              </w:rPr>
              <w:t>A-9</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00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w w:val="98"/>
              </w:rPr>
            </w:pPr>
            <w:hyperlink w:anchor="page127">
              <w:r>
                <w:rPr>
                  <w:rFonts w:ascii="Arial" w:cs="Arial" w:eastAsia="Arial" w:hAnsi="Arial"/>
                  <w:sz w:val="16"/>
                  <w:szCs w:val="16"/>
                  <w:color w:val="0000EE"/>
                  <w:w w:val="98"/>
                </w:rPr>
                <w:t>(c) Limitations</w:t>
              </w:r>
            </w:hyperlink>
          </w:p>
        </w:tc>
        <w:tc>
          <w:tcPr>
            <w:tcW w:w="1780" w:type="dxa"/>
            <w:vAlign w:val="bottom"/>
            <w:tcBorders>
              <w:top w:val="single" w:sz="8" w:color="0000EE"/>
            </w:tcBorders>
            <w:gridSpan w:val="21"/>
          </w:tcPr>
          <w:p>
            <w:pPr>
              <w:spacing w:after="0"/>
              <w:rPr>
                <w:sz w:val="14"/>
                <w:szCs w:val="14"/>
                <w:color w:val="auto"/>
              </w:rPr>
            </w:pPr>
          </w:p>
        </w:tc>
        <w:tc>
          <w:tcPr>
            <w:tcW w:w="40" w:type="dxa"/>
            <w:vAlign w:val="bottom"/>
          </w:tcPr>
          <w:p>
            <w:pPr>
              <w:spacing w:after="0"/>
              <w:rPr>
                <w:sz w:val="14"/>
                <w:szCs w:val="14"/>
                <w:color w:val="auto"/>
              </w:rPr>
            </w:pPr>
          </w:p>
        </w:tc>
        <w:tc>
          <w:tcPr>
            <w:tcW w:w="1640" w:type="dxa"/>
            <w:vAlign w:val="bottom"/>
            <w:gridSpan w:val="10"/>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6"/>
                <w:szCs w:val="16"/>
                <w:color w:val="auto"/>
              </w:rPr>
              <w:t>A-10</w:t>
            </w:r>
          </w:p>
        </w:tc>
        <w:tc>
          <w:tcPr>
            <w:tcW w:w="0" w:type="dxa"/>
            <w:vAlign w:val="bottom"/>
          </w:tcPr>
          <w:p>
            <w:pPr>
              <w:spacing w:after="0"/>
              <w:rPr>
                <w:sz w:val="1"/>
                <w:szCs w:val="1"/>
                <w:color w:val="auto"/>
              </w:rPr>
            </w:pPr>
          </w:p>
        </w:tc>
      </w:tr>
      <w:tr>
        <w:trPr>
          <w:trHeight w:val="250"/>
        </w:trPr>
        <w:tc>
          <w:tcPr>
            <w:tcW w:w="4680" w:type="dxa"/>
            <w:vAlign w:val="bottom"/>
            <w:gridSpan w:val="37"/>
          </w:tcPr>
          <w:p>
            <w:pPr>
              <w:spacing w:after="0"/>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SECTION XI. NON-STOCK AWARDS</w:t>
              </w:r>
            </w:hyperlink>
          </w:p>
        </w:tc>
        <w:tc>
          <w:tcPr>
            <w:tcW w:w="660" w:type="dxa"/>
            <w:vAlign w:val="bottom"/>
          </w:tcPr>
          <w:p>
            <w:pPr>
              <w:jc w:val="right"/>
              <w:spacing w:after="0"/>
              <w:rPr>
                <w:sz w:val="20"/>
                <w:szCs w:val="20"/>
                <w:color w:val="auto"/>
              </w:rPr>
            </w:pPr>
            <w:r>
              <w:rPr>
                <w:rFonts w:ascii="Arial" w:cs="Arial" w:eastAsia="Arial" w:hAnsi="Arial"/>
                <w:sz w:val="18"/>
                <w:szCs w:val="18"/>
                <w:b w:val="1"/>
                <w:bCs w:val="1"/>
                <w:color w:val="0B2D71"/>
              </w:rPr>
              <w:t>A-10</w:t>
            </w:r>
          </w:p>
        </w:tc>
        <w:tc>
          <w:tcPr>
            <w:tcW w:w="0" w:type="dxa"/>
            <w:vAlign w:val="bottom"/>
          </w:tcPr>
          <w:p>
            <w:pPr>
              <w:spacing w:after="0"/>
              <w:rPr>
                <w:sz w:val="1"/>
                <w:szCs w:val="1"/>
                <w:color w:val="auto"/>
              </w:rPr>
            </w:pPr>
          </w:p>
        </w:tc>
      </w:tr>
      <w:tr>
        <w:trPr>
          <w:trHeight w:val="169"/>
        </w:trPr>
        <w:tc>
          <w:tcPr>
            <w:tcW w:w="220" w:type="dxa"/>
            <w:vAlign w:val="bottom"/>
            <w:tcBorders>
              <w:top w:val="single" w:sz="8" w:color="0000EE"/>
            </w:tcBorders>
          </w:tcPr>
          <w:p>
            <w:pPr>
              <w:spacing w:after="0"/>
              <w:rPr>
                <w:sz w:val="14"/>
                <w:szCs w:val="14"/>
                <w:color w:val="auto"/>
              </w:rPr>
            </w:pPr>
          </w:p>
        </w:tc>
        <w:tc>
          <w:tcPr>
            <w:tcW w:w="2820" w:type="dxa"/>
            <w:vAlign w:val="bottom"/>
            <w:tcBorders>
              <w:top w:val="single" w:sz="8" w:color="0000EE"/>
            </w:tcBorders>
            <w:gridSpan w:val="26"/>
          </w:tcPr>
          <w:p>
            <w:pPr>
              <w:spacing w:after="0" w:line="169" w:lineRule="exact"/>
              <w:rPr>
                <w:rFonts w:ascii="Arial" w:cs="Arial" w:eastAsia="Arial" w:hAnsi="Arial"/>
                <w:sz w:val="16"/>
                <w:szCs w:val="16"/>
                <w:color w:val="0000EE"/>
              </w:rPr>
            </w:pPr>
            <w:hyperlink w:anchor="page127">
              <w:r>
                <w:rPr>
                  <w:rFonts w:ascii="Arial" w:cs="Arial" w:eastAsia="Arial" w:hAnsi="Arial"/>
                  <w:sz w:val="16"/>
                  <w:szCs w:val="16"/>
                  <w:color w:val="0000EE"/>
                </w:rPr>
                <w:t>(a) Grants</w:t>
              </w:r>
            </w:hyperlink>
          </w:p>
        </w:tc>
        <w:tc>
          <w:tcPr>
            <w:tcW w:w="1640" w:type="dxa"/>
            <w:vAlign w:val="bottom"/>
            <w:gridSpan w:val="10"/>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6"/>
                <w:szCs w:val="16"/>
                <w:color w:val="auto"/>
              </w:rPr>
              <w:t>A-10</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72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rPr>
            </w:pPr>
            <w:hyperlink w:anchor="page127">
              <w:r>
                <w:rPr>
                  <w:rFonts w:ascii="Arial" w:cs="Arial" w:eastAsia="Arial" w:hAnsi="Arial"/>
                  <w:sz w:val="16"/>
                  <w:szCs w:val="16"/>
                  <w:color w:val="0000EE"/>
                </w:rPr>
                <w:t>(b) Terms</w:t>
              </w:r>
            </w:hyperlink>
          </w:p>
        </w:tc>
        <w:tc>
          <w:tcPr>
            <w:tcW w:w="1080" w:type="dxa"/>
            <w:vAlign w:val="bottom"/>
            <w:tcBorders>
              <w:bottom w:val="single" w:sz="8" w:color="0000EE"/>
            </w:tcBorders>
            <w:gridSpan w:val="7"/>
          </w:tcPr>
          <w:p>
            <w:pPr>
              <w:spacing w:after="0" w:line="169" w:lineRule="exact"/>
              <w:rPr>
                <w:rFonts w:ascii="Arial" w:cs="Arial" w:eastAsia="Arial" w:hAnsi="Arial"/>
                <w:sz w:val="16"/>
                <w:szCs w:val="16"/>
                <w:color w:val="0000EE"/>
                <w:w w:val="99"/>
              </w:rPr>
            </w:pPr>
            <w:hyperlink w:anchor="page127">
              <w:r>
                <w:rPr>
                  <w:rFonts w:ascii="Arial" w:cs="Arial" w:eastAsia="Arial" w:hAnsi="Arial"/>
                  <w:sz w:val="16"/>
                  <w:szCs w:val="16"/>
                  <w:color w:val="0000EE"/>
                  <w:w w:val="99"/>
                </w:rPr>
                <w:t>and Conditions</w:t>
              </w:r>
            </w:hyperlink>
          </w:p>
        </w:tc>
        <w:tc>
          <w:tcPr>
            <w:tcW w:w="2660" w:type="dxa"/>
            <w:vAlign w:val="bottom"/>
            <w:gridSpan w:val="27"/>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6"/>
                <w:szCs w:val="16"/>
                <w:color w:val="auto"/>
              </w:rPr>
              <w:t>A-10</w:t>
            </w:r>
          </w:p>
        </w:tc>
        <w:tc>
          <w:tcPr>
            <w:tcW w:w="0" w:type="dxa"/>
            <w:vAlign w:val="bottom"/>
          </w:tcPr>
          <w:p>
            <w:pPr>
              <w:spacing w:after="0"/>
              <w:rPr>
                <w:sz w:val="1"/>
                <w:szCs w:val="1"/>
                <w:color w:val="auto"/>
              </w:rPr>
            </w:pPr>
          </w:p>
        </w:tc>
      </w:tr>
      <w:tr>
        <w:trPr>
          <w:trHeight w:val="250"/>
        </w:trPr>
        <w:tc>
          <w:tcPr>
            <w:tcW w:w="2900" w:type="dxa"/>
            <w:vAlign w:val="bottom"/>
            <w:tcBorders>
              <w:bottom w:val="single" w:sz="8" w:color="0000EE"/>
            </w:tcBorders>
            <w:gridSpan w:val="24"/>
          </w:tcPr>
          <w:p>
            <w:pPr>
              <w:spacing w:after="0"/>
              <w:rPr>
                <w:rFonts w:ascii="Arial" w:cs="Arial" w:eastAsia="Arial" w:hAnsi="Arial"/>
                <w:sz w:val="18"/>
                <w:szCs w:val="18"/>
                <w:b w:val="1"/>
                <w:bCs w:val="1"/>
                <w:color w:val="0000EE"/>
                <w:w w:val="98"/>
              </w:rPr>
            </w:pPr>
            <w:hyperlink w:anchor="page128">
              <w:r>
                <w:rPr>
                  <w:rFonts w:ascii="Arial" w:cs="Arial" w:eastAsia="Arial" w:hAnsi="Arial"/>
                  <w:sz w:val="18"/>
                  <w:szCs w:val="18"/>
                  <w:b w:val="1"/>
                  <w:bCs w:val="1"/>
                  <w:color w:val="0000EE"/>
                  <w:w w:val="98"/>
                </w:rPr>
                <w:t>SECTION XII. RECAPITALIZATION</w:t>
              </w:r>
            </w:hyperlink>
          </w:p>
        </w:tc>
        <w:tc>
          <w:tcPr>
            <w:tcW w:w="1780" w:type="dxa"/>
            <w:vAlign w:val="bottom"/>
            <w:gridSpan w:val="13"/>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0B2D71"/>
              </w:rPr>
              <w:t>A-11</w:t>
            </w:r>
          </w:p>
        </w:tc>
        <w:tc>
          <w:tcPr>
            <w:tcW w:w="0" w:type="dxa"/>
            <w:vAlign w:val="bottom"/>
          </w:tcPr>
          <w:p>
            <w:pPr>
              <w:spacing w:after="0"/>
              <w:rPr>
                <w:sz w:val="1"/>
                <w:szCs w:val="1"/>
                <w:color w:val="auto"/>
              </w:rPr>
            </w:pPr>
          </w:p>
        </w:tc>
      </w:tr>
    </w:tbl>
    <w:p>
      <w:pPr>
        <w:sectPr>
          <w:pgSz w:w="11900" w:h="16838" w:orient="portrait"/>
          <w:cols w:equalWidth="0" w:num="2">
            <w:col w:w="5340" w:space="400"/>
            <w:col w:w="5340"/>
          </w:cols>
          <w:pgMar w:left="320" w:top="455" w:right="499" w:bottom="1440" w:gutter="0" w:footer="0" w:header="0"/>
          <w:type w:val="continuous"/>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5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540" w:type="dxa"/>
            <w:vAlign w:val="bottom"/>
            <w:gridSpan w:val="14"/>
          </w:tcPr>
          <w:p>
            <w:pPr>
              <w:spacing w:after="0"/>
              <w:rPr>
                <w:rFonts w:ascii="Arial" w:cs="Arial" w:eastAsia="Arial" w:hAnsi="Arial"/>
                <w:sz w:val="18"/>
                <w:szCs w:val="18"/>
                <w:b w:val="1"/>
                <w:bCs w:val="1"/>
                <w:color w:val="0000EE"/>
              </w:rPr>
            </w:pPr>
            <w:hyperlink w:anchor="page128">
              <w:r>
                <w:rPr>
                  <w:rFonts w:ascii="Arial" w:cs="Arial" w:eastAsia="Arial" w:hAnsi="Arial"/>
                  <w:sz w:val="18"/>
                  <w:szCs w:val="18"/>
                  <w:b w:val="1"/>
                  <w:bCs w:val="1"/>
                  <w:color w:val="0000EE"/>
                </w:rPr>
                <w:t>SECTION XIII. FORFEITURE FOR MISCONDUCT</w:t>
              </w:r>
            </w:hyperlink>
          </w:p>
        </w:tc>
        <w:tc>
          <w:tcPr>
            <w:tcW w:w="680" w:type="dxa"/>
            <w:vAlign w:val="bottom"/>
          </w:tcPr>
          <w:p>
            <w:pPr>
              <w:jc w:val="right"/>
              <w:spacing w:after="0"/>
              <w:rPr>
                <w:sz w:val="20"/>
                <w:szCs w:val="20"/>
                <w:color w:val="auto"/>
              </w:rPr>
            </w:pPr>
            <w:r>
              <w:rPr>
                <w:rFonts w:ascii="Arial" w:cs="Arial" w:eastAsia="Arial" w:hAnsi="Arial"/>
                <w:sz w:val="18"/>
                <w:szCs w:val="18"/>
                <w:b w:val="1"/>
                <w:bCs w:val="1"/>
                <w:color w:val="0B2D71"/>
              </w:rPr>
              <w:t>A-11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0000EE"/>
            </w:tcBorders>
            <w:gridSpan w:val="13"/>
          </w:tcPr>
          <w:p>
            <w:pPr>
              <w:spacing w:after="0"/>
              <w:rPr>
                <w:rFonts w:ascii="Arial" w:cs="Arial" w:eastAsia="Arial" w:hAnsi="Arial"/>
                <w:sz w:val="18"/>
                <w:szCs w:val="18"/>
                <w:b w:val="1"/>
                <w:bCs w:val="1"/>
                <w:color w:val="0000EE"/>
                <w:w w:val="99"/>
              </w:rPr>
            </w:pPr>
            <w:hyperlink w:anchor="page129">
              <w:r>
                <w:rPr>
                  <w:rFonts w:ascii="Arial" w:cs="Arial" w:eastAsia="Arial" w:hAnsi="Arial"/>
                  <w:sz w:val="18"/>
                  <w:szCs w:val="18"/>
                  <w:b w:val="1"/>
                  <w:bCs w:val="1"/>
                  <w:color w:val="0000EE"/>
                  <w:w w:val="99"/>
                </w:rPr>
                <w:t>SECTION XIV. SECURITIES LAW REQUIREMENTS</w:t>
              </w:r>
            </w:hyperlink>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0B2D71"/>
              </w:rPr>
              <w:t>A-12</w:t>
            </w:r>
          </w:p>
        </w:tc>
        <w:tc>
          <w:tcPr>
            <w:tcW w:w="0" w:type="dxa"/>
            <w:vAlign w:val="bottom"/>
          </w:tcPr>
          <w:p>
            <w:pPr>
              <w:spacing w:after="0"/>
              <w:rPr>
                <w:sz w:val="1"/>
                <w:szCs w:val="1"/>
                <w:color w:val="auto"/>
              </w:rPr>
            </w:pPr>
          </w:p>
        </w:tc>
      </w:tr>
      <w:tr>
        <w:trPr>
          <w:trHeight w:val="250"/>
        </w:trPr>
        <w:tc>
          <w:tcPr>
            <w:tcW w:w="4540" w:type="dxa"/>
            <w:vAlign w:val="bottom"/>
            <w:gridSpan w:val="14"/>
          </w:tcPr>
          <w:p>
            <w:pPr>
              <w:spacing w:after="0"/>
              <w:rPr>
                <w:rFonts w:ascii="Arial" w:cs="Arial" w:eastAsia="Arial" w:hAnsi="Arial"/>
                <w:sz w:val="18"/>
                <w:szCs w:val="18"/>
                <w:b w:val="1"/>
                <w:bCs w:val="1"/>
                <w:color w:val="0000EE"/>
              </w:rPr>
            </w:pPr>
            <w:hyperlink w:anchor="page129">
              <w:r>
                <w:rPr>
                  <w:rFonts w:ascii="Arial" w:cs="Arial" w:eastAsia="Arial" w:hAnsi="Arial"/>
                  <w:sz w:val="18"/>
                  <w:szCs w:val="18"/>
                  <w:b w:val="1"/>
                  <w:bCs w:val="1"/>
                  <w:color w:val="0000EE"/>
                </w:rPr>
                <w:t>SECTION XV. AMENDMENTS OF THE PLAN OR</w:t>
              </w:r>
            </w:hyperlink>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0B2D71"/>
              </w:rPr>
              <w:t>A-12</w:t>
            </w:r>
          </w:p>
        </w:tc>
        <w:tc>
          <w:tcPr>
            <w:tcW w:w="0" w:type="dxa"/>
            <w:vAlign w:val="bottom"/>
          </w:tcPr>
          <w:p>
            <w:pPr>
              <w:spacing w:after="0"/>
              <w:rPr>
                <w:sz w:val="1"/>
                <w:szCs w:val="1"/>
                <w:color w:val="auto"/>
              </w:rPr>
            </w:pPr>
          </w:p>
        </w:tc>
      </w:tr>
      <w:tr>
        <w:trPr>
          <w:trHeight w:val="183"/>
        </w:trPr>
        <w:tc>
          <w:tcPr>
            <w:tcW w:w="8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b w:val="1"/>
                <w:bCs w:val="1"/>
                <w:color w:val="0000EE"/>
                <w:w w:val="96"/>
              </w:rPr>
            </w:pPr>
            <w:hyperlink w:anchor="page129">
              <w:r>
                <w:rPr>
                  <w:rFonts w:ascii="Arial" w:cs="Arial" w:eastAsia="Arial" w:hAnsi="Arial"/>
                  <w:sz w:val="18"/>
                  <w:szCs w:val="18"/>
                  <w:b w:val="1"/>
                  <w:bCs w:val="1"/>
                  <w:color w:val="0000EE"/>
                  <w:w w:val="96"/>
                </w:rPr>
                <w:t>AWARDS</w:t>
              </w:r>
            </w:hyperlink>
          </w:p>
        </w:tc>
        <w:tc>
          <w:tcPr>
            <w:tcW w:w="3260" w:type="dxa"/>
            <w:vAlign w:val="bottom"/>
            <w:tcBorders>
              <w:top w:val="single" w:sz="8" w:color="0000EE"/>
            </w:tcBorders>
            <w:gridSpan w:val="10"/>
          </w:tcPr>
          <w:p>
            <w:pPr>
              <w:spacing w:after="0"/>
              <w:rPr>
                <w:sz w:val="15"/>
                <w:szCs w:val="15"/>
                <w:color w:val="auto"/>
              </w:rPr>
            </w:pPr>
          </w:p>
        </w:tc>
        <w:tc>
          <w:tcPr>
            <w:tcW w:w="480" w:type="dxa"/>
            <w:vAlign w:val="bottom"/>
            <w:gridSpan w:val="2"/>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4320" w:type="dxa"/>
            <w:vAlign w:val="bottom"/>
            <w:gridSpan w:val="13"/>
          </w:tcPr>
          <w:p>
            <w:pPr>
              <w:spacing w:after="0" w:line="169" w:lineRule="exact"/>
              <w:rPr>
                <w:rFonts w:ascii="Arial" w:cs="Arial" w:eastAsia="Arial" w:hAnsi="Arial"/>
                <w:sz w:val="16"/>
                <w:szCs w:val="16"/>
                <w:color w:val="0000EE"/>
              </w:rPr>
            </w:pPr>
            <w:hyperlink w:anchor="page129">
              <w:r>
                <w:rPr>
                  <w:rFonts w:ascii="Arial" w:cs="Arial" w:eastAsia="Arial" w:hAnsi="Arial"/>
                  <w:sz w:val="16"/>
                  <w:szCs w:val="16"/>
                  <w:color w:val="0000EE"/>
                </w:rPr>
                <w:t>(a) Amendment of the Plan</w:t>
              </w:r>
            </w:hyperlink>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auto"/>
              </w:rPr>
              <w:t>A-12</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92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w w:val="97"/>
              </w:rPr>
            </w:pPr>
            <w:hyperlink w:anchor="page130">
              <w:r>
                <w:rPr>
                  <w:rFonts w:ascii="Arial" w:cs="Arial" w:eastAsia="Arial" w:hAnsi="Arial"/>
                  <w:sz w:val="16"/>
                  <w:szCs w:val="16"/>
                  <w:color w:val="0000EE"/>
                  <w:w w:val="97"/>
                </w:rPr>
                <w:t>(b) Amendments of Awards</w:t>
              </w:r>
            </w:hyperlink>
          </w:p>
        </w:tc>
        <w:tc>
          <w:tcPr>
            <w:tcW w:w="40" w:type="dxa"/>
            <w:vAlign w:val="bottom"/>
            <w:tcBorders>
              <w:bottom w:val="single" w:sz="8" w:color="0000EE"/>
            </w:tcBorders>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auto"/>
              </w:rPr>
              <w:t>A-13</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680" w:type="dxa"/>
            <w:vAlign w:val="bottom"/>
            <w:tcBorders>
              <w:bottom w:val="single" w:sz="8" w:color="0000EE"/>
            </w:tcBorders>
            <w:gridSpan w:val="2"/>
          </w:tcPr>
          <w:p>
            <w:pPr>
              <w:spacing w:after="0" w:line="169" w:lineRule="exact"/>
              <w:rPr>
                <w:rFonts w:ascii="Arial" w:cs="Arial" w:eastAsia="Arial" w:hAnsi="Arial"/>
                <w:sz w:val="16"/>
                <w:szCs w:val="16"/>
                <w:color w:val="0000EE"/>
                <w:w w:val="99"/>
              </w:rPr>
            </w:pPr>
            <w:hyperlink w:anchor="page130">
              <w:r>
                <w:rPr>
                  <w:rFonts w:ascii="Arial" w:cs="Arial" w:eastAsia="Arial" w:hAnsi="Arial"/>
                  <w:sz w:val="16"/>
                  <w:szCs w:val="16"/>
                  <w:color w:val="0000EE"/>
                  <w:w w:val="99"/>
                </w:rPr>
                <w:t>(c) Rights of Participant</w:t>
              </w:r>
            </w:hyperlink>
          </w:p>
        </w:tc>
        <w:tc>
          <w:tcPr>
            <w:tcW w:w="28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auto"/>
              </w:rPr>
              <w:t>A-13</w:t>
            </w:r>
          </w:p>
        </w:tc>
        <w:tc>
          <w:tcPr>
            <w:tcW w:w="0" w:type="dxa"/>
            <w:vAlign w:val="bottom"/>
          </w:tcPr>
          <w:p>
            <w:pPr>
              <w:spacing w:after="0"/>
              <w:rPr>
                <w:sz w:val="1"/>
                <w:szCs w:val="1"/>
                <w:color w:val="auto"/>
              </w:rPr>
            </w:pPr>
          </w:p>
        </w:tc>
      </w:tr>
      <w:tr>
        <w:trPr>
          <w:trHeight w:val="250"/>
        </w:trPr>
        <w:tc>
          <w:tcPr>
            <w:tcW w:w="4540" w:type="dxa"/>
            <w:vAlign w:val="bottom"/>
            <w:gridSpan w:val="14"/>
          </w:tcPr>
          <w:p>
            <w:pPr>
              <w:spacing w:after="0"/>
              <w:rPr>
                <w:rFonts w:ascii="Arial" w:cs="Arial" w:eastAsia="Arial" w:hAnsi="Arial"/>
                <w:sz w:val="18"/>
                <w:szCs w:val="18"/>
                <w:b w:val="1"/>
                <w:bCs w:val="1"/>
                <w:color w:val="0000EE"/>
              </w:rPr>
            </w:pPr>
            <w:hyperlink w:anchor="page130">
              <w:r>
                <w:rPr>
                  <w:rFonts w:ascii="Arial" w:cs="Arial" w:eastAsia="Arial" w:hAnsi="Arial"/>
                  <w:sz w:val="18"/>
                  <w:szCs w:val="18"/>
                  <w:b w:val="1"/>
                  <w:bCs w:val="1"/>
                  <w:color w:val="0000EE"/>
                </w:rPr>
                <w:t>SECTION XVI. GENERAL PROVISIONS</w:t>
              </w:r>
            </w:hyperlink>
          </w:p>
        </w:tc>
        <w:tc>
          <w:tcPr>
            <w:tcW w:w="680" w:type="dxa"/>
            <w:vAlign w:val="bottom"/>
          </w:tcPr>
          <w:p>
            <w:pPr>
              <w:jc w:val="right"/>
              <w:spacing w:after="0"/>
              <w:rPr>
                <w:sz w:val="20"/>
                <w:szCs w:val="20"/>
                <w:color w:val="auto"/>
              </w:rPr>
            </w:pPr>
            <w:r>
              <w:rPr>
                <w:rFonts w:ascii="Arial" w:cs="Arial" w:eastAsia="Arial" w:hAnsi="Arial"/>
                <w:sz w:val="18"/>
                <w:szCs w:val="18"/>
                <w:b w:val="1"/>
                <w:bCs w:val="1"/>
                <w:color w:val="0B2D71"/>
              </w:rPr>
              <w:t>A-13</w:t>
            </w:r>
          </w:p>
        </w:tc>
        <w:tc>
          <w:tcPr>
            <w:tcW w:w="0" w:type="dxa"/>
            <w:vAlign w:val="bottom"/>
          </w:tcPr>
          <w:p>
            <w:pPr>
              <w:spacing w:after="0"/>
              <w:rPr>
                <w:sz w:val="1"/>
                <w:szCs w:val="1"/>
                <w:color w:val="auto"/>
              </w:rPr>
            </w:pPr>
          </w:p>
        </w:tc>
      </w:tr>
      <w:tr>
        <w:trPr>
          <w:trHeight w:val="169"/>
        </w:trPr>
        <w:tc>
          <w:tcPr>
            <w:tcW w:w="220" w:type="dxa"/>
            <w:vAlign w:val="bottom"/>
            <w:tcBorders>
              <w:top w:val="single" w:sz="8" w:color="0000EE"/>
            </w:tcBorders>
          </w:tcPr>
          <w:p>
            <w:pPr>
              <w:spacing w:after="0"/>
              <w:rPr>
                <w:sz w:val="14"/>
                <w:szCs w:val="14"/>
                <w:color w:val="auto"/>
              </w:rPr>
            </w:pPr>
          </w:p>
        </w:tc>
        <w:tc>
          <w:tcPr>
            <w:tcW w:w="3060" w:type="dxa"/>
            <w:vAlign w:val="bottom"/>
            <w:tcBorders>
              <w:top w:val="single" w:sz="8" w:color="0000EE"/>
            </w:tcBorders>
            <w:gridSpan w:val="10"/>
          </w:tcPr>
          <w:p>
            <w:pPr>
              <w:spacing w:after="0" w:line="169" w:lineRule="exact"/>
              <w:rPr>
                <w:rFonts w:ascii="Arial" w:cs="Arial" w:eastAsia="Arial" w:hAnsi="Arial"/>
                <w:sz w:val="16"/>
                <w:szCs w:val="16"/>
                <w:color w:val="0000EE"/>
              </w:rPr>
            </w:pPr>
            <w:hyperlink w:anchor="page130">
              <w:r>
                <w:rPr>
                  <w:rFonts w:ascii="Arial" w:cs="Arial" w:eastAsia="Arial" w:hAnsi="Arial"/>
                  <w:sz w:val="16"/>
                  <w:szCs w:val="16"/>
                  <w:color w:val="0000EE"/>
                </w:rPr>
                <w:t>(a) Authority to Satisfy Obligations</w:t>
              </w:r>
            </w:hyperlink>
          </w:p>
        </w:tc>
        <w:tc>
          <w:tcPr>
            <w:tcW w:w="1260" w:type="dxa"/>
            <w:vAlign w:val="bottom"/>
            <w:gridSpan w:val="3"/>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auto"/>
              </w:rPr>
              <w:t>A-13</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2460" w:type="dxa"/>
            <w:vAlign w:val="bottom"/>
            <w:tcBorders>
              <w:top w:val="single" w:sz="8" w:color="0000EE"/>
              <w:bottom w:val="single" w:sz="8" w:color="0000EE"/>
            </w:tcBorders>
            <w:gridSpan w:val="6"/>
          </w:tcPr>
          <w:p>
            <w:pPr>
              <w:spacing w:after="0" w:line="169" w:lineRule="exact"/>
              <w:rPr>
                <w:rFonts w:ascii="Arial" w:cs="Arial" w:eastAsia="Arial" w:hAnsi="Arial"/>
                <w:sz w:val="16"/>
                <w:szCs w:val="16"/>
                <w:color w:val="0000EE"/>
                <w:w w:val="97"/>
              </w:rPr>
            </w:pPr>
            <w:hyperlink w:anchor="page130">
              <w:r>
                <w:rPr>
                  <w:rFonts w:ascii="Arial" w:cs="Arial" w:eastAsia="Arial" w:hAnsi="Arial"/>
                  <w:sz w:val="16"/>
                  <w:szCs w:val="16"/>
                  <w:color w:val="0000EE"/>
                  <w:w w:val="97"/>
                </w:rPr>
                <w:t>(b) Participants’ Stockholder Rights</w:t>
              </w:r>
            </w:hyperlink>
          </w:p>
        </w:tc>
        <w:tc>
          <w:tcPr>
            <w:tcW w:w="60" w:type="dxa"/>
            <w:vAlign w:val="bottom"/>
            <w:tcBorders>
              <w:bottom w:val="single" w:sz="8" w:color="0000EE"/>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4"/>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auto"/>
              </w:rPr>
              <w:t>A-13</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2520" w:type="dxa"/>
            <w:vAlign w:val="bottom"/>
            <w:gridSpan w:val="7"/>
          </w:tcPr>
          <w:p>
            <w:pPr>
              <w:spacing w:after="0" w:line="169" w:lineRule="exact"/>
              <w:rPr>
                <w:rFonts w:ascii="Arial" w:cs="Arial" w:eastAsia="Arial" w:hAnsi="Arial"/>
                <w:sz w:val="16"/>
                <w:szCs w:val="16"/>
                <w:color w:val="0000EE"/>
              </w:rPr>
            </w:pPr>
            <w:hyperlink w:anchor="page130">
              <w:r>
                <w:rPr>
                  <w:rFonts w:ascii="Arial" w:cs="Arial" w:eastAsia="Arial" w:hAnsi="Arial"/>
                  <w:sz w:val="16"/>
                  <w:szCs w:val="16"/>
                  <w:color w:val="0000EE"/>
                </w:rPr>
                <w:t>(c) Participant’s Rights Unsecured</w:t>
              </w:r>
            </w:hyperlink>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4"/>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auto"/>
              </w:rPr>
              <w:t>A-13</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244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w w:val="98"/>
              </w:rPr>
            </w:pPr>
            <w:hyperlink w:anchor="page130">
              <w:r>
                <w:rPr>
                  <w:rFonts w:ascii="Arial" w:cs="Arial" w:eastAsia="Arial" w:hAnsi="Arial"/>
                  <w:sz w:val="16"/>
                  <w:szCs w:val="16"/>
                  <w:color w:val="0000EE"/>
                  <w:w w:val="98"/>
                </w:rPr>
                <w:t>(d) Authority to Establish a Grantor</w:t>
              </w:r>
            </w:hyperlink>
          </w:p>
        </w:tc>
        <w:tc>
          <w:tcPr>
            <w:tcW w:w="460" w:type="dxa"/>
            <w:vAlign w:val="bottom"/>
            <w:tcBorders>
              <w:bottom w:val="single" w:sz="8" w:color="0000EE"/>
            </w:tcBorders>
            <w:gridSpan w:val="3"/>
          </w:tcPr>
          <w:p>
            <w:pPr>
              <w:ind w:left="100"/>
              <w:spacing w:after="0" w:line="169" w:lineRule="exact"/>
              <w:rPr>
                <w:rFonts w:ascii="Arial" w:cs="Arial" w:eastAsia="Arial" w:hAnsi="Arial"/>
                <w:sz w:val="16"/>
                <w:szCs w:val="16"/>
                <w:color w:val="0000EE"/>
                <w:w w:val="93"/>
              </w:rPr>
            </w:pPr>
            <w:hyperlink w:anchor="page130">
              <w:r>
                <w:rPr>
                  <w:rFonts w:ascii="Arial" w:cs="Arial" w:eastAsia="Arial" w:hAnsi="Arial"/>
                  <w:sz w:val="16"/>
                  <w:szCs w:val="16"/>
                  <w:color w:val="0000EE"/>
                  <w:w w:val="93"/>
                </w:rPr>
                <w:t>Trust</w:t>
              </w:r>
            </w:hyperlink>
          </w:p>
        </w:tc>
        <w:tc>
          <w:tcPr>
            <w:tcW w:w="1420" w:type="dxa"/>
            <w:vAlign w:val="bottom"/>
            <w:gridSpan w:val="5"/>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auto"/>
              </w:rPr>
              <w:t>A-13</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3040" w:type="dxa"/>
            <w:vAlign w:val="bottom"/>
            <w:tcBorders>
              <w:bottom w:val="single" w:sz="8" w:color="0000EE"/>
            </w:tcBorders>
            <w:gridSpan w:val="9"/>
          </w:tcPr>
          <w:p>
            <w:pPr>
              <w:spacing w:after="0" w:line="169" w:lineRule="exact"/>
              <w:rPr>
                <w:rFonts w:ascii="Arial" w:cs="Arial" w:eastAsia="Arial" w:hAnsi="Arial"/>
                <w:sz w:val="16"/>
                <w:szCs w:val="16"/>
                <w:color w:val="0000EE"/>
              </w:rPr>
            </w:pPr>
            <w:hyperlink w:anchor="page130">
              <w:r>
                <w:rPr>
                  <w:rFonts w:ascii="Arial" w:cs="Arial" w:eastAsia="Arial" w:hAnsi="Arial"/>
                  <w:sz w:val="16"/>
                  <w:szCs w:val="16"/>
                  <w:color w:val="0000EE"/>
                </w:rPr>
                <w:t>(e) No Obligation to Exercise Stock Option</w:t>
              </w:r>
            </w:hyperlink>
          </w:p>
        </w:tc>
        <w:tc>
          <w:tcPr>
            <w:tcW w:w="1280" w:type="dxa"/>
            <w:vAlign w:val="bottom"/>
            <w:gridSpan w:val="4"/>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auto"/>
              </w:rPr>
              <w:t>A-13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4200" w:type="dxa"/>
            <w:vAlign w:val="bottom"/>
            <w:gridSpan w:val="13"/>
          </w:tcPr>
          <w:p>
            <w:pPr>
              <w:spacing w:after="0"/>
              <w:rPr>
                <w:rFonts w:ascii="Arial" w:cs="Arial" w:eastAsia="Arial" w:hAnsi="Arial"/>
                <w:sz w:val="16"/>
                <w:szCs w:val="16"/>
                <w:color w:val="0000EE"/>
              </w:rPr>
            </w:pPr>
            <w:hyperlink w:anchor="page130">
              <w:r>
                <w:rPr>
                  <w:rFonts w:ascii="Arial" w:cs="Arial" w:eastAsia="Arial" w:hAnsi="Arial"/>
                  <w:sz w:val="16"/>
                  <w:szCs w:val="16"/>
                  <w:color w:val="0000EE"/>
                </w:rPr>
                <w:t>(f) Participant’s Beneficiary</w:t>
              </w:r>
            </w:hyperlink>
          </w:p>
        </w:tc>
        <w:tc>
          <w:tcPr>
            <w:tcW w:w="940" w:type="dxa"/>
            <w:vAlign w:val="bottom"/>
          </w:tcPr>
          <w:p>
            <w:pPr>
              <w:jc w:val="right"/>
              <w:spacing w:after="0"/>
              <w:rPr>
                <w:sz w:val="20"/>
                <w:szCs w:val="20"/>
                <w:color w:val="auto"/>
              </w:rPr>
            </w:pPr>
            <w:r>
              <w:rPr>
                <w:rFonts w:ascii="Arial" w:cs="Arial" w:eastAsia="Arial" w:hAnsi="Arial"/>
                <w:sz w:val="16"/>
                <w:szCs w:val="16"/>
                <w:color w:val="auto"/>
              </w:rPr>
              <w:t>A-13</w:t>
            </w: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1940" w:type="dxa"/>
            <w:vAlign w:val="bottom"/>
            <w:tcBorders>
              <w:top w:val="single" w:sz="8" w:color="0000EE"/>
            </w:tcBorders>
            <w:gridSpan w:val="9"/>
          </w:tcPr>
          <w:p>
            <w:pPr>
              <w:spacing w:after="0" w:line="169" w:lineRule="exact"/>
              <w:rPr>
                <w:rFonts w:ascii="Arial" w:cs="Arial" w:eastAsia="Arial" w:hAnsi="Arial"/>
                <w:sz w:val="16"/>
                <w:szCs w:val="16"/>
                <w:color w:val="0000EE"/>
              </w:rPr>
            </w:pPr>
            <w:hyperlink w:anchor="page130">
              <w:r>
                <w:rPr>
                  <w:rFonts w:ascii="Arial" w:cs="Arial" w:eastAsia="Arial" w:hAnsi="Arial"/>
                  <w:sz w:val="16"/>
                  <w:szCs w:val="16"/>
                  <w:color w:val="0000EE"/>
                </w:rPr>
                <w:t>(g) Deferral Elections</w:t>
              </w:r>
            </w:hyperlink>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6"/>
                <w:szCs w:val="16"/>
                <w:color w:val="auto"/>
              </w:rPr>
              <w:t>A-13</w:t>
            </w: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1540" w:type="dxa"/>
            <w:vAlign w:val="bottom"/>
            <w:tcBorders>
              <w:top w:val="single" w:sz="8" w:color="0000EE"/>
            </w:tcBorders>
            <w:gridSpan w:val="5"/>
          </w:tcPr>
          <w:p>
            <w:pPr>
              <w:spacing w:after="0" w:line="169" w:lineRule="exact"/>
              <w:rPr>
                <w:rFonts w:ascii="Arial" w:cs="Arial" w:eastAsia="Arial" w:hAnsi="Arial"/>
                <w:sz w:val="16"/>
                <w:szCs w:val="16"/>
                <w:color w:val="0000EE"/>
                <w:w w:val="99"/>
              </w:rPr>
            </w:pPr>
            <w:hyperlink w:anchor="page130">
              <w:r>
                <w:rPr>
                  <w:rFonts w:ascii="Arial" w:cs="Arial" w:eastAsia="Arial" w:hAnsi="Arial"/>
                  <w:sz w:val="16"/>
                  <w:szCs w:val="16"/>
                  <w:color w:val="0000EE"/>
                  <w:w w:val="99"/>
                </w:rPr>
                <w:t>(h) Awards in Foreign</w:t>
              </w:r>
            </w:hyperlink>
          </w:p>
        </w:tc>
        <w:tc>
          <w:tcPr>
            <w:tcW w:w="2660" w:type="dxa"/>
            <w:vAlign w:val="bottom"/>
            <w:gridSpan w:val="8"/>
          </w:tcPr>
          <w:p>
            <w:pPr>
              <w:ind w:left="60"/>
              <w:spacing w:after="0" w:line="169" w:lineRule="exact"/>
              <w:rPr>
                <w:rFonts w:ascii="Arial" w:cs="Arial" w:eastAsia="Arial" w:hAnsi="Arial"/>
                <w:sz w:val="16"/>
                <w:szCs w:val="16"/>
                <w:color w:val="0000EE"/>
              </w:rPr>
            </w:pPr>
            <w:hyperlink w:anchor="page130">
              <w:r>
                <w:rPr>
                  <w:rFonts w:ascii="Arial" w:cs="Arial" w:eastAsia="Arial" w:hAnsi="Arial"/>
                  <w:sz w:val="16"/>
                  <w:szCs w:val="16"/>
                  <w:color w:val="0000EE"/>
                </w:rPr>
                <w:t>Countries</w:t>
              </w:r>
            </w:hyperlink>
          </w:p>
        </w:tc>
        <w:tc>
          <w:tcPr>
            <w:tcW w:w="940" w:type="dxa"/>
            <w:vAlign w:val="bottom"/>
          </w:tcPr>
          <w:p>
            <w:pPr>
              <w:jc w:val="right"/>
              <w:spacing w:after="0" w:line="169" w:lineRule="exact"/>
              <w:rPr>
                <w:sz w:val="20"/>
                <w:szCs w:val="20"/>
                <w:color w:val="auto"/>
              </w:rPr>
            </w:pPr>
            <w:r>
              <w:rPr>
                <w:rFonts w:ascii="Arial" w:cs="Arial" w:eastAsia="Arial" w:hAnsi="Arial"/>
                <w:sz w:val="16"/>
                <w:szCs w:val="16"/>
                <w:color w:val="auto"/>
              </w:rPr>
              <w:t>A-13</w:t>
            </w: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2300" w:type="dxa"/>
            <w:vAlign w:val="bottom"/>
            <w:tcBorders>
              <w:top w:val="single" w:sz="8" w:color="0000EE"/>
            </w:tcBorders>
            <w:gridSpan w:val="11"/>
          </w:tcPr>
          <w:p>
            <w:pPr>
              <w:spacing w:after="0" w:line="169" w:lineRule="exact"/>
              <w:rPr>
                <w:rFonts w:ascii="Arial" w:cs="Arial" w:eastAsia="Arial" w:hAnsi="Arial"/>
                <w:sz w:val="16"/>
                <w:szCs w:val="16"/>
                <w:color w:val="0000EE"/>
              </w:rPr>
            </w:pPr>
            <w:hyperlink w:anchor="page130">
              <w:r>
                <w:rPr>
                  <w:rFonts w:ascii="Arial" w:cs="Arial" w:eastAsia="Arial" w:hAnsi="Arial"/>
                  <w:sz w:val="16"/>
                  <w:szCs w:val="16"/>
                  <w:color w:val="0000EE"/>
                </w:rPr>
                <w:t>(i) Withholding Taxes</w:t>
              </w:r>
            </w:hyperlink>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6"/>
                <w:szCs w:val="16"/>
                <w:color w:val="auto"/>
              </w:rPr>
              <w:t>A-13</w:t>
            </w: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152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rPr>
            </w:pPr>
            <w:hyperlink w:anchor="page131">
              <w:r>
                <w:rPr>
                  <w:rFonts w:ascii="Arial" w:cs="Arial" w:eastAsia="Arial" w:hAnsi="Arial"/>
                  <w:sz w:val="16"/>
                  <w:szCs w:val="16"/>
                  <w:color w:val="0000EE"/>
                </w:rPr>
                <w:t>(j) Other Corporation</w:t>
              </w:r>
            </w:hyperlink>
          </w:p>
        </w:tc>
        <w:tc>
          <w:tcPr>
            <w:tcW w:w="2680" w:type="dxa"/>
            <w:vAlign w:val="bottom"/>
            <w:tcBorders>
              <w:bottom w:val="single" w:sz="8" w:color="0000EE"/>
            </w:tcBorders>
            <w:gridSpan w:val="9"/>
          </w:tcPr>
          <w:p>
            <w:pPr>
              <w:ind w:left="20"/>
              <w:spacing w:after="0" w:line="169" w:lineRule="exact"/>
              <w:rPr>
                <w:rFonts w:ascii="Arial" w:cs="Arial" w:eastAsia="Arial" w:hAnsi="Arial"/>
                <w:sz w:val="16"/>
                <w:szCs w:val="16"/>
                <w:color w:val="0000EE"/>
              </w:rPr>
            </w:pPr>
            <w:hyperlink w:anchor="page131">
              <w:r>
                <w:rPr>
                  <w:rFonts w:ascii="Arial" w:cs="Arial" w:eastAsia="Arial" w:hAnsi="Arial"/>
                  <w:sz w:val="16"/>
                  <w:szCs w:val="16"/>
                  <w:color w:val="0000EE"/>
                </w:rPr>
                <w:t>Benefit and Compensation Programs</w:t>
              </w:r>
            </w:hyperlink>
          </w:p>
        </w:tc>
        <w:tc>
          <w:tcPr>
            <w:tcW w:w="940" w:type="dxa"/>
            <w:vAlign w:val="bottom"/>
          </w:tcPr>
          <w:p>
            <w:pPr>
              <w:jc w:val="right"/>
              <w:spacing w:after="0" w:line="169" w:lineRule="exact"/>
              <w:rPr>
                <w:sz w:val="20"/>
                <w:szCs w:val="20"/>
                <w:color w:val="auto"/>
              </w:rPr>
            </w:pPr>
            <w:r>
              <w:rPr>
                <w:rFonts w:ascii="Arial" w:cs="Arial" w:eastAsia="Arial" w:hAnsi="Arial"/>
                <w:sz w:val="16"/>
                <w:szCs w:val="16"/>
                <w:color w:val="auto"/>
              </w:rPr>
              <w:t>A-14</w:t>
            </w: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4200" w:type="dxa"/>
            <w:vAlign w:val="bottom"/>
            <w:gridSpan w:val="13"/>
          </w:tcPr>
          <w:p>
            <w:pPr>
              <w:spacing w:after="0" w:line="169" w:lineRule="exact"/>
              <w:rPr>
                <w:rFonts w:ascii="Arial" w:cs="Arial" w:eastAsia="Arial" w:hAnsi="Arial"/>
                <w:sz w:val="16"/>
                <w:szCs w:val="16"/>
                <w:color w:val="0000EE"/>
              </w:rPr>
            </w:pPr>
            <w:hyperlink w:anchor="page131">
              <w:r>
                <w:rPr>
                  <w:rFonts w:ascii="Arial" w:cs="Arial" w:eastAsia="Arial" w:hAnsi="Arial"/>
                  <w:sz w:val="16"/>
                  <w:szCs w:val="16"/>
                  <w:color w:val="0000EE"/>
                </w:rPr>
                <w:t>(k) Application of Funds</w:t>
              </w:r>
            </w:hyperlink>
          </w:p>
        </w:tc>
        <w:tc>
          <w:tcPr>
            <w:tcW w:w="940" w:type="dxa"/>
            <w:vAlign w:val="bottom"/>
          </w:tcPr>
          <w:p>
            <w:pPr>
              <w:jc w:val="right"/>
              <w:spacing w:after="0" w:line="169" w:lineRule="exact"/>
              <w:rPr>
                <w:sz w:val="20"/>
                <w:szCs w:val="20"/>
                <w:color w:val="auto"/>
              </w:rPr>
            </w:pPr>
            <w:r>
              <w:rPr>
                <w:rFonts w:ascii="Arial" w:cs="Arial" w:eastAsia="Arial" w:hAnsi="Arial"/>
                <w:sz w:val="16"/>
                <w:szCs w:val="16"/>
                <w:color w:val="auto"/>
              </w:rPr>
              <w:t>A-14</w:t>
            </w: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144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rPr>
            </w:pPr>
            <w:hyperlink w:anchor="page131">
              <w:r>
                <w:rPr>
                  <w:rFonts w:ascii="Arial" w:cs="Arial" w:eastAsia="Arial" w:hAnsi="Arial"/>
                  <w:sz w:val="16"/>
                  <w:szCs w:val="16"/>
                  <w:color w:val="0000EE"/>
                </w:rPr>
                <w:t>(l) Costs of the Plan</w:t>
              </w:r>
            </w:hyperlink>
          </w:p>
        </w:tc>
        <w:tc>
          <w:tcPr>
            <w:tcW w:w="280" w:type="dxa"/>
            <w:vAlign w:val="bottom"/>
            <w:tcBorders>
              <w:top w:val="single" w:sz="8" w:color="0000EE"/>
            </w:tcBorders>
            <w:gridSpan w:val="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194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6"/>
                <w:szCs w:val="16"/>
                <w:color w:val="auto"/>
              </w:rPr>
              <w:t>A-14</w:t>
            </w: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4200" w:type="dxa"/>
            <w:vAlign w:val="bottom"/>
            <w:gridSpan w:val="13"/>
          </w:tcPr>
          <w:p>
            <w:pPr>
              <w:spacing w:after="0" w:line="169" w:lineRule="exact"/>
              <w:rPr>
                <w:rFonts w:ascii="Arial" w:cs="Arial" w:eastAsia="Arial" w:hAnsi="Arial"/>
                <w:sz w:val="16"/>
                <w:szCs w:val="16"/>
                <w:color w:val="0000EE"/>
              </w:rPr>
            </w:pPr>
            <w:hyperlink w:anchor="page131">
              <w:r>
                <w:rPr>
                  <w:rFonts w:ascii="Arial" w:cs="Arial" w:eastAsia="Arial" w:hAnsi="Arial"/>
                  <w:sz w:val="16"/>
                  <w:szCs w:val="16"/>
                  <w:color w:val="0000EE"/>
                </w:rPr>
                <w:t>(m) Binding Effect of Plan</w:t>
              </w:r>
            </w:hyperlink>
          </w:p>
        </w:tc>
        <w:tc>
          <w:tcPr>
            <w:tcW w:w="940" w:type="dxa"/>
            <w:vAlign w:val="bottom"/>
          </w:tcPr>
          <w:p>
            <w:pPr>
              <w:jc w:val="right"/>
              <w:spacing w:after="0" w:line="169" w:lineRule="exact"/>
              <w:rPr>
                <w:sz w:val="20"/>
                <w:szCs w:val="20"/>
                <w:color w:val="auto"/>
              </w:rPr>
            </w:pPr>
            <w:r>
              <w:rPr>
                <w:rFonts w:ascii="Arial" w:cs="Arial" w:eastAsia="Arial" w:hAnsi="Arial"/>
                <w:sz w:val="16"/>
                <w:szCs w:val="16"/>
                <w:color w:val="auto"/>
              </w:rPr>
              <w:t>A-14</w:t>
            </w: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1840" w:type="dxa"/>
            <w:vAlign w:val="bottom"/>
            <w:tcBorders>
              <w:top w:val="single" w:sz="8" w:color="0000EE"/>
            </w:tcBorders>
            <w:gridSpan w:val="8"/>
          </w:tcPr>
          <w:p>
            <w:pPr>
              <w:spacing w:after="0" w:line="169" w:lineRule="exact"/>
              <w:rPr>
                <w:rFonts w:ascii="Arial" w:cs="Arial" w:eastAsia="Arial" w:hAnsi="Arial"/>
                <w:sz w:val="16"/>
                <w:szCs w:val="16"/>
                <w:color w:val="0000EE"/>
              </w:rPr>
            </w:pPr>
            <w:hyperlink w:anchor="page131">
              <w:r>
                <w:rPr>
                  <w:rFonts w:ascii="Arial" w:cs="Arial" w:eastAsia="Arial" w:hAnsi="Arial"/>
                  <w:sz w:val="16"/>
                  <w:szCs w:val="16"/>
                  <w:color w:val="0000EE"/>
                </w:rPr>
                <w:t>(n) No Waiver of Breach</w:t>
              </w:r>
            </w:hyperlink>
          </w:p>
        </w:tc>
        <w:tc>
          <w:tcPr>
            <w:tcW w:w="160" w:type="dxa"/>
            <w:vAlign w:val="bottom"/>
            <w:gridSpan w:val="2"/>
          </w:tcPr>
          <w:p>
            <w:pPr>
              <w:spacing w:after="0"/>
              <w:rPr>
                <w:sz w:val="14"/>
                <w:szCs w:val="14"/>
                <w:color w:val="auto"/>
              </w:rPr>
            </w:pPr>
          </w:p>
        </w:tc>
        <w:tc>
          <w:tcPr>
            <w:tcW w:w="194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6"/>
                <w:szCs w:val="16"/>
                <w:color w:val="auto"/>
              </w:rPr>
              <w:t>A-14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A-14</w:t>
            </w:r>
          </w:p>
        </w:tc>
        <w:tc>
          <w:tcPr>
            <w:tcW w:w="0" w:type="dxa"/>
            <w:vAlign w:val="bottom"/>
          </w:tcPr>
          <w:p>
            <w:pPr>
              <w:spacing w:after="0" w:line="20" w:lineRule="exact"/>
              <w:rPr>
                <w:sz w:val="1"/>
                <w:szCs w:val="1"/>
                <w:color w:val="auto"/>
              </w:rPr>
            </w:pPr>
          </w:p>
        </w:tc>
      </w:tr>
      <w:tr>
        <w:trPr>
          <w:trHeight w:val="169"/>
        </w:trPr>
        <w:tc>
          <w:tcPr>
            <w:tcW w:w="200" w:type="dxa"/>
            <w:vAlign w:val="bottom"/>
          </w:tcPr>
          <w:p>
            <w:pPr>
              <w:spacing w:after="0"/>
              <w:rPr>
                <w:sz w:val="14"/>
                <w:szCs w:val="14"/>
                <w:color w:val="auto"/>
              </w:rPr>
            </w:pPr>
          </w:p>
        </w:tc>
        <w:tc>
          <w:tcPr>
            <w:tcW w:w="4200" w:type="dxa"/>
            <w:vAlign w:val="bottom"/>
            <w:gridSpan w:val="13"/>
          </w:tcPr>
          <w:p>
            <w:pPr>
              <w:spacing w:after="0" w:line="169" w:lineRule="exact"/>
              <w:rPr>
                <w:rFonts w:ascii="Arial" w:cs="Arial" w:eastAsia="Arial" w:hAnsi="Arial"/>
                <w:sz w:val="16"/>
                <w:szCs w:val="16"/>
                <w:color w:val="0000EE"/>
              </w:rPr>
            </w:pPr>
            <w:hyperlink w:anchor="page131">
              <w:r>
                <w:rPr>
                  <w:rFonts w:ascii="Arial" w:cs="Arial" w:eastAsia="Arial" w:hAnsi="Arial"/>
                  <w:sz w:val="16"/>
                  <w:szCs w:val="16"/>
                  <w:color w:val="0000EE"/>
                </w:rPr>
                <w:t>(o) No Right to Employment</w:t>
              </w:r>
            </w:hyperlink>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2000" w:type="dxa"/>
            <w:vAlign w:val="bottom"/>
            <w:tcBorders>
              <w:top w:val="single" w:sz="8" w:color="0000EE"/>
            </w:tcBorders>
            <w:gridSpan w:val="10"/>
          </w:tcPr>
          <w:p>
            <w:pPr>
              <w:spacing w:after="0" w:line="169" w:lineRule="exact"/>
              <w:rPr>
                <w:rFonts w:ascii="Arial" w:cs="Arial" w:eastAsia="Arial" w:hAnsi="Arial"/>
                <w:sz w:val="16"/>
                <w:szCs w:val="16"/>
                <w:color w:val="0000EE"/>
              </w:rPr>
            </w:pPr>
            <w:hyperlink w:anchor="page131">
              <w:r>
                <w:rPr>
                  <w:rFonts w:ascii="Arial" w:cs="Arial" w:eastAsia="Arial" w:hAnsi="Arial"/>
                  <w:sz w:val="16"/>
                  <w:szCs w:val="16"/>
                  <w:color w:val="0000EE"/>
                </w:rPr>
                <w:t>(p) Choice of Law</w:t>
              </w:r>
            </w:hyperlink>
          </w:p>
        </w:tc>
        <w:tc>
          <w:tcPr>
            <w:tcW w:w="194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6"/>
                <w:szCs w:val="16"/>
                <w:color w:val="auto"/>
              </w:rPr>
              <w:t>A-14</w:t>
            </w: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110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rPr>
            </w:pPr>
            <w:hyperlink w:anchor="page131">
              <w:r>
                <w:rPr>
                  <w:rFonts w:ascii="Arial" w:cs="Arial" w:eastAsia="Arial" w:hAnsi="Arial"/>
                  <w:sz w:val="16"/>
                  <w:szCs w:val="16"/>
                  <w:color w:val="0000EE"/>
                </w:rPr>
                <w:t>(q) Severability</w:t>
              </w:r>
            </w:hyperlink>
          </w:p>
        </w:tc>
        <w:tc>
          <w:tcPr>
            <w:tcW w:w="180" w:type="dxa"/>
            <w:vAlign w:val="bottom"/>
            <w:tcBorders>
              <w:top w:val="single" w:sz="8" w:color="0000EE"/>
            </w:tcBorders>
          </w:tcPr>
          <w:p>
            <w:pPr>
              <w:spacing w:after="0"/>
              <w:rPr>
                <w:sz w:val="14"/>
                <w:szCs w:val="14"/>
                <w:color w:val="auto"/>
              </w:rPr>
            </w:pPr>
          </w:p>
        </w:tc>
        <w:tc>
          <w:tcPr>
            <w:tcW w:w="2660" w:type="dxa"/>
            <w:vAlign w:val="bottom"/>
            <w:gridSpan w:val="10"/>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6"/>
                <w:szCs w:val="16"/>
                <w:color w:val="auto"/>
              </w:rPr>
              <w:t>A-14</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0000EE"/>
            </w:tcBorders>
            <w:gridSpan w:val="13"/>
          </w:tcPr>
          <w:p>
            <w:pPr>
              <w:spacing w:after="0"/>
              <w:rPr>
                <w:rFonts w:ascii="Arial" w:cs="Arial" w:eastAsia="Arial" w:hAnsi="Arial"/>
                <w:sz w:val="18"/>
                <w:szCs w:val="18"/>
                <w:b w:val="1"/>
                <w:bCs w:val="1"/>
                <w:color w:val="0000EE"/>
                <w:w w:val="99"/>
              </w:rPr>
            </w:pPr>
            <w:hyperlink w:anchor="page131">
              <w:r>
                <w:rPr>
                  <w:rFonts w:ascii="Arial" w:cs="Arial" w:eastAsia="Arial" w:hAnsi="Arial"/>
                  <w:sz w:val="18"/>
                  <w:szCs w:val="18"/>
                  <w:b w:val="1"/>
                  <w:bCs w:val="1"/>
                  <w:color w:val="0000EE"/>
                  <w:w w:val="99"/>
                </w:rPr>
                <w:t>SECTION XVII. APPROVAL OF STOCKHOLDERS</w:t>
              </w:r>
            </w:hyperlink>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0B2D71"/>
              </w:rPr>
              <w:t>A-14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-2176780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ectPr>
          <w:pgSz w:w="11900" w:h="16838" w:orient="portrait"/>
          <w:cols w:equalWidth="0" w:num="2">
            <w:col w:w="5340" w:space="400"/>
            <w:col w:w="5340"/>
          </w:cols>
          <w:pgMar w:left="320" w:top="455" w:right="49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31"/>
          <w:szCs w:val="31"/>
          <w:b w:val="1"/>
          <w:bCs w:val="1"/>
          <w:color w:val="0B2D71"/>
        </w:rPr>
        <w:t>2022 LONG-TERM INCENTIVE PLAN OF CHEVRON CORPORATION</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0B2D71"/>
        </w:rPr>
        <w:t>(Effective May 25, 2022)</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 xml:space="preserve">SECTION I. </w:t>
      </w:r>
      <w:r>
        <w:rPr>
          <w:rFonts w:ascii="Arial" w:cs="Arial" w:eastAsia="Arial" w:hAnsi="Arial"/>
          <w:sz w:val="22"/>
          <w:szCs w:val="22"/>
          <w:b w:val="1"/>
          <w:bCs w:val="1"/>
          <w:u w:val="single" w:color="auto"/>
          <w:color w:val="0B2D71"/>
        </w:rPr>
        <w:t>PURPOSE OF THE PLAN</w:t>
      </w:r>
      <w:r>
        <w:rPr>
          <w:rFonts w:ascii="Arial" w:cs="Arial" w:eastAsia="Arial" w:hAnsi="Arial"/>
          <w:sz w:val="22"/>
          <w:szCs w:val="22"/>
          <w:b w:val="1"/>
          <w:bCs w:val="1"/>
          <w:color w:val="0B2D71"/>
        </w:rPr>
        <w:t>.</w:t>
      </w:r>
    </w:p>
    <w:p>
      <w:pPr>
        <w:spacing w:after="0" w:line="112"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auto"/>
        </w:rPr>
        <w:t>The purpose of the 2022 Long-Term Incentive Plan of Chevron Corporation (“Plan”) is to promote and advance the interests of Chevron Corporation and its stockholders by strengthening the ability of the Corporation to attract, motivate and retain managerial and other employees, and to strengthen the mutuality of interests between such employees and the Corporation’s stockholders. The Plan will be effective upon approval by the stockholders of the Corporation at the 2022 annual meeting of stockholders. Upon its approval by stockholders of the Corporation, the Plan will replace the existing Long-Term Incentive Plan of Chevron Corporation with respect to future awards.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 xml:space="preserve">SECTION II. </w:t>
      </w:r>
      <w:r>
        <w:rPr>
          <w:rFonts w:ascii="Arial" w:cs="Arial" w:eastAsia="Arial" w:hAnsi="Arial"/>
          <w:sz w:val="22"/>
          <w:szCs w:val="22"/>
          <w:b w:val="1"/>
          <w:bCs w:val="1"/>
          <w:u w:val="single" w:color="auto"/>
          <w:color w:val="0B2D71"/>
        </w:rPr>
        <w:t>DEFINITIONS</w:t>
      </w:r>
      <w:r>
        <w:rPr>
          <w:rFonts w:ascii="Arial" w:cs="Arial" w:eastAsia="Arial" w:hAnsi="Arial"/>
          <w:sz w:val="22"/>
          <w:szCs w:val="22"/>
          <w:b w:val="1"/>
          <w:bCs w:val="1"/>
          <w:color w:val="0B2D71"/>
        </w:rPr>
        <w:t>.</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purposes of the Plan, the following terms shall have the meanings set forth below:</w:t>
      </w:r>
    </w:p>
    <w:p>
      <w:pPr>
        <w:spacing w:after="0" w:line="127" w:lineRule="exact"/>
        <w:rPr>
          <w:sz w:val="20"/>
          <w:szCs w:val="20"/>
          <w:color w:val="auto"/>
        </w:rPr>
      </w:pPr>
    </w:p>
    <w:p>
      <w:pPr>
        <w:ind w:left="880" w:right="340" w:hanging="764"/>
        <w:spacing w:after="0" w:line="286" w:lineRule="auto"/>
        <w:tabs>
          <w:tab w:leader="none" w:pos="8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means a grant under the Plan of Stock Options, Stock Appreciation Rights, Restricted Stock, Restricted Stock Units, Other Share-Based Awards, or Non-Stock Awards.</w:t>
      </w:r>
    </w:p>
    <w:p>
      <w:pPr>
        <w:spacing w:after="0" w:line="61" w:lineRule="exact"/>
        <w:rPr>
          <w:rFonts w:ascii="Arial" w:cs="Arial" w:eastAsia="Arial" w:hAnsi="Arial"/>
          <w:sz w:val="16"/>
          <w:szCs w:val="16"/>
          <w:color w:val="auto"/>
        </w:rPr>
      </w:pPr>
    </w:p>
    <w:p>
      <w:pPr>
        <w:ind w:left="880" w:right="120" w:hanging="764"/>
        <w:spacing w:after="0" w:line="286" w:lineRule="auto"/>
        <w:tabs>
          <w:tab w:leader="none" w:pos="8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 Protection Period</w:t>
      </w:r>
      <w:r>
        <w:rPr>
          <w:rFonts w:ascii="Arial" w:cs="Arial" w:eastAsia="Arial" w:hAnsi="Arial"/>
          <w:sz w:val="16"/>
          <w:szCs w:val="16"/>
          <w:color w:val="auto"/>
        </w:rPr>
        <w:t>” means the period commencing on the date six months prior to the public announcement of a proposed transaction which, when effected, is a Change in Control and ending on the date which is two years after the date of a Change in Control.</w:t>
      </w:r>
    </w:p>
    <w:p>
      <w:pPr>
        <w:spacing w:after="0" w:line="61" w:lineRule="exact"/>
        <w:rPr>
          <w:rFonts w:ascii="Arial" w:cs="Arial" w:eastAsia="Arial" w:hAnsi="Arial"/>
          <w:sz w:val="16"/>
          <w:szCs w:val="16"/>
          <w:color w:val="auto"/>
        </w:rPr>
      </w:pPr>
    </w:p>
    <w:p>
      <w:pPr>
        <w:ind w:left="880" w:hanging="764"/>
        <w:spacing w:after="0"/>
        <w:tabs>
          <w:tab w:leader="none" w:pos="8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Corporation.</w:t>
      </w:r>
    </w:p>
    <w:p>
      <w:pPr>
        <w:spacing w:after="0" w:line="126" w:lineRule="exact"/>
        <w:rPr>
          <w:rFonts w:ascii="Arial" w:cs="Arial" w:eastAsia="Arial" w:hAnsi="Arial"/>
          <w:sz w:val="16"/>
          <w:szCs w:val="16"/>
          <w:color w:val="auto"/>
        </w:rPr>
      </w:pPr>
    </w:p>
    <w:p>
      <w:pPr>
        <w:ind w:left="880" w:right="100" w:hanging="764"/>
        <w:spacing w:after="0" w:line="286" w:lineRule="auto"/>
        <w:tabs>
          <w:tab w:leader="none" w:pos="8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in Competition</w:t>
      </w:r>
      <w:r>
        <w:rPr>
          <w:rFonts w:ascii="Arial" w:cs="Arial" w:eastAsia="Arial" w:hAnsi="Arial"/>
          <w:sz w:val="16"/>
          <w:szCs w:val="16"/>
          <w:color w:val="auto"/>
        </w:rPr>
        <w:t>” means any person, organization or enterprise which is engaged in or is about to be engaged in any line of business engaged in by the Corporation at such time.</w:t>
      </w:r>
    </w:p>
    <w:p>
      <w:pPr>
        <w:spacing w:after="0" w:line="61" w:lineRule="exact"/>
        <w:rPr>
          <w:rFonts w:ascii="Arial" w:cs="Arial" w:eastAsia="Arial" w:hAnsi="Arial"/>
          <w:sz w:val="16"/>
          <w:szCs w:val="16"/>
          <w:color w:val="auto"/>
        </w:rPr>
      </w:pPr>
    </w:p>
    <w:p>
      <w:pPr>
        <w:ind w:left="880" w:right="200" w:hanging="764"/>
        <w:spacing w:after="0" w:line="286" w:lineRule="auto"/>
        <w:tabs>
          <w:tab w:leader="none" w:pos="8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a “change in control” of the Corporation as defined in Article VI. of the bylaws of the Corporation, as such bylaws may be amended from time to time.</w:t>
      </w:r>
    </w:p>
    <w:p>
      <w:pPr>
        <w:spacing w:after="0" w:line="61" w:lineRule="exact"/>
        <w:rPr>
          <w:rFonts w:ascii="Arial" w:cs="Arial" w:eastAsia="Arial" w:hAnsi="Arial"/>
          <w:sz w:val="16"/>
          <w:szCs w:val="16"/>
          <w:color w:val="auto"/>
        </w:rPr>
      </w:pPr>
    </w:p>
    <w:p>
      <w:pPr>
        <w:ind w:left="880" w:hanging="764"/>
        <w:spacing w:after="0"/>
        <w:tabs>
          <w:tab w:leader="none" w:pos="8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w:t>
      </w:r>
    </w:p>
    <w:p>
      <w:pPr>
        <w:spacing w:after="0" w:line="126" w:lineRule="exact"/>
        <w:rPr>
          <w:rFonts w:ascii="Arial" w:cs="Arial" w:eastAsia="Arial" w:hAnsi="Arial"/>
          <w:sz w:val="16"/>
          <w:szCs w:val="16"/>
          <w:color w:val="auto"/>
        </w:rPr>
      </w:pPr>
    </w:p>
    <w:p>
      <w:pPr>
        <w:ind w:left="880" w:hanging="764"/>
        <w:spacing w:after="0"/>
        <w:tabs>
          <w:tab w:leader="none" w:pos="8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means the U.S. Securities and Exchange Commission.</w:t>
      </w:r>
    </w:p>
    <w:p>
      <w:pPr>
        <w:spacing w:after="0" w:line="126" w:lineRule="exact"/>
        <w:rPr>
          <w:rFonts w:ascii="Arial" w:cs="Arial" w:eastAsia="Arial" w:hAnsi="Arial"/>
          <w:sz w:val="16"/>
          <w:szCs w:val="16"/>
          <w:color w:val="auto"/>
        </w:rPr>
      </w:pPr>
    </w:p>
    <w:p>
      <w:pPr>
        <w:ind w:left="880" w:right="440" w:hanging="764"/>
        <w:spacing w:after="0" w:line="286" w:lineRule="auto"/>
        <w:tabs>
          <w:tab w:leader="none" w:pos="8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the committee of the Board that it appoints to administer the Plan. In the absence of specific action by the Board, the Board shall be deemed to have appointed the Board’s Management Compensation Committee.</w:t>
      </w:r>
    </w:p>
    <w:p>
      <w:pPr>
        <w:spacing w:after="0" w:line="61" w:lineRule="exact"/>
        <w:rPr>
          <w:rFonts w:ascii="Arial" w:cs="Arial" w:eastAsia="Arial" w:hAnsi="Arial"/>
          <w:sz w:val="16"/>
          <w:szCs w:val="16"/>
          <w:color w:val="auto"/>
        </w:rPr>
      </w:pPr>
    </w:p>
    <w:p>
      <w:pPr>
        <w:ind w:left="880" w:right="180" w:hanging="764"/>
        <w:spacing w:after="0" w:line="286" w:lineRule="auto"/>
        <w:tabs>
          <w:tab w:leader="none" w:pos="8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$0.75 par value common stock of the Corporation or any security of the Corporation identified by the Committee as having been issued in substitution, exchange or lieu thereof.</w:t>
      </w:r>
    </w:p>
    <w:p>
      <w:pPr>
        <w:spacing w:after="0" w:line="61" w:lineRule="exact"/>
        <w:rPr>
          <w:rFonts w:ascii="Arial" w:cs="Arial" w:eastAsia="Arial" w:hAnsi="Arial"/>
          <w:sz w:val="16"/>
          <w:szCs w:val="16"/>
          <w:color w:val="auto"/>
        </w:rPr>
      </w:pPr>
    </w:p>
    <w:p>
      <w:pPr>
        <w:ind w:left="880" w:right="880" w:hanging="764"/>
        <w:spacing w:after="0" w:line="286" w:lineRule="auto"/>
        <w:tabs>
          <w:tab w:leader="none" w:pos="8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Corporation</w:t>
      </w:r>
      <w:r>
        <w:rPr>
          <w:rFonts w:ascii="Arial" w:cs="Arial" w:eastAsia="Arial" w:hAnsi="Arial"/>
          <w:sz w:val="16"/>
          <w:szCs w:val="16"/>
          <w:color w:val="auto"/>
        </w:rPr>
        <w:t>” means Chevron Corporation, a Delaware corporation, or any Successors or Assigns. Where the context shall permit, “Corporation” shall include the Subsidiaries of Chevron Corporation.</w:t>
      </w:r>
    </w:p>
    <w:p>
      <w:pPr>
        <w:spacing w:after="0" w:line="61" w:lineRule="exact"/>
        <w:rPr>
          <w:rFonts w:ascii="Arial" w:cs="Arial" w:eastAsia="Arial" w:hAnsi="Arial"/>
          <w:sz w:val="16"/>
          <w:szCs w:val="16"/>
          <w:color w:val="auto"/>
        </w:rPr>
      </w:pPr>
    </w:p>
    <w:p>
      <w:pPr>
        <w:ind w:left="880" w:hanging="764"/>
        <w:spacing w:after="0"/>
        <w:tabs>
          <w:tab w:leader="none" w:pos="8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Corporation Confidential Information</w:t>
      </w:r>
      <w:r>
        <w:rPr>
          <w:rFonts w:ascii="Arial" w:cs="Arial" w:eastAsia="Arial" w:hAnsi="Arial"/>
          <w:sz w:val="16"/>
          <w:szCs w:val="16"/>
          <w:color w:val="auto"/>
        </w:rPr>
        <w:t>” includes:</w:t>
      </w:r>
    </w:p>
    <w:p>
      <w:pPr>
        <w:spacing w:after="0" w:line="126" w:lineRule="exact"/>
        <w:rPr>
          <w:rFonts w:ascii="Arial" w:cs="Arial" w:eastAsia="Arial" w:hAnsi="Arial"/>
          <w:sz w:val="16"/>
          <w:szCs w:val="16"/>
          <w:color w:val="auto"/>
        </w:rPr>
      </w:pPr>
    </w:p>
    <w:p>
      <w:pPr>
        <w:ind w:left="1420" w:hanging="535"/>
        <w:spacing w:after="0"/>
        <w:tabs>
          <w:tab w:leader="none" w:pos="142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Information embodied in inventions, discoveries and improvements, whether patentable or unpatentable, including trade secrets;</w:t>
      </w:r>
    </w:p>
    <w:p>
      <w:pPr>
        <w:spacing w:after="0" w:line="126" w:lineRule="exact"/>
        <w:rPr>
          <w:rFonts w:ascii="Arial" w:cs="Arial" w:eastAsia="Arial" w:hAnsi="Arial"/>
          <w:sz w:val="16"/>
          <w:szCs w:val="16"/>
          <w:color w:val="auto"/>
        </w:rPr>
      </w:pPr>
    </w:p>
    <w:p>
      <w:pPr>
        <w:ind w:left="1420" w:hanging="535"/>
        <w:spacing w:after="0" w:line="259" w:lineRule="auto"/>
        <w:tabs>
          <w:tab w:leader="none" w:pos="142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Geological and geophysical data and analyses thereof, well information, discoveries, development initiatives, reserves, offshore bidding strategies, potential value of unleased offshore acreage, exploration and other business strategies and investment plans, business methods, current and planned technology, processes and practices relating to the existence of, exploration for, or the development of oil, gas, or other potentially valuable raw material, product, mineral or natural resource of any kind;</w:t>
      </w:r>
    </w:p>
    <w:p>
      <w:pPr>
        <w:spacing w:after="0" w:line="83" w:lineRule="exact"/>
        <w:rPr>
          <w:rFonts w:ascii="Arial" w:cs="Arial" w:eastAsia="Arial" w:hAnsi="Arial"/>
          <w:sz w:val="16"/>
          <w:szCs w:val="16"/>
          <w:color w:val="auto"/>
        </w:rPr>
      </w:pPr>
    </w:p>
    <w:p>
      <w:pPr>
        <w:ind w:left="1420" w:hanging="535"/>
        <w:spacing w:after="0"/>
        <w:tabs>
          <w:tab w:leader="none" w:pos="142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Confidential personnel or Human Resources data;</w:t>
      </w:r>
    </w:p>
    <w:p>
      <w:pPr>
        <w:spacing w:after="0" w:line="126" w:lineRule="exact"/>
        <w:rPr>
          <w:rFonts w:ascii="Arial" w:cs="Arial" w:eastAsia="Arial" w:hAnsi="Arial"/>
          <w:sz w:val="16"/>
          <w:szCs w:val="16"/>
          <w:color w:val="auto"/>
        </w:rPr>
      </w:pPr>
    </w:p>
    <w:p>
      <w:pPr>
        <w:ind w:left="1420" w:hanging="535"/>
        <w:spacing w:after="0"/>
        <w:tabs>
          <w:tab w:leader="none" w:pos="142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Customer lists, pricing, supplier lists, and Corporation processes;</w:t>
      </w:r>
    </w:p>
    <w:p>
      <w:pPr>
        <w:spacing w:after="0" w:line="126" w:lineRule="exact"/>
        <w:rPr>
          <w:rFonts w:ascii="Arial" w:cs="Arial" w:eastAsia="Arial" w:hAnsi="Arial"/>
          <w:sz w:val="16"/>
          <w:szCs w:val="16"/>
          <w:color w:val="auto"/>
        </w:rPr>
      </w:pPr>
    </w:p>
    <w:p>
      <w:pPr>
        <w:ind w:left="1420" w:hanging="535"/>
        <w:spacing w:after="0"/>
        <w:tabs>
          <w:tab w:leader="none" w:pos="142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Any other information having present or potential commercial value; and</w:t>
      </w:r>
    </w:p>
    <w:p>
      <w:pPr>
        <w:spacing w:after="0" w:line="126" w:lineRule="exact"/>
        <w:rPr>
          <w:rFonts w:ascii="Arial" w:cs="Arial" w:eastAsia="Arial" w:hAnsi="Arial"/>
          <w:sz w:val="16"/>
          <w:szCs w:val="16"/>
          <w:color w:val="auto"/>
        </w:rPr>
      </w:pPr>
    </w:p>
    <w:p>
      <w:pPr>
        <w:ind w:left="1420" w:right="80" w:hanging="535"/>
        <w:spacing w:after="0" w:line="259" w:lineRule="auto"/>
        <w:tabs>
          <w:tab w:leader="none" w:pos="142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Confidential information of any kind in possession of the Corporation, whether developed for or by the Corporation (including information developed by the Participant), received from a third party in confidence, or belonging to others and licensed or disclosed to the Corporation in confidence for use in any aspect of its business and without regard to whether it is designated or marked as such through use of such words as “classified,” “confidential” or “restricted;</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A-1</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5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shd w:val="clear" w:color="auto" w:fill="0B2D71"/>
        </w:rPr>
        <w:t>2022 Long-term Incentive Plan of Chevron Corporation</w:t>
      </w:r>
    </w:p>
    <w:p>
      <w:pPr>
        <w:spacing w:after="0" w:line="172"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Provided, however, that Corporation Confidential Information shall not include any information that is or becomes generally known to the public through no wrongful act or omission of the Participant. However, information shall not fail to be Corporation Confidential Information solely because it is embraced by more general information available on a non-confidential basis.</w:t>
      </w:r>
    </w:p>
    <w:p>
      <w:pPr>
        <w:spacing w:after="0" w:line="77" w:lineRule="exact"/>
        <w:rPr>
          <w:sz w:val="20"/>
          <w:szCs w:val="20"/>
          <w:color w:val="auto"/>
        </w:rPr>
      </w:pPr>
    </w:p>
    <w:p>
      <w:pPr>
        <w:ind w:left="880" w:hanging="764"/>
        <w:spacing w:after="0"/>
        <w:tabs>
          <w:tab w:leader="none" w:pos="8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Director</w:t>
      </w:r>
      <w:r>
        <w:rPr>
          <w:rFonts w:ascii="Arial" w:cs="Arial" w:eastAsia="Arial" w:hAnsi="Arial"/>
          <w:sz w:val="16"/>
          <w:szCs w:val="16"/>
          <w:color w:val="auto"/>
        </w:rPr>
        <w:t>” means a member of the Board.</w:t>
      </w:r>
    </w:p>
    <w:p>
      <w:pPr>
        <w:spacing w:after="0" w:line="126" w:lineRule="exact"/>
        <w:rPr>
          <w:rFonts w:ascii="Arial" w:cs="Arial" w:eastAsia="Arial" w:hAnsi="Arial"/>
          <w:sz w:val="16"/>
          <w:szCs w:val="16"/>
          <w:color w:val="auto"/>
        </w:rPr>
      </w:pPr>
    </w:p>
    <w:p>
      <w:pPr>
        <w:ind w:left="880" w:right="280" w:hanging="764"/>
        <w:spacing w:after="0" w:line="286" w:lineRule="auto"/>
        <w:tabs>
          <w:tab w:leader="none" w:pos="8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Dividend Equivalent</w:t>
      </w:r>
      <w:r>
        <w:rPr>
          <w:rFonts w:ascii="Arial" w:cs="Arial" w:eastAsia="Arial" w:hAnsi="Arial"/>
          <w:sz w:val="16"/>
          <w:szCs w:val="16"/>
          <w:color w:val="auto"/>
        </w:rPr>
        <w:t>” means an amount equal to the dividends that would have been payable with respect to the Shares of Common Stock underlying such Award. Dividend Equivalents, if any, will be paid only when and if the underlying Award vests.</w:t>
      </w:r>
    </w:p>
    <w:p>
      <w:pPr>
        <w:spacing w:after="0" w:line="61" w:lineRule="exact"/>
        <w:rPr>
          <w:rFonts w:ascii="Arial" w:cs="Arial" w:eastAsia="Arial" w:hAnsi="Arial"/>
          <w:sz w:val="16"/>
          <w:szCs w:val="16"/>
          <w:color w:val="auto"/>
        </w:rPr>
      </w:pPr>
    </w:p>
    <w:p>
      <w:pPr>
        <w:ind w:left="880" w:right="100" w:hanging="764"/>
        <w:spacing w:after="0" w:line="266" w:lineRule="auto"/>
        <w:tabs>
          <w:tab w:leader="none" w:pos="8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Document</w:t>
      </w:r>
      <w:r>
        <w:rPr>
          <w:rFonts w:ascii="Arial" w:cs="Arial" w:eastAsia="Arial" w:hAnsi="Arial"/>
          <w:sz w:val="16"/>
          <w:szCs w:val="16"/>
          <w:color w:val="auto"/>
        </w:rPr>
        <w:t>” means any devices, records, data, notes, reports, abstracts, proposals, lists, correspondence (including e-mails), specifications, drawings, blueprints, sketches, materials, equipment, reproductions of any kind made from or about such documents or information contained therein, recordings, or similar items.</w:t>
      </w:r>
    </w:p>
    <w:p>
      <w:pPr>
        <w:spacing w:after="0" w:line="76" w:lineRule="exact"/>
        <w:rPr>
          <w:rFonts w:ascii="Arial" w:cs="Arial" w:eastAsia="Arial" w:hAnsi="Arial"/>
          <w:sz w:val="16"/>
          <w:szCs w:val="16"/>
          <w:color w:val="auto"/>
        </w:rPr>
      </w:pPr>
    </w:p>
    <w:p>
      <w:pPr>
        <w:ind w:left="880" w:hanging="764"/>
        <w:spacing w:after="0"/>
        <w:tabs>
          <w:tab w:leader="none" w:pos="8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Employee</w:t>
      </w:r>
      <w:r>
        <w:rPr>
          <w:rFonts w:ascii="Arial" w:cs="Arial" w:eastAsia="Arial" w:hAnsi="Arial"/>
          <w:sz w:val="16"/>
          <w:szCs w:val="16"/>
          <w:color w:val="auto"/>
        </w:rPr>
        <w:t>” means any individual who is an employee on the Payroll of the Corporation.</w:t>
      </w:r>
    </w:p>
    <w:p>
      <w:pPr>
        <w:spacing w:after="0" w:line="126" w:lineRule="exact"/>
        <w:rPr>
          <w:rFonts w:ascii="Arial" w:cs="Arial" w:eastAsia="Arial" w:hAnsi="Arial"/>
          <w:sz w:val="16"/>
          <w:szCs w:val="16"/>
          <w:color w:val="auto"/>
        </w:rPr>
      </w:pPr>
    </w:p>
    <w:p>
      <w:pPr>
        <w:ind w:left="880" w:hanging="764"/>
        <w:spacing w:after="0"/>
        <w:tabs>
          <w:tab w:leader="none" w:pos="8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from time to time, or any successor statute.</w:t>
      </w:r>
    </w:p>
    <w:p>
      <w:pPr>
        <w:spacing w:after="0" w:line="126" w:lineRule="exact"/>
        <w:rPr>
          <w:rFonts w:ascii="Arial" w:cs="Arial" w:eastAsia="Arial" w:hAnsi="Arial"/>
          <w:sz w:val="16"/>
          <w:szCs w:val="16"/>
          <w:color w:val="auto"/>
        </w:rPr>
      </w:pPr>
    </w:p>
    <w:p>
      <w:pPr>
        <w:ind w:left="880" w:right="120" w:hanging="764"/>
        <w:spacing w:after="0" w:line="253" w:lineRule="auto"/>
        <w:tabs>
          <w:tab w:leader="none" w:pos="8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Program</w:t>
      </w:r>
      <w:r>
        <w:rPr>
          <w:rFonts w:ascii="Arial" w:cs="Arial" w:eastAsia="Arial" w:hAnsi="Arial"/>
          <w:sz w:val="16"/>
          <w:szCs w:val="16"/>
          <w:color w:val="auto"/>
        </w:rPr>
        <w:t>” means a program established by the Committee (i) providing for the repurchase of outstanding and unexercised Stock Options or Stock Appreciation Rights by the Corporation whether in the form of a cash payment or otherwise or (ii) under which outstanding Awards are amended to provide for a lower exercise price or surrendered or cancelled in exchange for (a) Awards with a lower exercise price,</w:t>
      </w:r>
    </w:p>
    <w:p>
      <w:pPr>
        <w:spacing w:after="0" w:line="1" w:lineRule="exact"/>
        <w:rPr>
          <w:rFonts w:ascii="Arial" w:cs="Arial" w:eastAsia="Arial" w:hAnsi="Arial"/>
          <w:sz w:val="16"/>
          <w:szCs w:val="16"/>
          <w:color w:val="auto"/>
        </w:rPr>
      </w:pPr>
    </w:p>
    <w:p>
      <w:pPr>
        <w:ind w:left="880"/>
        <w:spacing w:after="0" w:line="251" w:lineRule="auto"/>
        <w:rPr>
          <w:rFonts w:ascii="Arial" w:cs="Arial" w:eastAsia="Arial" w:hAnsi="Arial"/>
          <w:sz w:val="16"/>
          <w:szCs w:val="16"/>
          <w:color w:val="auto"/>
        </w:rPr>
      </w:pPr>
      <w:r>
        <w:rPr>
          <w:rFonts w:ascii="Arial" w:cs="Arial" w:eastAsia="Arial" w:hAnsi="Arial"/>
          <w:sz w:val="16"/>
          <w:szCs w:val="16"/>
          <w:color w:val="auto"/>
        </w:rPr>
        <w:t>(b) a different type of Award or awards under a different equity incentive plan, (c) cash, or (d) a combination of (a), (b) and/or (c). Notwithstanding the preceding, the term Exchange Program does not include any action described in Section XII.(a) or any action taken in connection with a Change in Control. For the purpose of clarity, each of the actions described in the prior sentence, none of which constitute an Exchange Program, may be undertaken (or authorized) by the Committee in its sole discretion without the approval of the Corporation’s stockholders.</w:t>
      </w:r>
    </w:p>
    <w:p>
      <w:pPr>
        <w:spacing w:after="0" w:line="88" w:lineRule="exact"/>
        <w:rPr>
          <w:rFonts w:ascii="Arial" w:cs="Arial" w:eastAsia="Arial" w:hAnsi="Arial"/>
          <w:sz w:val="16"/>
          <w:szCs w:val="16"/>
          <w:color w:val="auto"/>
        </w:rPr>
      </w:pPr>
    </w:p>
    <w:p>
      <w:pPr>
        <w:ind w:left="880" w:hanging="764"/>
        <w:spacing w:after="0" w:line="266" w:lineRule="auto"/>
        <w:tabs>
          <w:tab w:leader="none" w:pos="8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of a Share as of a specified date means a price that is based on the opening, closing, actual, high, low or average selling prices of Shares on the New York Stock Exchange (or other established exchange or exchanges), on the applicable date, the preceding trading day, the next succeeding trading day, or an average of trading days as determined by the Committee in its discretion.</w:t>
      </w:r>
    </w:p>
    <w:p>
      <w:pPr>
        <w:spacing w:after="0" w:line="76" w:lineRule="exact"/>
        <w:rPr>
          <w:rFonts w:ascii="Arial" w:cs="Arial" w:eastAsia="Arial" w:hAnsi="Arial"/>
          <w:sz w:val="16"/>
          <w:szCs w:val="16"/>
          <w:color w:val="auto"/>
        </w:rPr>
      </w:pPr>
    </w:p>
    <w:p>
      <w:pPr>
        <w:ind w:left="880" w:right="220" w:hanging="764"/>
        <w:spacing w:after="0" w:line="286" w:lineRule="auto"/>
        <w:tabs>
          <w:tab w:leader="none" w:pos="8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Full Value Award</w:t>
      </w:r>
      <w:r>
        <w:rPr>
          <w:rFonts w:ascii="Arial" w:cs="Arial" w:eastAsia="Arial" w:hAnsi="Arial"/>
          <w:sz w:val="16"/>
          <w:szCs w:val="16"/>
          <w:color w:val="auto"/>
        </w:rPr>
        <w:t>” means an Award other than in the form of a Stock Option, Stock Appreciation Right or Non-Stock Award, and which does not provide for full payment in cash or property for Shares underlying such Award by the Award recipient.</w:t>
      </w:r>
    </w:p>
    <w:p>
      <w:pPr>
        <w:spacing w:after="0" w:line="61" w:lineRule="exact"/>
        <w:rPr>
          <w:rFonts w:ascii="Arial" w:cs="Arial" w:eastAsia="Arial" w:hAnsi="Arial"/>
          <w:sz w:val="16"/>
          <w:szCs w:val="16"/>
          <w:color w:val="auto"/>
        </w:rPr>
      </w:pPr>
    </w:p>
    <w:p>
      <w:pPr>
        <w:ind w:left="880" w:hanging="764"/>
        <w:spacing w:after="0"/>
        <w:tabs>
          <w:tab w:leader="none" w:pos="8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Grant Eligible Employee</w:t>
      </w:r>
      <w:r>
        <w:rPr>
          <w:rFonts w:ascii="Arial" w:cs="Arial" w:eastAsia="Arial" w:hAnsi="Arial"/>
          <w:sz w:val="16"/>
          <w:szCs w:val="16"/>
          <w:color w:val="auto"/>
        </w:rPr>
        <w:t>” means an Eligible Employee that is employed (at the time of an Award or grant) by the Corporation.</w:t>
      </w:r>
    </w:p>
    <w:p>
      <w:pPr>
        <w:spacing w:after="0" w:line="126" w:lineRule="exact"/>
        <w:rPr>
          <w:rFonts w:ascii="Arial" w:cs="Arial" w:eastAsia="Arial" w:hAnsi="Arial"/>
          <w:sz w:val="16"/>
          <w:szCs w:val="16"/>
          <w:color w:val="auto"/>
        </w:rPr>
      </w:pPr>
    </w:p>
    <w:p>
      <w:pPr>
        <w:ind w:left="880" w:right="200" w:hanging="764"/>
        <w:spacing w:after="0" w:line="286" w:lineRule="auto"/>
        <w:tabs>
          <w:tab w:leader="none" w:pos="8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Director</w:t>
      </w:r>
      <w:r>
        <w:rPr>
          <w:rFonts w:ascii="Arial" w:cs="Arial" w:eastAsia="Arial" w:hAnsi="Arial"/>
          <w:sz w:val="16"/>
          <w:szCs w:val="16"/>
          <w:color w:val="auto"/>
        </w:rPr>
        <w:t>” means a member of the Board that is independent of the Corporation within the meaning of the rules of the New York Stock Exchange.</w:t>
      </w:r>
    </w:p>
    <w:p>
      <w:pPr>
        <w:spacing w:after="0" w:line="61" w:lineRule="exact"/>
        <w:rPr>
          <w:rFonts w:ascii="Arial" w:cs="Arial" w:eastAsia="Arial" w:hAnsi="Arial"/>
          <w:sz w:val="16"/>
          <w:szCs w:val="16"/>
          <w:color w:val="auto"/>
        </w:rPr>
      </w:pPr>
    </w:p>
    <w:p>
      <w:pPr>
        <w:ind w:left="880" w:hanging="764"/>
        <w:spacing w:after="0"/>
        <w:tabs>
          <w:tab w:leader="none" w:pos="8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Misconduct</w:t>
      </w:r>
      <w:r>
        <w:rPr>
          <w:rFonts w:ascii="Arial" w:cs="Arial" w:eastAsia="Arial" w:hAnsi="Arial"/>
          <w:sz w:val="16"/>
          <w:szCs w:val="16"/>
          <w:color w:val="auto"/>
        </w:rPr>
        <w:t>” of a Participant means:</w:t>
      </w:r>
    </w:p>
    <w:p>
      <w:pPr>
        <w:spacing w:after="0" w:line="127" w:lineRule="exact"/>
        <w:rPr>
          <w:sz w:val="20"/>
          <w:szCs w:val="20"/>
          <w:color w:val="auto"/>
        </w:rPr>
      </w:pPr>
    </w:p>
    <w:p>
      <w:pPr>
        <w:ind w:left="1420" w:right="260" w:hanging="535"/>
        <w:spacing w:after="0" w:line="266" w:lineRule="auto"/>
        <w:tabs>
          <w:tab w:leader="none" w:pos="142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Corporation has been required to prepare an accounting restatement due to material noncompliance, as a result of misconduct, with any financial reporting requirement under the securities laws, and the Committee has determined in its sole discretion that the Participant:</w:t>
      </w:r>
    </w:p>
    <w:p>
      <w:pPr>
        <w:spacing w:after="0" w:line="76" w:lineRule="exact"/>
        <w:rPr>
          <w:rFonts w:ascii="Arial" w:cs="Arial" w:eastAsia="Arial" w:hAnsi="Arial"/>
          <w:sz w:val="16"/>
          <w:szCs w:val="16"/>
          <w:color w:val="auto"/>
        </w:rPr>
      </w:pPr>
    </w:p>
    <w:p>
      <w:pPr>
        <w:ind w:left="1960" w:right="240" w:hanging="535"/>
        <w:spacing w:after="0" w:line="286" w:lineRule="auto"/>
        <w:tabs>
          <w:tab w:leader="none" w:pos="196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Had knowledge of the material noncompliance or circumstances giving rise to such noncompliance and willfully failed to take reasonable steps to bring it to the attention of appropriate individuals within the Corporation; or</w:t>
      </w:r>
    </w:p>
    <w:p>
      <w:pPr>
        <w:spacing w:after="0" w:line="61" w:lineRule="exact"/>
        <w:rPr>
          <w:rFonts w:ascii="Arial" w:cs="Arial" w:eastAsia="Arial" w:hAnsi="Arial"/>
          <w:sz w:val="16"/>
          <w:szCs w:val="16"/>
          <w:color w:val="auto"/>
        </w:rPr>
      </w:pPr>
    </w:p>
    <w:p>
      <w:pPr>
        <w:ind w:left="1960" w:right="40" w:hanging="535"/>
        <w:spacing w:after="0" w:line="286" w:lineRule="auto"/>
        <w:tabs>
          <w:tab w:leader="none" w:pos="196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Knowingly engaged in practices which materially contributed to the circumstances that enabled such material noncompliance to occur;</w:t>
      </w:r>
    </w:p>
    <w:p>
      <w:pPr>
        <w:spacing w:after="0" w:line="61" w:lineRule="exact"/>
        <w:rPr>
          <w:rFonts w:ascii="Arial" w:cs="Arial" w:eastAsia="Arial" w:hAnsi="Arial"/>
          <w:sz w:val="16"/>
          <w:szCs w:val="16"/>
          <w:color w:val="auto"/>
        </w:rPr>
      </w:pPr>
    </w:p>
    <w:p>
      <w:pPr>
        <w:ind w:left="1420" w:right="360" w:hanging="535"/>
        <w:spacing w:after="0" w:line="286" w:lineRule="auto"/>
        <w:tabs>
          <w:tab w:leader="none" w:pos="142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 Participant commits an act of embezzlement, fraud or theft with respect to the property of the Corporation, materially violates the Corporation’s conflict of interest policy, or breaches his or her fiduciary duty to the Corporation;</w:t>
      </w:r>
    </w:p>
    <w:p>
      <w:pPr>
        <w:spacing w:after="0" w:line="61" w:lineRule="exact"/>
        <w:rPr>
          <w:rFonts w:ascii="Arial" w:cs="Arial" w:eastAsia="Arial" w:hAnsi="Arial"/>
          <w:sz w:val="16"/>
          <w:szCs w:val="16"/>
          <w:color w:val="auto"/>
        </w:rPr>
      </w:pPr>
    </w:p>
    <w:p>
      <w:pPr>
        <w:ind w:left="1420" w:hanging="535"/>
        <w:spacing w:after="0"/>
        <w:tabs>
          <w:tab w:leader="none" w:pos="142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 Participant, while still employed by the Corporation:</w:t>
      </w:r>
    </w:p>
    <w:p>
      <w:pPr>
        <w:spacing w:after="0" w:line="126" w:lineRule="exact"/>
        <w:rPr>
          <w:rFonts w:ascii="Arial" w:cs="Arial" w:eastAsia="Arial" w:hAnsi="Arial"/>
          <w:sz w:val="16"/>
          <w:szCs w:val="16"/>
          <w:color w:val="auto"/>
        </w:rPr>
      </w:pPr>
    </w:p>
    <w:p>
      <w:pPr>
        <w:jc w:val="both"/>
        <w:ind w:left="1960" w:right="300" w:hanging="535"/>
        <w:spacing w:after="0" w:line="266" w:lineRule="auto"/>
        <w:tabs>
          <w:tab w:leader="none" w:pos="196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Willfully misappropriates or discloses to any person, firm or corporation any Corporation Confidential Information, unless the Participant is expressly authorized by the Corporation’s management to disclose such Corporation Confidential Information, pursuant to a written non-disclosure agreement that sufficiently protects it;</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A-2</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208280</wp:posOffset>
            </wp:positionV>
            <wp:extent cx="2503170" cy="1460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503170" cy="146050"/>
                    </a:xfrm>
                    <a:prstGeom prst="rect">
                      <a:avLst/>
                    </a:prstGeom>
                    <a:noFill/>
                  </pic:spPr>
                </pic:pic>
              </a:graphicData>
            </a:graphic>
          </wp:anchor>
        </w:drawing>
      </w:r>
    </w:p>
    <w:p>
      <w:pPr>
        <w:spacing w:after="0" w:line="339"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FFFFFF"/>
        </w:rPr>
        <w:t>2022 Long-term Incentive Plan of Chevron Corporation</w:t>
      </w:r>
    </w:p>
    <w:p>
      <w:pPr>
        <w:spacing w:after="0" w:line="172" w:lineRule="exact"/>
        <w:rPr>
          <w:sz w:val="20"/>
          <w:szCs w:val="20"/>
          <w:color w:val="auto"/>
        </w:rPr>
      </w:pPr>
    </w:p>
    <w:p>
      <w:pPr>
        <w:ind w:left="1960" w:right="420" w:hanging="535"/>
        <w:spacing w:after="0" w:line="286" w:lineRule="auto"/>
        <w:tabs>
          <w:tab w:leader="none" w:pos="196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Directly or indirectly engages in, commences employment with, or materially renders services, advice or assistance to any Business in Competition with the Corporation other than on behalf of the Corporation;</w:t>
      </w:r>
    </w:p>
    <w:p>
      <w:pPr>
        <w:spacing w:after="0" w:line="61" w:lineRule="exact"/>
        <w:rPr>
          <w:rFonts w:ascii="Arial" w:cs="Arial" w:eastAsia="Arial" w:hAnsi="Arial"/>
          <w:sz w:val="16"/>
          <w:szCs w:val="16"/>
          <w:color w:val="auto"/>
        </w:rPr>
      </w:pPr>
    </w:p>
    <w:p>
      <w:pPr>
        <w:ind w:left="1960" w:right="320" w:hanging="535"/>
        <w:spacing w:after="0" w:line="259" w:lineRule="auto"/>
        <w:tabs>
          <w:tab w:leader="none" w:pos="196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Induces or attempts to induce, directly or indirectly, any of the Corporation’s customers, employees, representatives or consultants to terminate, discontinue or cease working with or for the Corporation, or to breach any contract with the Corporation, in order to work with or for, or enter into a contract with, the Participant or any third party other than when such action is taken on behalf of the Corporation;</w:t>
      </w:r>
    </w:p>
    <w:p>
      <w:pPr>
        <w:spacing w:after="0" w:line="83" w:lineRule="exact"/>
        <w:rPr>
          <w:rFonts w:ascii="Arial" w:cs="Arial" w:eastAsia="Arial" w:hAnsi="Arial"/>
          <w:sz w:val="16"/>
          <w:szCs w:val="16"/>
          <w:color w:val="auto"/>
        </w:rPr>
      </w:pPr>
    </w:p>
    <w:p>
      <w:pPr>
        <w:ind w:left="1420" w:right="140" w:hanging="535"/>
        <w:spacing w:after="0" w:line="286" w:lineRule="auto"/>
        <w:tabs>
          <w:tab w:leader="none" w:pos="142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 Participant willfully fails to promptly return all Documents and other tangible items belonging to the Corporation that are in his or her possession or control upon termination of employment, whether pursuant to retirement or otherwise;</w:t>
      </w:r>
    </w:p>
    <w:p>
      <w:pPr>
        <w:spacing w:after="0" w:line="61" w:lineRule="exact"/>
        <w:rPr>
          <w:rFonts w:ascii="Arial" w:cs="Arial" w:eastAsia="Arial" w:hAnsi="Arial"/>
          <w:sz w:val="16"/>
          <w:szCs w:val="16"/>
          <w:color w:val="auto"/>
        </w:rPr>
      </w:pPr>
    </w:p>
    <w:p>
      <w:pPr>
        <w:ind w:left="1420" w:right="380" w:hanging="535"/>
        <w:spacing w:after="0" w:line="286" w:lineRule="auto"/>
        <w:tabs>
          <w:tab w:leader="none" w:pos="142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 Participant willfully commits an act which, under applicable law, constitutes the misappropriation of a Corporation trade secret or otherwise violates the law of unfair competition with respect to the Corporation; including, but not limited to, unlawfully:</w:t>
      </w:r>
    </w:p>
    <w:p>
      <w:pPr>
        <w:spacing w:after="0" w:line="61" w:lineRule="exact"/>
        <w:rPr>
          <w:rFonts w:ascii="Arial" w:cs="Arial" w:eastAsia="Arial" w:hAnsi="Arial"/>
          <w:sz w:val="16"/>
          <w:szCs w:val="16"/>
          <w:color w:val="auto"/>
        </w:rPr>
      </w:pPr>
    </w:p>
    <w:p>
      <w:pPr>
        <w:ind w:left="1960" w:hanging="535"/>
        <w:spacing w:after="0"/>
        <w:tabs>
          <w:tab w:leader="none" w:pos="196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Using or disclosing Corporation Confidential Information; or</w:t>
      </w:r>
    </w:p>
    <w:p>
      <w:pPr>
        <w:spacing w:after="0" w:line="126" w:lineRule="exact"/>
        <w:rPr>
          <w:rFonts w:ascii="Arial" w:cs="Arial" w:eastAsia="Arial" w:hAnsi="Arial"/>
          <w:sz w:val="16"/>
          <w:szCs w:val="16"/>
          <w:color w:val="auto"/>
        </w:rPr>
      </w:pPr>
    </w:p>
    <w:p>
      <w:pPr>
        <w:ind w:left="1960" w:hanging="535"/>
        <w:spacing w:after="0"/>
        <w:tabs>
          <w:tab w:leader="none" w:pos="196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Soliciting (or contributing to the soliciting of) the Corporation’s customers, employees, representatives, or consultants to:</w:t>
      </w:r>
    </w:p>
    <w:p>
      <w:pPr>
        <w:spacing w:after="0" w:line="126" w:lineRule="exact"/>
        <w:rPr>
          <w:rFonts w:ascii="Arial" w:cs="Arial" w:eastAsia="Arial" w:hAnsi="Arial"/>
          <w:sz w:val="16"/>
          <w:szCs w:val="16"/>
          <w:color w:val="auto"/>
        </w:rPr>
      </w:pPr>
    </w:p>
    <w:p>
      <w:pPr>
        <w:ind w:left="2520" w:hanging="541"/>
        <w:spacing w:after="0"/>
        <w:tabs>
          <w:tab w:leader="none" w:pos="2520" w:val="left"/>
        </w:tabs>
        <w:numPr>
          <w:ilvl w:val="2"/>
          <w:numId w:val="164"/>
        </w:numPr>
        <w:rPr>
          <w:rFonts w:ascii="Arial" w:cs="Arial" w:eastAsia="Arial" w:hAnsi="Arial"/>
          <w:sz w:val="16"/>
          <w:szCs w:val="16"/>
          <w:color w:val="auto"/>
        </w:rPr>
      </w:pPr>
      <w:r>
        <w:rPr>
          <w:rFonts w:ascii="Arial" w:cs="Arial" w:eastAsia="Arial" w:hAnsi="Arial"/>
          <w:sz w:val="16"/>
          <w:szCs w:val="16"/>
          <w:color w:val="auto"/>
        </w:rPr>
        <w:t>Terminate, discontinue or cease working with or for the Corporation; or</w:t>
      </w:r>
    </w:p>
    <w:p>
      <w:pPr>
        <w:spacing w:after="0" w:line="126" w:lineRule="exact"/>
        <w:rPr>
          <w:rFonts w:ascii="Arial" w:cs="Arial" w:eastAsia="Arial" w:hAnsi="Arial"/>
          <w:sz w:val="16"/>
          <w:szCs w:val="16"/>
          <w:color w:val="auto"/>
        </w:rPr>
      </w:pPr>
    </w:p>
    <w:p>
      <w:pPr>
        <w:ind w:left="2520" w:right="140" w:hanging="541"/>
        <w:spacing w:after="0" w:line="286" w:lineRule="auto"/>
        <w:tabs>
          <w:tab w:leader="none" w:pos="2520" w:val="left"/>
        </w:tabs>
        <w:numPr>
          <w:ilvl w:val="2"/>
          <w:numId w:val="164"/>
        </w:numPr>
        <w:rPr>
          <w:rFonts w:ascii="Arial" w:cs="Arial" w:eastAsia="Arial" w:hAnsi="Arial"/>
          <w:sz w:val="16"/>
          <w:szCs w:val="16"/>
          <w:color w:val="auto"/>
        </w:rPr>
      </w:pPr>
      <w:r>
        <w:rPr>
          <w:rFonts w:ascii="Arial" w:cs="Arial" w:eastAsia="Arial" w:hAnsi="Arial"/>
          <w:sz w:val="16"/>
          <w:szCs w:val="16"/>
          <w:color w:val="auto"/>
        </w:rPr>
        <w:t>To breach any contract with the Corporation, in order to work with or for, or enter into a contract with, the Participant or any third party;</w:t>
      </w:r>
    </w:p>
    <w:p>
      <w:pPr>
        <w:spacing w:after="0" w:line="61" w:lineRule="exact"/>
        <w:rPr>
          <w:rFonts w:ascii="Arial" w:cs="Arial" w:eastAsia="Arial" w:hAnsi="Arial"/>
          <w:sz w:val="16"/>
          <w:szCs w:val="16"/>
          <w:color w:val="auto"/>
        </w:rPr>
      </w:pPr>
    </w:p>
    <w:p>
      <w:pPr>
        <w:ind w:left="1420" w:right="100" w:hanging="535"/>
        <w:spacing w:after="0" w:line="266" w:lineRule="auto"/>
        <w:tabs>
          <w:tab w:leader="none" w:pos="142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 Participant willfully fails to inform any new employer of the Participant’s continuing obligation to maintain the confidentiality of the trade secrets and other Corporation Confidential Information obtained by the Participant during the term of his or her employment with the Corporation;</w:t>
      </w:r>
    </w:p>
    <w:p>
      <w:pPr>
        <w:spacing w:after="0" w:line="63"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Committee shall determine in its sole discretion whether the Participant has engaged in any of the acts set forth in subsections (1) through (6) above, and its determination shall be conclusive and binding on all interested persons.</w:t>
      </w:r>
    </w:p>
    <w:p>
      <w:pPr>
        <w:spacing w:after="0" w:line="61" w:lineRule="exact"/>
        <w:rPr>
          <w:sz w:val="20"/>
          <w:szCs w:val="20"/>
          <w:color w:val="auto"/>
        </w:rPr>
      </w:pPr>
    </w:p>
    <w:p>
      <w:pPr>
        <w:ind w:left="880" w:hanging="764"/>
        <w:spacing w:after="0"/>
        <w:tabs>
          <w:tab w:leader="none" w:pos="8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Non-Employee Director</w:t>
      </w:r>
      <w:r>
        <w:rPr>
          <w:rFonts w:ascii="Arial" w:cs="Arial" w:eastAsia="Arial" w:hAnsi="Arial"/>
          <w:sz w:val="16"/>
          <w:szCs w:val="16"/>
          <w:color w:val="auto"/>
        </w:rPr>
        <w:t>” means a Director who is not an employee of the Corporation as provided in Rule 16b-3.</w:t>
      </w:r>
    </w:p>
    <w:p>
      <w:pPr>
        <w:spacing w:after="0" w:line="126" w:lineRule="exact"/>
        <w:rPr>
          <w:rFonts w:ascii="Arial" w:cs="Arial" w:eastAsia="Arial" w:hAnsi="Arial"/>
          <w:sz w:val="16"/>
          <w:szCs w:val="16"/>
          <w:color w:val="auto"/>
        </w:rPr>
      </w:pPr>
    </w:p>
    <w:p>
      <w:pPr>
        <w:ind w:left="880" w:right="200" w:hanging="764"/>
        <w:spacing w:after="0" w:line="286" w:lineRule="auto"/>
        <w:tabs>
          <w:tab w:leader="none" w:pos="8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Non-Stock Award</w:t>
      </w:r>
      <w:r>
        <w:rPr>
          <w:rFonts w:ascii="Arial" w:cs="Arial" w:eastAsia="Arial" w:hAnsi="Arial"/>
          <w:sz w:val="16"/>
          <w:szCs w:val="16"/>
          <w:color w:val="auto"/>
        </w:rPr>
        <w:t>” means an Award under the Plan, for which the amount, value and denomination are not determined with reference to, or expressed in, Shares.</w:t>
      </w:r>
    </w:p>
    <w:p>
      <w:pPr>
        <w:spacing w:after="0" w:line="61" w:lineRule="exact"/>
        <w:rPr>
          <w:rFonts w:ascii="Arial" w:cs="Arial" w:eastAsia="Arial" w:hAnsi="Arial"/>
          <w:sz w:val="16"/>
          <w:szCs w:val="16"/>
          <w:color w:val="auto"/>
        </w:rPr>
      </w:pPr>
    </w:p>
    <w:p>
      <w:pPr>
        <w:ind w:left="880" w:right="20" w:hanging="764"/>
        <w:spacing w:after="0" w:line="286" w:lineRule="auto"/>
        <w:tabs>
          <w:tab w:leader="none" w:pos="8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Non-Stock Award Agreement</w:t>
      </w:r>
      <w:r>
        <w:rPr>
          <w:rFonts w:ascii="Arial" w:cs="Arial" w:eastAsia="Arial" w:hAnsi="Arial"/>
          <w:sz w:val="16"/>
          <w:szCs w:val="16"/>
          <w:color w:val="auto"/>
        </w:rPr>
        <w:t>” means the agreement between the Corporation and the recipient of a Non-Stock Award that contains the terms and conditions pertaining to the Non-Stock Award.</w:t>
      </w:r>
    </w:p>
    <w:p>
      <w:pPr>
        <w:spacing w:after="0" w:line="61" w:lineRule="exact"/>
        <w:rPr>
          <w:rFonts w:ascii="Arial" w:cs="Arial" w:eastAsia="Arial" w:hAnsi="Arial"/>
          <w:sz w:val="16"/>
          <w:szCs w:val="16"/>
          <w:color w:val="auto"/>
        </w:rPr>
      </w:pPr>
    </w:p>
    <w:p>
      <w:pPr>
        <w:ind w:left="880" w:hanging="764"/>
        <w:spacing w:after="0"/>
        <w:tabs>
          <w:tab w:leader="none" w:pos="8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Optionee</w:t>
      </w:r>
      <w:r>
        <w:rPr>
          <w:rFonts w:ascii="Arial" w:cs="Arial" w:eastAsia="Arial" w:hAnsi="Arial"/>
          <w:sz w:val="16"/>
          <w:szCs w:val="16"/>
          <w:color w:val="auto"/>
        </w:rPr>
        <w:t>” means an Eligible Employee who has received the grant of a Stock Option. An Optionee shall also be a Participant.</w:t>
      </w:r>
    </w:p>
    <w:p>
      <w:pPr>
        <w:spacing w:after="0" w:line="127" w:lineRule="exact"/>
        <w:rPr>
          <w:sz w:val="20"/>
          <w:szCs w:val="20"/>
          <w:color w:val="auto"/>
        </w:rPr>
      </w:pPr>
    </w:p>
    <w:p>
      <w:pPr>
        <w:ind w:left="880" w:hanging="764"/>
        <w:spacing w:after="0"/>
        <w:tabs>
          <w:tab w:leader="none" w:pos="8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Share-Based Award</w:t>
      </w:r>
      <w:r>
        <w:rPr>
          <w:rFonts w:ascii="Arial" w:cs="Arial" w:eastAsia="Arial" w:hAnsi="Arial"/>
          <w:sz w:val="16"/>
          <w:szCs w:val="16"/>
          <w:color w:val="auto"/>
        </w:rPr>
        <w:t>” means an Award granted pursuant to Section X. of the Plan.</w:t>
      </w:r>
    </w:p>
    <w:p>
      <w:pPr>
        <w:spacing w:after="0" w:line="126" w:lineRule="exact"/>
        <w:rPr>
          <w:rFonts w:ascii="Arial" w:cs="Arial" w:eastAsia="Arial" w:hAnsi="Arial"/>
          <w:sz w:val="16"/>
          <w:szCs w:val="16"/>
          <w:color w:val="auto"/>
        </w:rPr>
      </w:pPr>
    </w:p>
    <w:p>
      <w:pPr>
        <w:ind w:left="880" w:right="20" w:hanging="764"/>
        <w:spacing w:after="0" w:line="286" w:lineRule="auto"/>
        <w:tabs>
          <w:tab w:leader="none" w:pos="8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Share-Based Award Agreement</w:t>
      </w:r>
      <w:r>
        <w:rPr>
          <w:rFonts w:ascii="Arial" w:cs="Arial" w:eastAsia="Arial" w:hAnsi="Arial"/>
          <w:sz w:val="16"/>
          <w:szCs w:val="16"/>
          <w:color w:val="auto"/>
        </w:rPr>
        <w:t>” means the agreement between the Corporation and the recipient of an Other Share-Based Award that contains the terms and conditions pertaining to the Other Share-Based Award.</w:t>
      </w:r>
    </w:p>
    <w:p>
      <w:pPr>
        <w:spacing w:after="0" w:line="61" w:lineRule="exact"/>
        <w:rPr>
          <w:rFonts w:ascii="Arial" w:cs="Arial" w:eastAsia="Arial" w:hAnsi="Arial"/>
          <w:sz w:val="16"/>
          <w:szCs w:val="16"/>
          <w:color w:val="auto"/>
        </w:rPr>
      </w:pPr>
    </w:p>
    <w:p>
      <w:pPr>
        <w:ind w:left="880" w:hanging="764"/>
        <w:spacing w:after="0"/>
        <w:tabs>
          <w:tab w:leader="none" w:pos="8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an Eligible Employee who is granted an Award under the Plan.</w:t>
      </w:r>
    </w:p>
    <w:p>
      <w:pPr>
        <w:spacing w:after="0" w:line="126" w:lineRule="exact"/>
        <w:rPr>
          <w:rFonts w:ascii="Arial" w:cs="Arial" w:eastAsia="Arial" w:hAnsi="Arial"/>
          <w:sz w:val="16"/>
          <w:szCs w:val="16"/>
          <w:color w:val="auto"/>
        </w:rPr>
      </w:pPr>
    </w:p>
    <w:p>
      <w:pPr>
        <w:ind w:left="880" w:right="140" w:hanging="764"/>
        <w:spacing w:after="0" w:line="259" w:lineRule="auto"/>
        <w:tabs>
          <w:tab w:leader="none" w:pos="8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Payroll</w:t>
      </w:r>
      <w:r>
        <w:rPr>
          <w:rFonts w:ascii="Arial" w:cs="Arial" w:eastAsia="Arial" w:hAnsi="Arial"/>
          <w:sz w:val="16"/>
          <w:szCs w:val="16"/>
          <w:color w:val="auto"/>
        </w:rPr>
        <w:t>” means the system used by the Corporation to pay those individuals it regards as Corporation employees for their services and to withhold employment taxes from the compensation it pays to such employees. “Payroll” does not include any system the Corporation uses to pay individuals whom it does not regard as Corporation employees and for whom it does not actually withhold employment taxes (including, but not limited to, individuals it regards as independent contractors) for their services.</w:t>
      </w:r>
    </w:p>
    <w:p>
      <w:pPr>
        <w:spacing w:after="0" w:line="83" w:lineRule="exact"/>
        <w:rPr>
          <w:rFonts w:ascii="Arial" w:cs="Arial" w:eastAsia="Arial" w:hAnsi="Arial"/>
          <w:sz w:val="16"/>
          <w:szCs w:val="16"/>
          <w:color w:val="auto"/>
        </w:rPr>
      </w:pPr>
    </w:p>
    <w:p>
      <w:pPr>
        <w:ind w:left="880" w:right="20" w:hanging="764"/>
        <w:spacing w:after="0" w:line="256" w:lineRule="auto"/>
        <w:tabs>
          <w:tab w:leader="none" w:pos="8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Goals</w:t>
      </w:r>
      <w:r>
        <w:rPr>
          <w:rFonts w:ascii="Arial" w:cs="Arial" w:eastAsia="Arial" w:hAnsi="Arial"/>
          <w:sz w:val="16"/>
          <w:szCs w:val="16"/>
          <w:color w:val="auto"/>
        </w:rPr>
        <w:t>” mean one or more performance factors as determined by the Committee with respect to each Performance Period based upon one or more of the following factors: (i) earnings or earnings per share (ii) EBITDA, (iii) stock price, (iv) return on equity, (v) total</w:t>
      </w:r>
    </w:p>
    <w:p>
      <w:pPr>
        <w:spacing w:after="0" w:line="1" w:lineRule="exact"/>
        <w:rPr>
          <w:sz w:val="20"/>
          <w:szCs w:val="20"/>
          <w:color w:val="auto"/>
        </w:rPr>
      </w:pPr>
    </w:p>
    <w:p>
      <w:pPr>
        <w:ind w:left="880" w:right="620"/>
        <w:spacing w:after="0" w:line="246" w:lineRule="auto"/>
        <w:rPr>
          <w:sz w:val="20"/>
          <w:szCs w:val="20"/>
          <w:color w:val="auto"/>
        </w:rPr>
      </w:pPr>
      <w:r>
        <w:rPr>
          <w:rFonts w:ascii="Arial" w:cs="Arial" w:eastAsia="Arial" w:hAnsi="Arial"/>
          <w:sz w:val="16"/>
          <w:szCs w:val="16"/>
          <w:color w:val="auto"/>
        </w:rPr>
        <w:t>shareholder return, (vi) return on capital, (vii) return on investment, (viii) return on capital employed, (ix) return on assets or net assets, (x) market capitalization, (xi) economic value added, (xii) debt leverage (debt to capital), (xiii) revenue, (xiv) income or net income,</w:t>
      </w:r>
    </w:p>
    <w:p>
      <w:pPr>
        <w:spacing w:after="0" w:line="1" w:lineRule="exact"/>
        <w:rPr>
          <w:sz w:val="20"/>
          <w:szCs w:val="20"/>
          <w:color w:val="auto"/>
        </w:rPr>
      </w:pPr>
    </w:p>
    <w:p>
      <w:pPr>
        <w:ind w:left="880" w:right="160"/>
        <w:spacing w:after="0" w:line="256" w:lineRule="auto"/>
        <w:rPr>
          <w:sz w:val="20"/>
          <w:szCs w:val="20"/>
          <w:color w:val="auto"/>
        </w:rPr>
      </w:pPr>
      <w:r>
        <w:rPr>
          <w:rFonts w:ascii="Arial" w:cs="Arial" w:eastAsia="Arial" w:hAnsi="Arial"/>
          <w:sz w:val="16"/>
          <w:szCs w:val="16"/>
          <w:color w:val="auto"/>
        </w:rPr>
        <w:t>(xv) operating income, (xvi) operating profit or net operating profit, (xvii) operating margin or profit margin, (xviii) return on operating revenue, (ixx) cash from operations, (xx) operating ratio, (xxi) operating revenue, (xxii) operating expense, (xxiii) cash flow each with respect to the Corporation and/or one or more of its affiliates or operating units, (xxiv) any other measure or metric the Committee deems appropriate.</w:t>
      </w:r>
    </w:p>
    <w:p>
      <w:pPr>
        <w:spacing w:after="0" w:line="83" w:lineRule="exact"/>
        <w:rPr>
          <w:sz w:val="20"/>
          <w:szCs w:val="20"/>
          <w:color w:val="auto"/>
        </w:rPr>
      </w:pPr>
    </w:p>
    <w:p>
      <w:pPr>
        <w:ind w:left="880" w:hanging="764"/>
        <w:spacing w:after="0"/>
        <w:tabs>
          <w:tab w:leader="none" w:pos="88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Share</w:t>
      </w:r>
      <w:r>
        <w:rPr>
          <w:rFonts w:ascii="Arial" w:cs="Arial" w:eastAsia="Arial" w:hAnsi="Arial"/>
          <w:sz w:val="16"/>
          <w:szCs w:val="16"/>
          <w:color w:val="auto"/>
        </w:rPr>
        <w:t>” means a unit granted by the Committee as described in Section X. of the Plan.</w:t>
      </w:r>
    </w:p>
    <w:p>
      <w:pPr>
        <w:spacing w:after="0" w:line="150"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A-3</w:t>
      </w:r>
    </w:p>
    <w:p>
      <w:pPr>
        <w:sectPr>
          <w:pgSz w:w="11900" w:h="16838" w:orient="portrait"/>
          <w:cols w:equalWidth="0" w:num="1">
            <w:col w:w="11100"/>
          </w:cols>
          <w:pgMar w:left="320" w:top="455" w:right="47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5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shd w:val="clear" w:color="auto" w:fill="0B2D71"/>
        </w:rPr>
        <w:t>2022 Long-term Incentive Plan of Chevron Corporation</w:t>
      </w:r>
    </w:p>
    <w:p>
      <w:pPr>
        <w:spacing w:after="0" w:line="172" w:lineRule="exact"/>
        <w:rPr>
          <w:sz w:val="20"/>
          <w:szCs w:val="20"/>
          <w:color w:val="auto"/>
        </w:rPr>
      </w:pPr>
    </w:p>
    <w:p>
      <w:pPr>
        <w:ind w:left="880" w:hanging="764"/>
        <w:spacing w:after="0"/>
        <w:tabs>
          <w:tab w:leader="none" w:pos="8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the 2022 Long-Term Incentive Plan of Chevron Corporation, as amended from time to time.</w:t>
      </w:r>
    </w:p>
    <w:p>
      <w:pPr>
        <w:spacing w:after="0" w:line="126" w:lineRule="exact"/>
        <w:rPr>
          <w:rFonts w:ascii="Arial" w:cs="Arial" w:eastAsia="Arial" w:hAnsi="Arial"/>
          <w:sz w:val="16"/>
          <w:szCs w:val="16"/>
          <w:color w:val="auto"/>
        </w:rPr>
      </w:pPr>
    </w:p>
    <w:p>
      <w:pPr>
        <w:ind w:left="880" w:hanging="764"/>
        <w:spacing w:after="0"/>
        <w:tabs>
          <w:tab w:leader="none" w:pos="8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Plan</w:t>
      </w:r>
      <w:r>
        <w:rPr>
          <w:rFonts w:ascii="Arial" w:cs="Arial" w:eastAsia="Arial" w:hAnsi="Arial"/>
          <w:sz w:val="16"/>
          <w:szCs w:val="16"/>
          <w:color w:val="auto"/>
        </w:rPr>
        <w:t>” means the Long-Term Incentive Plan of Chevron Corporation, as amended from time to time.</w:t>
      </w:r>
    </w:p>
    <w:p>
      <w:pPr>
        <w:spacing w:after="0" w:line="126" w:lineRule="exact"/>
        <w:rPr>
          <w:rFonts w:ascii="Arial" w:cs="Arial" w:eastAsia="Arial" w:hAnsi="Arial"/>
          <w:sz w:val="16"/>
          <w:szCs w:val="16"/>
          <w:color w:val="auto"/>
        </w:rPr>
      </w:pPr>
    </w:p>
    <w:p>
      <w:pPr>
        <w:ind w:left="880" w:hanging="764"/>
        <w:spacing w:after="0"/>
        <w:tabs>
          <w:tab w:leader="none" w:pos="8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w:t>
      </w:r>
      <w:r>
        <w:rPr>
          <w:rFonts w:ascii="Arial" w:cs="Arial" w:eastAsia="Arial" w:hAnsi="Arial"/>
          <w:sz w:val="16"/>
          <w:szCs w:val="16"/>
          <w:color w:val="auto"/>
        </w:rPr>
        <w:t>” means Shares granted pursuant to Section IX. of the Plan.</w:t>
      </w:r>
    </w:p>
    <w:p>
      <w:pPr>
        <w:spacing w:after="0" w:line="126" w:lineRule="exact"/>
        <w:rPr>
          <w:rFonts w:ascii="Arial" w:cs="Arial" w:eastAsia="Arial" w:hAnsi="Arial"/>
          <w:sz w:val="16"/>
          <w:szCs w:val="16"/>
          <w:color w:val="auto"/>
        </w:rPr>
      </w:pPr>
    </w:p>
    <w:p>
      <w:pPr>
        <w:ind w:left="880" w:right="300" w:hanging="764"/>
        <w:spacing w:after="0" w:line="286" w:lineRule="auto"/>
        <w:tabs>
          <w:tab w:leader="none" w:pos="8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 Agreement</w:t>
      </w:r>
      <w:r>
        <w:rPr>
          <w:rFonts w:ascii="Arial" w:cs="Arial" w:eastAsia="Arial" w:hAnsi="Arial"/>
          <w:sz w:val="16"/>
          <w:szCs w:val="16"/>
          <w:color w:val="auto"/>
        </w:rPr>
        <w:t>” means the agreement between the Corporation and the recipient of Restricted Stock that contains the terms, conditions and restrictions pertaining to such Restricted Stock.</w:t>
      </w:r>
    </w:p>
    <w:p>
      <w:pPr>
        <w:spacing w:after="0" w:line="61" w:lineRule="exact"/>
        <w:rPr>
          <w:rFonts w:ascii="Arial" w:cs="Arial" w:eastAsia="Arial" w:hAnsi="Arial"/>
          <w:sz w:val="16"/>
          <w:szCs w:val="16"/>
          <w:color w:val="auto"/>
        </w:rPr>
      </w:pPr>
    </w:p>
    <w:p>
      <w:pPr>
        <w:ind w:left="880" w:hanging="764"/>
        <w:spacing w:after="0"/>
        <w:tabs>
          <w:tab w:leader="none" w:pos="8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 Award</w:t>
      </w:r>
      <w:r>
        <w:rPr>
          <w:rFonts w:ascii="Arial" w:cs="Arial" w:eastAsia="Arial" w:hAnsi="Arial"/>
          <w:sz w:val="16"/>
          <w:szCs w:val="16"/>
          <w:color w:val="auto"/>
        </w:rPr>
        <w:t>” means an Award granted pursuant to the provisions of Section IX. of the Plan.</w:t>
      </w:r>
    </w:p>
    <w:p>
      <w:pPr>
        <w:spacing w:after="0" w:line="126" w:lineRule="exact"/>
        <w:rPr>
          <w:rFonts w:ascii="Arial" w:cs="Arial" w:eastAsia="Arial" w:hAnsi="Arial"/>
          <w:sz w:val="16"/>
          <w:szCs w:val="16"/>
          <w:color w:val="auto"/>
        </w:rPr>
      </w:pPr>
    </w:p>
    <w:p>
      <w:pPr>
        <w:ind w:left="880" w:right="520" w:hanging="764"/>
        <w:spacing w:after="0" w:line="286" w:lineRule="auto"/>
        <w:tabs>
          <w:tab w:leader="none" w:pos="8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 Unit</w:t>
      </w:r>
      <w:r>
        <w:rPr>
          <w:rFonts w:ascii="Arial" w:cs="Arial" w:eastAsia="Arial" w:hAnsi="Arial"/>
          <w:sz w:val="16"/>
          <w:szCs w:val="16"/>
          <w:color w:val="auto"/>
        </w:rPr>
        <w:t>” means a bookkeeping entry unit granted by the Committee that is measurable with respect to Shares, and that is forfeitable and restricted as provided in Section X. of the Plan.</w:t>
      </w:r>
    </w:p>
    <w:p>
      <w:pPr>
        <w:spacing w:after="0" w:line="61" w:lineRule="exact"/>
        <w:rPr>
          <w:rFonts w:ascii="Arial" w:cs="Arial" w:eastAsia="Arial" w:hAnsi="Arial"/>
          <w:sz w:val="16"/>
          <w:szCs w:val="16"/>
          <w:color w:val="auto"/>
        </w:rPr>
      </w:pPr>
    </w:p>
    <w:p>
      <w:pPr>
        <w:ind w:left="880" w:hanging="764"/>
        <w:spacing w:after="0" w:line="286" w:lineRule="auto"/>
        <w:tabs>
          <w:tab w:leader="none" w:pos="8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Restriction Period”</w:t>
      </w:r>
      <w:r>
        <w:rPr>
          <w:rFonts w:ascii="Arial" w:cs="Arial" w:eastAsia="Arial" w:hAnsi="Arial"/>
          <w:sz w:val="16"/>
          <w:szCs w:val="16"/>
          <w:color w:val="auto"/>
        </w:rPr>
        <w:t xml:space="preserve"> means with respect to a Restricted Stock Share or a Restricted Stock Unit, the period from grant until the earlier of the date that the restrictions lapse or the Share or Unit is forfeited.</w:t>
      </w:r>
    </w:p>
    <w:p>
      <w:pPr>
        <w:spacing w:after="0" w:line="61" w:lineRule="exact"/>
        <w:rPr>
          <w:rFonts w:ascii="Arial" w:cs="Arial" w:eastAsia="Arial" w:hAnsi="Arial"/>
          <w:sz w:val="16"/>
          <w:szCs w:val="16"/>
          <w:color w:val="auto"/>
        </w:rPr>
      </w:pPr>
    </w:p>
    <w:p>
      <w:pPr>
        <w:ind w:left="880" w:right="40" w:hanging="764"/>
        <w:spacing w:after="0" w:line="286" w:lineRule="auto"/>
        <w:tabs>
          <w:tab w:leader="none" w:pos="8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16b-3</w:t>
      </w:r>
      <w:r>
        <w:rPr>
          <w:rFonts w:ascii="Arial" w:cs="Arial" w:eastAsia="Arial" w:hAnsi="Arial"/>
          <w:sz w:val="16"/>
          <w:szCs w:val="16"/>
          <w:color w:val="auto"/>
        </w:rPr>
        <w:t>” means Rule 16b-3 promulgated by the Commission pursuant to the Exchange Act, or any successor or replacement rule adopted by the Commission.</w:t>
      </w:r>
    </w:p>
    <w:p>
      <w:pPr>
        <w:spacing w:after="0" w:line="61" w:lineRule="exact"/>
        <w:rPr>
          <w:rFonts w:ascii="Arial" w:cs="Arial" w:eastAsia="Arial" w:hAnsi="Arial"/>
          <w:sz w:val="16"/>
          <w:szCs w:val="16"/>
          <w:color w:val="auto"/>
        </w:rPr>
      </w:pPr>
    </w:p>
    <w:p>
      <w:pPr>
        <w:ind w:left="880" w:hanging="764"/>
        <w:spacing w:after="0"/>
        <w:tabs>
          <w:tab w:leader="none" w:pos="8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Rules</w:t>
      </w:r>
      <w:r>
        <w:rPr>
          <w:rFonts w:ascii="Arial" w:cs="Arial" w:eastAsia="Arial" w:hAnsi="Arial"/>
          <w:sz w:val="16"/>
          <w:szCs w:val="16"/>
          <w:color w:val="auto"/>
        </w:rPr>
        <w:t>” means regulations and rules adopted from time to time by the Committee.</w:t>
      </w:r>
    </w:p>
    <w:p>
      <w:pPr>
        <w:spacing w:after="0" w:line="126" w:lineRule="exact"/>
        <w:rPr>
          <w:rFonts w:ascii="Arial" w:cs="Arial" w:eastAsia="Arial" w:hAnsi="Arial"/>
          <w:sz w:val="16"/>
          <w:szCs w:val="16"/>
          <w:color w:val="auto"/>
        </w:rPr>
      </w:pPr>
    </w:p>
    <w:p>
      <w:pPr>
        <w:ind w:left="880" w:hanging="764"/>
        <w:spacing w:after="0"/>
        <w:tabs>
          <w:tab w:leader="none" w:pos="8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w:t>
      </w:r>
      <w:r>
        <w:rPr>
          <w:rFonts w:ascii="Arial" w:cs="Arial" w:eastAsia="Arial" w:hAnsi="Arial"/>
          <w:sz w:val="16"/>
          <w:szCs w:val="16"/>
          <w:color w:val="auto"/>
        </w:rPr>
        <w:t>” means one share of Common Stock, adjusted in accordance with Section XII. (if applicable).</w:t>
      </w:r>
    </w:p>
    <w:p>
      <w:pPr>
        <w:spacing w:after="0" w:line="126" w:lineRule="exact"/>
        <w:rPr>
          <w:rFonts w:ascii="Arial" w:cs="Arial" w:eastAsia="Arial" w:hAnsi="Arial"/>
          <w:sz w:val="16"/>
          <w:szCs w:val="16"/>
          <w:color w:val="auto"/>
        </w:rPr>
      </w:pPr>
    </w:p>
    <w:p>
      <w:pPr>
        <w:ind w:left="880" w:right="20" w:hanging="764"/>
        <w:spacing w:after="0" w:line="286" w:lineRule="auto"/>
        <w:tabs>
          <w:tab w:leader="none" w:pos="8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Appreciation Right</w:t>
      </w:r>
      <w:r>
        <w:rPr>
          <w:rFonts w:ascii="Arial" w:cs="Arial" w:eastAsia="Arial" w:hAnsi="Arial"/>
          <w:sz w:val="16"/>
          <w:szCs w:val="16"/>
          <w:color w:val="auto"/>
        </w:rPr>
        <w:t>” or “</w:t>
      </w:r>
      <w:r>
        <w:rPr>
          <w:rFonts w:ascii="Arial" w:cs="Arial" w:eastAsia="Arial" w:hAnsi="Arial"/>
          <w:sz w:val="16"/>
          <w:szCs w:val="16"/>
          <w:u w:val="single" w:color="auto"/>
          <w:color w:val="auto"/>
        </w:rPr>
        <w:t>SAR</w:t>
      </w:r>
      <w:r>
        <w:rPr>
          <w:rFonts w:ascii="Arial" w:cs="Arial" w:eastAsia="Arial" w:hAnsi="Arial"/>
          <w:sz w:val="16"/>
          <w:szCs w:val="16"/>
          <w:color w:val="auto"/>
        </w:rPr>
        <w:t>” means a right to the payment of the appreciation in Share price as described in Sections VIII. and X. of the Plan.</w:t>
      </w:r>
    </w:p>
    <w:p>
      <w:pPr>
        <w:spacing w:after="0" w:line="61" w:lineRule="exact"/>
        <w:rPr>
          <w:rFonts w:ascii="Arial" w:cs="Arial" w:eastAsia="Arial" w:hAnsi="Arial"/>
          <w:sz w:val="16"/>
          <w:szCs w:val="16"/>
          <w:color w:val="auto"/>
        </w:rPr>
      </w:pPr>
    </w:p>
    <w:p>
      <w:pPr>
        <w:ind w:left="880" w:hanging="764"/>
        <w:spacing w:after="0"/>
        <w:tabs>
          <w:tab w:leader="none" w:pos="8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Option</w:t>
      </w:r>
      <w:r>
        <w:rPr>
          <w:rFonts w:ascii="Arial" w:cs="Arial" w:eastAsia="Arial" w:hAnsi="Arial"/>
          <w:sz w:val="16"/>
          <w:szCs w:val="16"/>
          <w:color w:val="auto"/>
        </w:rPr>
        <w:t>” means a non-statutory stock option granted pursuant to Section VIII. of the Plan.</w:t>
      </w:r>
    </w:p>
    <w:p>
      <w:pPr>
        <w:spacing w:after="0" w:line="126" w:lineRule="exact"/>
        <w:rPr>
          <w:rFonts w:ascii="Arial" w:cs="Arial" w:eastAsia="Arial" w:hAnsi="Arial"/>
          <w:sz w:val="16"/>
          <w:szCs w:val="16"/>
          <w:color w:val="auto"/>
        </w:rPr>
      </w:pPr>
    </w:p>
    <w:p>
      <w:pPr>
        <w:ind w:left="880" w:right="100" w:hanging="764"/>
        <w:spacing w:after="0" w:line="286" w:lineRule="auto"/>
        <w:tabs>
          <w:tab w:leader="none" w:pos="8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Option Agreement</w:t>
      </w:r>
      <w:r>
        <w:rPr>
          <w:rFonts w:ascii="Arial" w:cs="Arial" w:eastAsia="Arial" w:hAnsi="Arial"/>
          <w:sz w:val="16"/>
          <w:szCs w:val="16"/>
          <w:color w:val="auto"/>
        </w:rPr>
        <w:t>” means the agreement between the Corporation and the Optionee that contains the terms and conditions pertaining to a Stock Option.</w:t>
      </w:r>
    </w:p>
    <w:p>
      <w:pPr>
        <w:spacing w:after="0" w:line="61" w:lineRule="exact"/>
        <w:rPr>
          <w:rFonts w:ascii="Arial" w:cs="Arial" w:eastAsia="Arial" w:hAnsi="Arial"/>
          <w:sz w:val="16"/>
          <w:szCs w:val="16"/>
          <w:color w:val="auto"/>
        </w:rPr>
      </w:pPr>
    </w:p>
    <w:p>
      <w:pPr>
        <w:jc w:val="both"/>
        <w:ind w:left="880" w:right="40" w:hanging="764"/>
        <w:spacing w:after="0" w:line="266" w:lineRule="auto"/>
        <w:tabs>
          <w:tab w:leader="none" w:pos="8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any corporation or entity with respect to which the Corporation, one or more Subsidiaries, or the Corporation together with one or more Subsidiaries, owns not less than eighty percent (80%) of the total combined voting power of all classes of stock entitled to vote, or not less than eighty percent (80%) of the total value of all shares of all classes of stock.</w:t>
      </w:r>
    </w:p>
    <w:p>
      <w:pPr>
        <w:spacing w:after="0" w:line="76" w:lineRule="exact"/>
        <w:rPr>
          <w:rFonts w:ascii="Arial" w:cs="Arial" w:eastAsia="Arial" w:hAnsi="Arial"/>
          <w:sz w:val="16"/>
          <w:szCs w:val="16"/>
          <w:color w:val="auto"/>
        </w:rPr>
      </w:pPr>
    </w:p>
    <w:p>
      <w:pPr>
        <w:ind w:left="880" w:right="100" w:hanging="764"/>
        <w:spacing w:after="0" w:line="286" w:lineRule="auto"/>
        <w:tabs>
          <w:tab w:leader="none" w:pos="8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Unit</w:t>
      </w:r>
      <w:r>
        <w:rPr>
          <w:rFonts w:ascii="Arial" w:cs="Arial" w:eastAsia="Arial" w:hAnsi="Arial"/>
          <w:sz w:val="16"/>
          <w:szCs w:val="16"/>
          <w:color w:val="auto"/>
        </w:rPr>
        <w:t>” means a bookkeeping entry unit granted by the Committee that is measurable with respect to Shares as provided in Section X. of the Plan.</w:t>
      </w:r>
    </w:p>
    <w:p>
      <w:pPr>
        <w:spacing w:after="0" w:line="61" w:lineRule="exact"/>
        <w:rPr>
          <w:rFonts w:ascii="Arial" w:cs="Arial" w:eastAsia="Arial" w:hAnsi="Arial"/>
          <w:sz w:val="16"/>
          <w:szCs w:val="16"/>
          <w:color w:val="auto"/>
        </w:rPr>
      </w:pPr>
    </w:p>
    <w:p>
      <w:pPr>
        <w:ind w:left="880" w:right="160" w:hanging="764"/>
        <w:spacing w:after="0" w:line="266" w:lineRule="auto"/>
        <w:tabs>
          <w:tab w:leader="none" w:pos="8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Successors or Assigns</w:t>
      </w:r>
      <w:r>
        <w:rPr>
          <w:rFonts w:ascii="Arial" w:cs="Arial" w:eastAsia="Arial" w:hAnsi="Arial"/>
          <w:sz w:val="16"/>
          <w:szCs w:val="16"/>
          <w:color w:val="auto"/>
        </w:rPr>
        <w:t>” means a corporation or other entity acquiring all or substantially all the assets and business of the Corporation (including the Plan) whether by operation of law or otherwise, including any corporation or other entity effectuating a Change in Control of the Corporation.</w:t>
      </w:r>
    </w:p>
    <w:p>
      <w:pPr>
        <w:spacing w:after="0" w:line="76" w:lineRule="exact"/>
        <w:rPr>
          <w:rFonts w:ascii="Arial" w:cs="Arial" w:eastAsia="Arial" w:hAnsi="Arial"/>
          <w:sz w:val="16"/>
          <w:szCs w:val="16"/>
          <w:color w:val="auto"/>
        </w:rPr>
      </w:pPr>
    </w:p>
    <w:p>
      <w:pPr>
        <w:ind w:left="880" w:right="640" w:hanging="764"/>
        <w:spacing w:after="0" w:line="286" w:lineRule="auto"/>
        <w:tabs>
          <w:tab w:leader="none" w:pos="8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“Terminated”, or “Terminate</w:t>
      </w:r>
      <w:r>
        <w:rPr>
          <w:rFonts w:ascii="Arial" w:cs="Arial" w:eastAsia="Arial" w:hAnsi="Arial"/>
          <w:sz w:val="16"/>
          <w:szCs w:val="16"/>
          <w:color w:val="auto"/>
        </w:rPr>
        <w:t>” means that a Participant’s formal employment relationship with the Corporation has ended, including by reason of death.</w:t>
      </w:r>
    </w:p>
    <w:p>
      <w:pPr>
        <w:spacing w:after="0" w:line="61" w:lineRule="exact"/>
        <w:rPr>
          <w:rFonts w:ascii="Arial" w:cs="Arial" w:eastAsia="Arial" w:hAnsi="Arial"/>
          <w:sz w:val="16"/>
          <w:szCs w:val="16"/>
          <w:color w:val="auto"/>
        </w:rPr>
      </w:pPr>
    </w:p>
    <w:p>
      <w:pPr>
        <w:ind w:left="1420" w:hanging="535"/>
        <w:spacing w:after="0"/>
        <w:tabs>
          <w:tab w:leader="none" w:pos="142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A formal employment relationship with the Corporation cannot exist unless an individual is on the Payroll.</w:t>
      </w:r>
    </w:p>
    <w:p>
      <w:pPr>
        <w:spacing w:after="0" w:line="126" w:lineRule="exact"/>
        <w:rPr>
          <w:rFonts w:ascii="Arial" w:cs="Arial" w:eastAsia="Arial" w:hAnsi="Arial"/>
          <w:sz w:val="16"/>
          <w:szCs w:val="16"/>
          <w:color w:val="auto"/>
        </w:rPr>
      </w:pPr>
    </w:p>
    <w:p>
      <w:pPr>
        <w:ind w:left="1420" w:hanging="535"/>
        <w:spacing w:after="0"/>
        <w:tabs>
          <w:tab w:leader="none" w:pos="142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A Participant shall be deemed to have Terminated upon the earlier of</w:t>
      </w:r>
    </w:p>
    <w:p>
      <w:pPr>
        <w:spacing w:after="0" w:line="126" w:lineRule="exact"/>
        <w:rPr>
          <w:rFonts w:ascii="Arial" w:cs="Arial" w:eastAsia="Arial" w:hAnsi="Arial"/>
          <w:sz w:val="16"/>
          <w:szCs w:val="16"/>
          <w:color w:val="auto"/>
        </w:rPr>
      </w:pPr>
    </w:p>
    <w:p>
      <w:pPr>
        <w:ind w:left="1960" w:right="280" w:hanging="535"/>
        <w:spacing w:after="0" w:line="286" w:lineRule="auto"/>
        <w:tabs>
          <w:tab w:leader="none" w:pos="1960" w:val="left"/>
        </w:tabs>
        <w:numPr>
          <w:ilvl w:val="2"/>
          <w:numId w:val="168"/>
        </w:numPr>
        <w:rPr>
          <w:rFonts w:ascii="Arial" w:cs="Arial" w:eastAsia="Arial" w:hAnsi="Arial"/>
          <w:sz w:val="16"/>
          <w:szCs w:val="16"/>
          <w:color w:val="auto"/>
        </w:rPr>
      </w:pPr>
      <w:r>
        <w:rPr>
          <w:rFonts w:ascii="Arial" w:cs="Arial" w:eastAsia="Arial" w:hAnsi="Arial"/>
          <w:sz w:val="16"/>
          <w:szCs w:val="16"/>
          <w:color w:val="auto"/>
        </w:rPr>
        <w:t>Twenty-nine (29) months after the commencement of long-term disability benefits under a plan or program sponsored by the Corporation; or</w:t>
      </w:r>
    </w:p>
    <w:p>
      <w:pPr>
        <w:spacing w:after="0" w:line="61" w:lineRule="exact"/>
        <w:rPr>
          <w:rFonts w:ascii="Arial" w:cs="Arial" w:eastAsia="Arial" w:hAnsi="Arial"/>
          <w:sz w:val="16"/>
          <w:szCs w:val="16"/>
          <w:color w:val="auto"/>
        </w:rPr>
      </w:pPr>
    </w:p>
    <w:p>
      <w:pPr>
        <w:ind w:left="1960" w:right="40" w:hanging="535"/>
        <w:spacing w:after="0" w:line="286" w:lineRule="auto"/>
        <w:tabs>
          <w:tab w:leader="none" w:pos="1960" w:val="left"/>
        </w:tabs>
        <w:numPr>
          <w:ilvl w:val="2"/>
          <w:numId w:val="168"/>
        </w:numPr>
        <w:rPr>
          <w:rFonts w:ascii="Arial" w:cs="Arial" w:eastAsia="Arial" w:hAnsi="Arial"/>
          <w:sz w:val="16"/>
          <w:szCs w:val="16"/>
          <w:color w:val="auto"/>
        </w:rPr>
      </w:pPr>
      <w:r>
        <w:rPr>
          <w:rFonts w:ascii="Arial" w:cs="Arial" w:eastAsia="Arial" w:hAnsi="Arial"/>
          <w:sz w:val="16"/>
          <w:szCs w:val="16"/>
          <w:color w:val="auto"/>
        </w:rPr>
        <w:t>The date the Participant either fails to qualify or no longer qualifies for such long-term disability benefits, provided that he or she does not return to active employment with the Corporation at that time.</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 xml:space="preserve">SECTION III. </w:t>
      </w:r>
      <w:r>
        <w:rPr>
          <w:rFonts w:ascii="Arial" w:cs="Arial" w:eastAsia="Arial" w:hAnsi="Arial"/>
          <w:sz w:val="22"/>
          <w:szCs w:val="22"/>
          <w:b w:val="1"/>
          <w:bCs w:val="1"/>
          <w:u w:val="single" w:color="auto"/>
          <w:color w:val="0B2D71"/>
        </w:rPr>
        <w:t>ADMINISTRATION</w:t>
      </w:r>
      <w:r>
        <w:rPr>
          <w:rFonts w:ascii="Arial" w:cs="Arial" w:eastAsia="Arial" w:hAnsi="Arial"/>
          <w:sz w:val="22"/>
          <w:szCs w:val="22"/>
          <w:b w:val="1"/>
          <w:bCs w:val="1"/>
          <w:color w:val="0B2D71"/>
        </w:rPr>
        <w:t>.</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Plan shall be administered by the Committee.</w:t>
      </w:r>
    </w:p>
    <w:p>
      <w:pPr>
        <w:spacing w:after="0" w:line="127" w:lineRule="exact"/>
        <w:rPr>
          <w:sz w:val="20"/>
          <w:szCs w:val="20"/>
          <w:color w:val="auto"/>
        </w:rPr>
      </w:pPr>
    </w:p>
    <w:p>
      <w:pPr>
        <w:ind w:left="540" w:hanging="424"/>
        <w:spacing w:after="0"/>
        <w:tabs>
          <w:tab w:leader="none" w:pos="540"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Composition of the Committee</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left="980" w:right="100" w:hanging="432"/>
        <w:spacing w:after="0" w:line="286" w:lineRule="auto"/>
        <w:tabs>
          <w:tab w:leader="none" w:pos="98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The Committee shall consist of not less than a sufficient number of Non-Employee Directors so as to qualify the Committee to administer the Plan as contemplated by Rule 16b-3 and each of whom shall be an Independent Director.</w:t>
      </w:r>
    </w:p>
    <w:p>
      <w:pPr>
        <w:spacing w:after="0" w:line="61" w:lineRule="exact"/>
        <w:rPr>
          <w:rFonts w:ascii="Arial" w:cs="Arial" w:eastAsia="Arial" w:hAnsi="Arial"/>
          <w:sz w:val="16"/>
          <w:szCs w:val="16"/>
          <w:color w:val="auto"/>
        </w:rPr>
      </w:pPr>
    </w:p>
    <w:p>
      <w:pPr>
        <w:ind w:left="980" w:hanging="432"/>
        <w:spacing w:after="0"/>
        <w:tabs>
          <w:tab w:leader="none" w:pos="98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The Board shall appoint one (1) of the members of the Committee as chair.</w:t>
      </w:r>
    </w:p>
    <w:p>
      <w:pPr>
        <w:spacing w:after="0" w:line="126" w:lineRule="exact"/>
        <w:rPr>
          <w:rFonts w:ascii="Arial" w:cs="Arial" w:eastAsia="Arial" w:hAnsi="Arial"/>
          <w:sz w:val="16"/>
          <w:szCs w:val="16"/>
          <w:color w:val="auto"/>
        </w:rPr>
      </w:pPr>
    </w:p>
    <w:p>
      <w:pPr>
        <w:ind w:left="980" w:hanging="432"/>
        <w:spacing w:after="0"/>
        <w:tabs>
          <w:tab w:leader="none" w:pos="98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The Board may, from time to time, remove members from, add members to, or fill vacancies on the Committee.</w:t>
      </w:r>
    </w:p>
    <w:p>
      <w:pPr>
        <w:spacing w:after="0" w:line="126" w:lineRule="exact"/>
        <w:rPr>
          <w:rFonts w:ascii="Arial" w:cs="Arial" w:eastAsia="Arial" w:hAnsi="Arial"/>
          <w:sz w:val="16"/>
          <w:szCs w:val="16"/>
          <w:color w:val="auto"/>
        </w:rPr>
      </w:pPr>
    </w:p>
    <w:p>
      <w:pPr>
        <w:ind w:left="980" w:right="220" w:hanging="432"/>
        <w:spacing w:after="0" w:line="286" w:lineRule="auto"/>
        <w:tabs>
          <w:tab w:leader="none" w:pos="98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In the event that the Committee will not satisfy the requirements of Rule 16b-3, the Board shall appoint another committee that shall satisfy such requirements.</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A-4</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208280</wp:posOffset>
            </wp:positionV>
            <wp:extent cx="2503170" cy="1460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503170" cy="146050"/>
                    </a:xfrm>
                    <a:prstGeom prst="rect">
                      <a:avLst/>
                    </a:prstGeom>
                    <a:noFill/>
                  </pic:spPr>
                </pic:pic>
              </a:graphicData>
            </a:graphic>
          </wp:anchor>
        </w:drawing>
      </w:r>
    </w:p>
    <w:p>
      <w:pPr>
        <w:spacing w:after="0" w:line="339"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FFFFFF"/>
        </w:rPr>
        <w:t>2022 Long-term Incentive Plan of Chevron Corporation</w:t>
      </w:r>
    </w:p>
    <w:p>
      <w:pPr>
        <w:spacing w:after="0" w:line="172" w:lineRule="exact"/>
        <w:rPr>
          <w:sz w:val="20"/>
          <w:szCs w:val="20"/>
          <w:color w:val="auto"/>
        </w:rPr>
      </w:pPr>
    </w:p>
    <w:p>
      <w:pPr>
        <w:ind w:left="540" w:right="260" w:hanging="424"/>
        <w:spacing w:after="0" w:line="266" w:lineRule="auto"/>
        <w:tabs>
          <w:tab w:leader="none" w:pos="540"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Actions by the Committee</w:t>
      </w:r>
      <w:r>
        <w:rPr>
          <w:rFonts w:ascii="Arial" w:cs="Arial" w:eastAsia="Arial" w:hAnsi="Arial"/>
          <w:sz w:val="16"/>
          <w:szCs w:val="16"/>
          <w:color w:val="auto"/>
        </w:rPr>
        <w:t>. The Committee shall hold meetings at such times and places as it may determine. Acts approved by a majority of the members of the Committee present at a meeting at which a quorum is present, or acts reduced to or approved in writing by a majority of the members of the Committee, shall be the valid acts of the Committee.</w:t>
      </w:r>
    </w:p>
    <w:p>
      <w:pPr>
        <w:spacing w:after="0" w:line="76" w:lineRule="exact"/>
        <w:rPr>
          <w:rFonts w:ascii="Arial" w:cs="Arial" w:eastAsia="Arial" w:hAnsi="Arial"/>
          <w:sz w:val="16"/>
          <w:szCs w:val="16"/>
          <w:color w:val="auto"/>
        </w:rPr>
      </w:pPr>
    </w:p>
    <w:p>
      <w:pPr>
        <w:ind w:left="540" w:hanging="424"/>
        <w:spacing w:after="0"/>
        <w:tabs>
          <w:tab w:leader="none" w:pos="540"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Powers of the Committee</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left="980" w:hanging="432"/>
        <w:spacing w:after="0"/>
        <w:tabs>
          <w:tab w:leader="none" w:pos="98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Committee’s authority includes the rights to:</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2"/>
          <w:numId w:val="170"/>
        </w:numPr>
        <w:rPr>
          <w:rFonts w:ascii="Arial" w:cs="Arial" w:eastAsia="Arial" w:hAnsi="Arial"/>
          <w:sz w:val="16"/>
          <w:szCs w:val="16"/>
          <w:color w:val="auto"/>
        </w:rPr>
      </w:pPr>
      <w:r>
        <w:rPr>
          <w:rFonts w:ascii="Arial" w:cs="Arial" w:eastAsia="Arial" w:hAnsi="Arial"/>
          <w:sz w:val="16"/>
          <w:szCs w:val="16"/>
          <w:color w:val="auto"/>
        </w:rPr>
        <w:t>Construe and interpret the Plan;</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2"/>
          <w:numId w:val="170"/>
        </w:numPr>
        <w:rPr>
          <w:rFonts w:ascii="Arial" w:cs="Arial" w:eastAsia="Arial" w:hAnsi="Arial"/>
          <w:sz w:val="16"/>
          <w:szCs w:val="16"/>
          <w:color w:val="auto"/>
        </w:rPr>
      </w:pPr>
      <w:r>
        <w:rPr>
          <w:rFonts w:ascii="Arial" w:cs="Arial" w:eastAsia="Arial" w:hAnsi="Arial"/>
          <w:sz w:val="16"/>
          <w:szCs w:val="16"/>
          <w:color w:val="auto"/>
        </w:rPr>
        <w:t>Promulgate, amend, interpret, and rescind Rules relating to the implementation of the Plan;</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2"/>
          <w:numId w:val="170"/>
        </w:numPr>
        <w:rPr>
          <w:rFonts w:ascii="Arial" w:cs="Arial" w:eastAsia="Arial" w:hAnsi="Arial"/>
          <w:sz w:val="16"/>
          <w:szCs w:val="16"/>
          <w:color w:val="auto"/>
        </w:rPr>
      </w:pPr>
      <w:r>
        <w:rPr>
          <w:rFonts w:ascii="Arial" w:cs="Arial" w:eastAsia="Arial" w:hAnsi="Arial"/>
          <w:sz w:val="16"/>
          <w:szCs w:val="16"/>
          <w:color w:val="auto"/>
        </w:rPr>
        <w:t>Select which Grant Eligible Employees shall be granted Awards;</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2"/>
          <w:numId w:val="170"/>
        </w:numPr>
        <w:rPr>
          <w:rFonts w:ascii="Arial" w:cs="Arial" w:eastAsia="Arial" w:hAnsi="Arial"/>
          <w:sz w:val="16"/>
          <w:szCs w:val="16"/>
          <w:color w:val="auto"/>
        </w:rPr>
      </w:pPr>
      <w:r>
        <w:rPr>
          <w:rFonts w:ascii="Arial" w:cs="Arial" w:eastAsia="Arial" w:hAnsi="Arial"/>
          <w:sz w:val="16"/>
          <w:szCs w:val="16"/>
          <w:color w:val="auto"/>
        </w:rPr>
        <w:t>Determine the number of Shares or Share equivalents to be subject to each Award;</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2"/>
          <w:numId w:val="170"/>
        </w:numPr>
        <w:rPr>
          <w:rFonts w:ascii="Arial" w:cs="Arial" w:eastAsia="Arial" w:hAnsi="Arial"/>
          <w:sz w:val="16"/>
          <w:szCs w:val="16"/>
          <w:color w:val="auto"/>
        </w:rPr>
      </w:pPr>
      <w:r>
        <w:rPr>
          <w:rFonts w:ascii="Arial" w:cs="Arial" w:eastAsia="Arial" w:hAnsi="Arial"/>
          <w:sz w:val="16"/>
          <w:szCs w:val="16"/>
          <w:color w:val="auto"/>
        </w:rPr>
        <w:t>Determine the Award price, if any;</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2"/>
          <w:numId w:val="170"/>
        </w:numPr>
        <w:rPr>
          <w:rFonts w:ascii="Arial" w:cs="Arial" w:eastAsia="Arial" w:hAnsi="Arial"/>
          <w:sz w:val="16"/>
          <w:szCs w:val="16"/>
          <w:color w:val="auto"/>
        </w:rPr>
      </w:pPr>
      <w:r>
        <w:rPr>
          <w:rFonts w:ascii="Arial" w:cs="Arial" w:eastAsia="Arial" w:hAnsi="Arial"/>
          <w:sz w:val="16"/>
          <w:szCs w:val="16"/>
          <w:color w:val="auto"/>
        </w:rPr>
        <w:t>Determine the vesting or duration of Awards;</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2"/>
          <w:numId w:val="170"/>
        </w:numPr>
        <w:rPr>
          <w:rFonts w:ascii="Arial" w:cs="Arial" w:eastAsia="Arial" w:hAnsi="Arial"/>
          <w:sz w:val="16"/>
          <w:szCs w:val="16"/>
          <w:color w:val="auto"/>
        </w:rPr>
      </w:pPr>
      <w:r>
        <w:rPr>
          <w:rFonts w:ascii="Arial" w:cs="Arial" w:eastAsia="Arial" w:hAnsi="Arial"/>
          <w:sz w:val="16"/>
          <w:szCs w:val="16"/>
          <w:color w:val="auto"/>
        </w:rPr>
        <w:t>Determine other terms and conditions of Awards;</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2"/>
          <w:numId w:val="170"/>
        </w:numPr>
        <w:rPr>
          <w:rFonts w:ascii="Arial" w:cs="Arial" w:eastAsia="Arial" w:hAnsi="Arial"/>
          <w:sz w:val="16"/>
          <w:szCs w:val="16"/>
          <w:color w:val="auto"/>
        </w:rPr>
      </w:pPr>
      <w:r>
        <w:rPr>
          <w:rFonts w:ascii="Arial" w:cs="Arial" w:eastAsia="Arial" w:hAnsi="Arial"/>
          <w:sz w:val="16"/>
          <w:szCs w:val="16"/>
          <w:color w:val="auto"/>
        </w:rPr>
        <w:t>Adopt procedures for the disposition of Awards in the event of a Participant’s divorce or dissolution of marriage; and</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2"/>
          <w:numId w:val="170"/>
        </w:numPr>
        <w:rPr>
          <w:rFonts w:ascii="Arial" w:cs="Arial" w:eastAsia="Arial" w:hAnsi="Arial"/>
          <w:sz w:val="16"/>
          <w:szCs w:val="16"/>
          <w:color w:val="auto"/>
        </w:rPr>
      </w:pPr>
      <w:r>
        <w:rPr>
          <w:rFonts w:ascii="Arial" w:cs="Arial" w:eastAsia="Arial" w:hAnsi="Arial"/>
          <w:sz w:val="16"/>
          <w:szCs w:val="16"/>
          <w:color w:val="auto"/>
        </w:rPr>
        <w:t>Make all other determinations necessary or advisable for the administration of the Plan.</w:t>
      </w:r>
    </w:p>
    <w:p>
      <w:pPr>
        <w:spacing w:after="0" w:line="126" w:lineRule="exact"/>
        <w:rPr>
          <w:rFonts w:ascii="Arial" w:cs="Arial" w:eastAsia="Arial" w:hAnsi="Arial"/>
          <w:sz w:val="16"/>
          <w:szCs w:val="16"/>
          <w:color w:val="auto"/>
        </w:rPr>
      </w:pPr>
    </w:p>
    <w:p>
      <w:pPr>
        <w:ind w:left="980" w:hanging="432"/>
        <w:spacing w:after="0"/>
        <w:tabs>
          <w:tab w:leader="none" w:pos="98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Notwithstanding Section III.(c)(1) of the Plan:</w:t>
      </w:r>
    </w:p>
    <w:p>
      <w:pPr>
        <w:spacing w:after="0" w:line="126" w:lineRule="exact"/>
        <w:rPr>
          <w:rFonts w:ascii="Arial" w:cs="Arial" w:eastAsia="Arial" w:hAnsi="Arial"/>
          <w:sz w:val="16"/>
          <w:szCs w:val="16"/>
          <w:color w:val="auto"/>
        </w:rPr>
      </w:pPr>
    </w:p>
    <w:p>
      <w:pPr>
        <w:ind w:left="1420" w:right="80" w:hanging="427"/>
        <w:spacing w:after="0" w:line="286" w:lineRule="auto"/>
        <w:tabs>
          <w:tab w:leader="none" w:pos="1420" w:val="left"/>
        </w:tabs>
        <w:numPr>
          <w:ilvl w:val="2"/>
          <w:numId w:val="170"/>
        </w:numPr>
        <w:rPr>
          <w:rFonts w:ascii="Arial" w:cs="Arial" w:eastAsia="Arial" w:hAnsi="Arial"/>
          <w:sz w:val="16"/>
          <w:szCs w:val="16"/>
          <w:color w:val="auto"/>
        </w:rPr>
      </w:pPr>
      <w:r>
        <w:rPr>
          <w:rFonts w:ascii="Arial" w:cs="Arial" w:eastAsia="Arial" w:hAnsi="Arial"/>
          <w:sz w:val="16"/>
          <w:szCs w:val="16"/>
          <w:color w:val="auto"/>
        </w:rPr>
        <w:t>No provision in the Plan referencing the Committee’s discretion shall be construed as granting the Committee the authority to exercise discretion in a manner that is inconsistent with the Plan; and</w:t>
      </w:r>
    </w:p>
    <w:p>
      <w:pPr>
        <w:spacing w:after="0" w:line="61" w:lineRule="exact"/>
        <w:rPr>
          <w:rFonts w:ascii="Arial" w:cs="Arial" w:eastAsia="Arial" w:hAnsi="Arial"/>
          <w:sz w:val="16"/>
          <w:szCs w:val="16"/>
          <w:color w:val="auto"/>
        </w:rPr>
      </w:pPr>
    </w:p>
    <w:p>
      <w:pPr>
        <w:ind w:left="1420" w:right="400" w:hanging="427"/>
        <w:spacing w:after="0" w:line="286" w:lineRule="auto"/>
        <w:tabs>
          <w:tab w:leader="none" w:pos="1420" w:val="left"/>
        </w:tabs>
        <w:numPr>
          <w:ilvl w:val="2"/>
          <w:numId w:val="170"/>
        </w:numPr>
        <w:rPr>
          <w:rFonts w:ascii="Arial" w:cs="Arial" w:eastAsia="Arial" w:hAnsi="Arial"/>
          <w:sz w:val="16"/>
          <w:szCs w:val="16"/>
          <w:color w:val="auto"/>
        </w:rPr>
      </w:pPr>
      <w:r>
        <w:rPr>
          <w:rFonts w:ascii="Arial" w:cs="Arial" w:eastAsia="Arial" w:hAnsi="Arial"/>
          <w:sz w:val="16"/>
          <w:szCs w:val="16"/>
          <w:color w:val="auto"/>
        </w:rPr>
        <w:t>Adoption of Rules by the Committee is an exercise of the Committee’s discretion. Once adopted, the Committee may not exercise additional discretion that is inconsistent with the Rules without amending the Rules.</w:t>
      </w:r>
    </w:p>
    <w:p>
      <w:pPr>
        <w:spacing w:after="0" w:line="61" w:lineRule="exact"/>
        <w:rPr>
          <w:rFonts w:ascii="Arial" w:cs="Arial" w:eastAsia="Arial" w:hAnsi="Arial"/>
          <w:sz w:val="16"/>
          <w:szCs w:val="16"/>
          <w:color w:val="auto"/>
        </w:rPr>
      </w:pPr>
    </w:p>
    <w:p>
      <w:pPr>
        <w:ind w:left="1420" w:hanging="427"/>
        <w:spacing w:after="0"/>
        <w:tabs>
          <w:tab w:leader="none" w:pos="1420" w:val="left"/>
        </w:tabs>
        <w:numPr>
          <w:ilvl w:val="2"/>
          <w:numId w:val="170"/>
        </w:numPr>
        <w:rPr>
          <w:rFonts w:ascii="Arial" w:cs="Arial" w:eastAsia="Arial" w:hAnsi="Arial"/>
          <w:sz w:val="16"/>
          <w:szCs w:val="16"/>
          <w:color w:val="auto"/>
        </w:rPr>
      </w:pPr>
      <w:r>
        <w:rPr>
          <w:rFonts w:ascii="Arial" w:cs="Arial" w:eastAsia="Arial" w:hAnsi="Arial"/>
          <w:sz w:val="16"/>
          <w:szCs w:val="16"/>
          <w:color w:val="auto"/>
        </w:rPr>
        <w:t>The Committee shall not, without the approval of the Corporation’s stockholders, implement an Exchange Program.</w:t>
      </w:r>
    </w:p>
    <w:p>
      <w:pPr>
        <w:spacing w:after="0" w:line="126" w:lineRule="exact"/>
        <w:rPr>
          <w:rFonts w:ascii="Arial" w:cs="Arial" w:eastAsia="Arial" w:hAnsi="Arial"/>
          <w:sz w:val="16"/>
          <w:szCs w:val="16"/>
          <w:color w:val="auto"/>
        </w:rPr>
      </w:pPr>
    </w:p>
    <w:p>
      <w:pPr>
        <w:ind w:left="980" w:right="20" w:hanging="432"/>
        <w:spacing w:after="0" w:line="266" w:lineRule="auto"/>
        <w:tabs>
          <w:tab w:leader="none" w:pos="98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Subject to the requirements of applicable law, the Committee may designate other persons to carry out its responsibilities and may prescribe such conditions and limitations as it may determine in its sole discretion, except that the Committee may not delegate its authority with regard to:</w:t>
      </w:r>
    </w:p>
    <w:p>
      <w:pPr>
        <w:spacing w:after="0" w:line="76" w:lineRule="exact"/>
        <w:rPr>
          <w:rFonts w:ascii="Arial" w:cs="Arial" w:eastAsia="Arial" w:hAnsi="Arial"/>
          <w:sz w:val="16"/>
          <w:szCs w:val="16"/>
          <w:color w:val="auto"/>
        </w:rPr>
      </w:pPr>
    </w:p>
    <w:p>
      <w:pPr>
        <w:ind w:left="1420" w:hanging="427"/>
        <w:spacing w:after="0"/>
        <w:tabs>
          <w:tab w:leader="none" w:pos="1420" w:val="left"/>
        </w:tabs>
        <w:numPr>
          <w:ilvl w:val="2"/>
          <w:numId w:val="170"/>
        </w:numPr>
        <w:rPr>
          <w:rFonts w:ascii="Arial" w:cs="Arial" w:eastAsia="Arial" w:hAnsi="Arial"/>
          <w:sz w:val="16"/>
          <w:szCs w:val="16"/>
          <w:color w:val="auto"/>
        </w:rPr>
      </w:pPr>
      <w:r>
        <w:rPr>
          <w:rFonts w:ascii="Arial" w:cs="Arial" w:eastAsia="Arial" w:hAnsi="Arial"/>
          <w:sz w:val="16"/>
          <w:szCs w:val="16"/>
          <w:color w:val="auto"/>
        </w:rPr>
        <w:t>The selection for participation or the granting of Awards to persons subject to Section 16 of the Exchange Act or</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2"/>
          <w:numId w:val="170"/>
        </w:numPr>
        <w:rPr>
          <w:rFonts w:ascii="Arial" w:cs="Arial" w:eastAsia="Arial" w:hAnsi="Arial"/>
          <w:sz w:val="16"/>
          <w:szCs w:val="16"/>
          <w:color w:val="auto"/>
        </w:rPr>
      </w:pPr>
      <w:r>
        <w:rPr>
          <w:rFonts w:ascii="Arial" w:cs="Arial" w:eastAsia="Arial" w:hAnsi="Arial"/>
          <w:sz w:val="16"/>
          <w:szCs w:val="16"/>
          <w:color w:val="auto"/>
        </w:rPr>
        <w:t>The administration of such Awards to the extent required to comply with Rule 16b-3 or such exception.</w:t>
      </w:r>
    </w:p>
    <w:p>
      <w:pPr>
        <w:spacing w:after="0" w:line="126" w:lineRule="exact"/>
        <w:rPr>
          <w:rFonts w:ascii="Arial" w:cs="Arial" w:eastAsia="Arial" w:hAnsi="Arial"/>
          <w:sz w:val="16"/>
          <w:szCs w:val="16"/>
          <w:color w:val="auto"/>
        </w:rPr>
      </w:pPr>
    </w:p>
    <w:p>
      <w:pPr>
        <w:jc w:val="both"/>
        <w:ind w:left="980" w:hanging="432"/>
        <w:spacing w:after="0" w:line="266" w:lineRule="auto"/>
        <w:tabs>
          <w:tab w:leader="none" w:pos="98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Any determination, decision or action of the Committee in connection with the construction, interpretation, administration, or application of the Plan shall be final, conclusive and binding upon all persons participating in the Plan and any person validly claiming under or through persons participating in the Plan.</w:t>
      </w:r>
    </w:p>
    <w:p>
      <w:pPr>
        <w:spacing w:after="0" w:line="76" w:lineRule="exact"/>
        <w:rPr>
          <w:rFonts w:ascii="Arial" w:cs="Arial" w:eastAsia="Arial" w:hAnsi="Arial"/>
          <w:sz w:val="16"/>
          <w:szCs w:val="16"/>
          <w:color w:val="auto"/>
        </w:rPr>
      </w:pPr>
    </w:p>
    <w:p>
      <w:pPr>
        <w:ind w:left="540" w:hanging="424"/>
        <w:spacing w:after="0" w:line="286" w:lineRule="auto"/>
        <w:tabs>
          <w:tab w:leader="none" w:pos="540"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Liability of Committee Members</w:t>
      </w:r>
      <w:r>
        <w:rPr>
          <w:rFonts w:ascii="Arial" w:cs="Arial" w:eastAsia="Arial" w:hAnsi="Arial"/>
          <w:sz w:val="16"/>
          <w:szCs w:val="16"/>
          <w:color w:val="auto"/>
        </w:rPr>
        <w:t>. No member of the Board or the Committee shall be liable for any action or determination made in good faith by the Board or the Committee with respect to the Plan or any Award under it.</w:t>
      </w:r>
    </w:p>
    <w:p>
      <w:pPr>
        <w:spacing w:after="0" w:line="61" w:lineRule="exact"/>
        <w:rPr>
          <w:rFonts w:ascii="Arial" w:cs="Arial" w:eastAsia="Arial" w:hAnsi="Arial"/>
          <w:sz w:val="16"/>
          <w:szCs w:val="16"/>
          <w:color w:val="auto"/>
        </w:rPr>
      </w:pPr>
    </w:p>
    <w:p>
      <w:pPr>
        <w:ind w:left="540" w:right="120" w:hanging="424"/>
        <w:spacing w:after="0" w:line="259" w:lineRule="auto"/>
        <w:tabs>
          <w:tab w:leader="none" w:pos="540"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Administration of the Plan Following a Change in Control</w:t>
      </w:r>
      <w:r>
        <w:rPr>
          <w:rFonts w:ascii="Arial" w:cs="Arial" w:eastAsia="Arial" w:hAnsi="Arial"/>
          <w:sz w:val="16"/>
          <w:szCs w:val="16"/>
          <w:color w:val="auto"/>
        </w:rPr>
        <w:t>. Within thirty (30) days after the occurrence of a Change in Control, the Committee shall appoint an independent organization which shall, except to the extent inconsistent with applicable law or exchange listing requirements, thereafter administer the Plan and have all of the powers and duties formerly held and exercised by the Committee with respect to the Plan as provided in Section III.(c). Upon such appointment, the Committee shall cease to have any responsibility with respect to the administration of the Plan.</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 xml:space="preserve">SECTION IV. </w:t>
      </w:r>
      <w:r>
        <w:rPr>
          <w:rFonts w:ascii="Arial" w:cs="Arial" w:eastAsia="Arial" w:hAnsi="Arial"/>
          <w:sz w:val="22"/>
          <w:szCs w:val="22"/>
          <w:b w:val="1"/>
          <w:bCs w:val="1"/>
          <w:u w:val="single" w:color="auto"/>
          <w:color w:val="0B2D71"/>
        </w:rPr>
        <w:t>DURATION OF THE PLAN</w:t>
      </w:r>
      <w:r>
        <w:rPr>
          <w:rFonts w:ascii="Arial" w:cs="Arial" w:eastAsia="Arial" w:hAnsi="Arial"/>
          <w:sz w:val="22"/>
          <w:szCs w:val="22"/>
          <w:b w:val="1"/>
          <w:bCs w:val="1"/>
          <w:color w:val="0B2D71"/>
        </w:rPr>
        <w:t>.</w:t>
      </w:r>
    </w:p>
    <w:p>
      <w:pPr>
        <w:spacing w:after="0" w:line="111" w:lineRule="exact"/>
        <w:rPr>
          <w:sz w:val="20"/>
          <w:szCs w:val="20"/>
          <w:color w:val="auto"/>
        </w:rPr>
      </w:pPr>
    </w:p>
    <w:p>
      <w:pPr>
        <w:ind w:left="120" w:right="880"/>
        <w:spacing w:after="0" w:line="196" w:lineRule="auto"/>
        <w:rPr>
          <w:sz w:val="20"/>
          <w:szCs w:val="20"/>
          <w:color w:val="auto"/>
        </w:rPr>
      </w:pPr>
      <w:r>
        <w:rPr>
          <w:rFonts w:ascii="Arial" w:cs="Arial" w:eastAsia="Arial" w:hAnsi="Arial"/>
          <w:sz w:val="16"/>
          <w:szCs w:val="16"/>
          <w:color w:val="auto"/>
        </w:rPr>
        <w:t>The Plan shall terminate on the earlier of the date it is terminated by the Board or the tenth (10</w:t>
      </w:r>
      <w:r>
        <w:rPr>
          <w:rFonts w:ascii="Arial" w:cs="Arial" w:eastAsia="Arial" w:hAnsi="Arial"/>
          <w:sz w:val="27"/>
          <w:szCs w:val="27"/>
          <w:color w:val="auto"/>
          <w:vertAlign w:val="superscript"/>
        </w:rPr>
        <w:t>th</w:t>
      </w:r>
      <w:r>
        <w:rPr>
          <w:rFonts w:ascii="Arial" w:cs="Arial" w:eastAsia="Arial" w:hAnsi="Arial"/>
          <w:sz w:val="16"/>
          <w:szCs w:val="16"/>
          <w:color w:val="auto"/>
        </w:rPr>
        <w:t>) anniversary of the date it is approved by the stockholders of the Corporation at the 2022 annual meeting of stockholders.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 xml:space="preserve">SECTION V. </w:t>
      </w:r>
      <w:r>
        <w:rPr>
          <w:rFonts w:ascii="Arial" w:cs="Arial" w:eastAsia="Arial" w:hAnsi="Arial"/>
          <w:sz w:val="22"/>
          <w:szCs w:val="22"/>
          <w:b w:val="1"/>
          <w:bCs w:val="1"/>
          <w:u w:val="single" w:color="auto"/>
          <w:color w:val="0B2D71"/>
        </w:rPr>
        <w:t>SHARES SUBJECT TO THE PLAN</w:t>
      </w:r>
      <w:r>
        <w:rPr>
          <w:rFonts w:ascii="Arial" w:cs="Arial" w:eastAsia="Arial" w:hAnsi="Arial"/>
          <w:sz w:val="22"/>
          <w:szCs w:val="22"/>
          <w:b w:val="1"/>
          <w:bCs w:val="1"/>
          <w:color w:val="0B2D71"/>
        </w:rPr>
        <w:t>.</w:t>
      </w:r>
    </w:p>
    <w:p>
      <w:pPr>
        <w:spacing w:after="0" w:line="126" w:lineRule="exact"/>
        <w:rPr>
          <w:sz w:val="20"/>
          <w:szCs w:val="20"/>
          <w:color w:val="auto"/>
        </w:rPr>
      </w:pPr>
    </w:p>
    <w:p>
      <w:pPr>
        <w:jc w:val="both"/>
        <w:ind w:left="540" w:right="220" w:hanging="424"/>
        <w:spacing w:after="0" w:line="266" w:lineRule="auto"/>
        <w:tabs>
          <w:tab w:leader="none" w:pos="540"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Maximum Number of Shares</w:t>
      </w:r>
      <w:r>
        <w:rPr>
          <w:rFonts w:ascii="Arial" w:cs="Arial" w:eastAsia="Arial" w:hAnsi="Arial"/>
          <w:sz w:val="16"/>
          <w:szCs w:val="16"/>
          <w:color w:val="auto"/>
        </w:rPr>
        <w:t>. The maximum number of Shares authorized for issuance under the Plan, as adjusted as provided in Section XII, is one hundred and four million (104,000,000) Shares, plus any shares subject to outstanding awards under the Prior Plan that, on or after May 25, 2022, cease for any reason to be subject to such awards (other</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A-5</w:t>
      </w:r>
    </w:p>
    <w:p>
      <w:pPr>
        <w:sectPr>
          <w:pgSz w:w="11900" w:h="16838" w:orient="portrait"/>
          <w:cols w:equalWidth="0" w:num="1">
            <w:col w:w="11100"/>
          </w:cols>
          <w:pgMar w:left="320" w:top="455" w:right="47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5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shd w:val="clear" w:color="auto" w:fill="0B2D71"/>
        </w:rPr>
        <w:t>2022 Long-term Incentive Plan of Chevron Corporation</w:t>
      </w:r>
    </w:p>
    <w:p>
      <w:pPr>
        <w:spacing w:after="0" w:line="172" w:lineRule="exact"/>
        <w:rPr>
          <w:sz w:val="20"/>
          <w:szCs w:val="20"/>
          <w:color w:val="auto"/>
        </w:rPr>
      </w:pPr>
    </w:p>
    <w:p>
      <w:pPr>
        <w:ind w:left="540" w:right="120"/>
        <w:spacing w:after="0" w:line="259" w:lineRule="auto"/>
        <w:rPr>
          <w:sz w:val="20"/>
          <w:szCs w:val="20"/>
          <w:color w:val="auto"/>
        </w:rPr>
      </w:pPr>
      <w:r>
        <w:rPr>
          <w:rFonts w:ascii="Arial" w:cs="Arial" w:eastAsia="Arial" w:hAnsi="Arial"/>
          <w:sz w:val="16"/>
          <w:szCs w:val="16"/>
          <w:color w:val="auto"/>
        </w:rPr>
        <w:t>than by reason of exercise or settlement of the awards to the extent they are exercised for or settled in vested and nonforfeitable shares), reduced by the number of shares subject to awards granted under the Prior Plan after February 28, 2022. The maximum number of Shares which may be issued under the Plan subject to Full Value Awards shall be forty eight million (48,000,000) Shares. The limitations set forth in this Section V.(a) have been adjusted and shall be subject to adjustment as provided in Section XII.</w:t>
      </w:r>
    </w:p>
    <w:p>
      <w:pPr>
        <w:spacing w:after="0" w:line="83" w:lineRule="exact"/>
        <w:rPr>
          <w:sz w:val="20"/>
          <w:szCs w:val="20"/>
          <w:color w:val="auto"/>
        </w:rPr>
      </w:pPr>
    </w:p>
    <w:p>
      <w:pPr>
        <w:ind w:left="540" w:hanging="424"/>
        <w:spacing w:after="0"/>
        <w:tabs>
          <w:tab w:leader="none" w:pos="540"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Accounting for Number of Shares</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left="980" w:hanging="432"/>
        <w:spacing w:after="0"/>
        <w:tabs>
          <w:tab w:leader="none" w:pos="98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Shares covered by an Award shall be counted against the limit set forth in Section V.(a) at the time the Award is granted;</w:t>
      </w:r>
    </w:p>
    <w:p>
      <w:pPr>
        <w:spacing w:after="0" w:line="126" w:lineRule="exact"/>
        <w:rPr>
          <w:rFonts w:ascii="Arial" w:cs="Arial" w:eastAsia="Arial" w:hAnsi="Arial"/>
          <w:sz w:val="16"/>
          <w:szCs w:val="16"/>
          <w:color w:val="auto"/>
        </w:rPr>
      </w:pPr>
    </w:p>
    <w:p>
      <w:pPr>
        <w:ind w:left="980" w:right="320" w:hanging="432"/>
        <w:spacing w:after="0" w:line="286" w:lineRule="auto"/>
        <w:tabs>
          <w:tab w:leader="none" w:pos="98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Any Shares related to Awards which terminate by expiration, forfeiture, or cancellation without the issuance of such Shares, cash or other benefit in lieu of Shares shall be available again for grant under the Plan;</w:t>
      </w:r>
    </w:p>
    <w:p>
      <w:pPr>
        <w:spacing w:after="0" w:line="61" w:lineRule="exact"/>
        <w:rPr>
          <w:rFonts w:ascii="Arial" w:cs="Arial" w:eastAsia="Arial" w:hAnsi="Arial"/>
          <w:sz w:val="16"/>
          <w:szCs w:val="16"/>
          <w:color w:val="auto"/>
        </w:rPr>
      </w:pPr>
    </w:p>
    <w:p>
      <w:pPr>
        <w:ind w:left="980" w:right="260" w:hanging="432"/>
        <w:spacing w:after="0" w:line="286" w:lineRule="auto"/>
        <w:tabs>
          <w:tab w:leader="none" w:pos="98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The maximum number of Shares available for issuance under the Plan under Section V.(a) shall not be reduced to reflect any dividends or Dividend Equivalents that are reinvested into additional Shares or credited with respect to any Award outstanding under the Plan;</w:t>
      </w:r>
    </w:p>
    <w:p>
      <w:pPr>
        <w:spacing w:after="0" w:line="61" w:lineRule="exact"/>
        <w:rPr>
          <w:rFonts w:ascii="Arial" w:cs="Arial" w:eastAsia="Arial" w:hAnsi="Arial"/>
          <w:sz w:val="16"/>
          <w:szCs w:val="16"/>
          <w:color w:val="auto"/>
        </w:rPr>
      </w:pPr>
    </w:p>
    <w:p>
      <w:pPr>
        <w:ind w:left="980" w:right="420" w:hanging="432"/>
        <w:spacing w:after="0" w:line="286" w:lineRule="auto"/>
        <w:tabs>
          <w:tab w:leader="none" w:pos="98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Notwithstanding the Section V.(b)(1), (2) and (3), Awards specified in the grant agreements that will be paid in cash shall not be counted against the limit set forth in Section V(a).</w:t>
      </w:r>
    </w:p>
    <w:p>
      <w:pPr>
        <w:spacing w:after="0" w:line="61" w:lineRule="exact"/>
        <w:rPr>
          <w:rFonts w:ascii="Arial" w:cs="Arial" w:eastAsia="Arial" w:hAnsi="Arial"/>
          <w:sz w:val="16"/>
          <w:szCs w:val="16"/>
          <w:color w:val="auto"/>
        </w:rPr>
      </w:pPr>
    </w:p>
    <w:p>
      <w:pPr>
        <w:ind w:left="980" w:hanging="432"/>
        <w:spacing w:after="0"/>
        <w:tabs>
          <w:tab w:leader="none" w:pos="98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The following Shares shall not become available for issuance under the Plan:</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2"/>
          <w:numId w:val="172"/>
        </w:numPr>
        <w:rPr>
          <w:rFonts w:ascii="Arial" w:cs="Arial" w:eastAsia="Arial" w:hAnsi="Arial"/>
          <w:sz w:val="16"/>
          <w:szCs w:val="16"/>
          <w:color w:val="auto"/>
        </w:rPr>
      </w:pPr>
      <w:r>
        <w:rPr>
          <w:rFonts w:ascii="Arial" w:cs="Arial" w:eastAsia="Arial" w:hAnsi="Arial"/>
          <w:sz w:val="16"/>
          <w:szCs w:val="16"/>
          <w:color w:val="auto"/>
        </w:rPr>
        <w:t>Shares tendered by Participants as full or partial payment to the Company upon exercise of Options granted under this Plan;</w:t>
      </w:r>
    </w:p>
    <w:p>
      <w:pPr>
        <w:spacing w:after="0" w:line="126" w:lineRule="exact"/>
        <w:rPr>
          <w:rFonts w:ascii="Arial" w:cs="Arial" w:eastAsia="Arial" w:hAnsi="Arial"/>
          <w:sz w:val="16"/>
          <w:szCs w:val="16"/>
          <w:color w:val="auto"/>
        </w:rPr>
      </w:pPr>
    </w:p>
    <w:p>
      <w:pPr>
        <w:ind w:left="1420" w:right="20" w:hanging="427"/>
        <w:spacing w:after="0" w:line="286" w:lineRule="auto"/>
        <w:tabs>
          <w:tab w:leader="none" w:pos="1420" w:val="left"/>
        </w:tabs>
        <w:numPr>
          <w:ilvl w:val="2"/>
          <w:numId w:val="172"/>
        </w:numPr>
        <w:rPr>
          <w:rFonts w:ascii="Arial" w:cs="Arial" w:eastAsia="Arial" w:hAnsi="Arial"/>
          <w:sz w:val="16"/>
          <w:szCs w:val="16"/>
          <w:color w:val="auto"/>
        </w:rPr>
      </w:pPr>
      <w:r>
        <w:rPr>
          <w:rFonts w:ascii="Arial" w:cs="Arial" w:eastAsia="Arial" w:hAnsi="Arial"/>
          <w:sz w:val="16"/>
          <w:szCs w:val="16"/>
          <w:color w:val="auto"/>
        </w:rPr>
        <w:t>Shares reserved for issuance upon grant of SARs, to the extent the number of reserved Shares exceeds the number of Shares actually issued upon exercise of the SARs; and</w:t>
      </w:r>
    </w:p>
    <w:p>
      <w:pPr>
        <w:spacing w:after="0" w:line="61" w:lineRule="exact"/>
        <w:rPr>
          <w:rFonts w:ascii="Arial" w:cs="Arial" w:eastAsia="Arial" w:hAnsi="Arial"/>
          <w:sz w:val="16"/>
          <w:szCs w:val="16"/>
          <w:color w:val="auto"/>
        </w:rPr>
      </w:pPr>
    </w:p>
    <w:p>
      <w:pPr>
        <w:ind w:left="1420" w:right="200" w:hanging="427"/>
        <w:spacing w:after="0" w:line="266" w:lineRule="auto"/>
        <w:tabs>
          <w:tab w:leader="none" w:pos="1420" w:val="left"/>
        </w:tabs>
        <w:numPr>
          <w:ilvl w:val="2"/>
          <w:numId w:val="172"/>
        </w:numPr>
        <w:rPr>
          <w:rFonts w:ascii="Arial" w:cs="Arial" w:eastAsia="Arial" w:hAnsi="Arial"/>
          <w:sz w:val="16"/>
          <w:szCs w:val="16"/>
          <w:color w:val="auto"/>
        </w:rPr>
      </w:pPr>
      <w:r>
        <w:rPr>
          <w:rFonts w:ascii="Arial" w:cs="Arial" w:eastAsia="Arial" w:hAnsi="Arial"/>
          <w:sz w:val="16"/>
          <w:szCs w:val="16"/>
          <w:color w:val="auto"/>
        </w:rPr>
        <w:t>Shares withheld by, or otherwise remitted to, the Company to satisfy a Participant’s tax withholding obligations upon the lapse of restrictions on Restricted Stock or the exercise of Options or SARs granted under the Plan or upon any other payment or issuance of Shares under the Plan.</w:t>
      </w:r>
    </w:p>
    <w:p>
      <w:pPr>
        <w:spacing w:after="0" w:line="76" w:lineRule="exact"/>
        <w:rPr>
          <w:rFonts w:ascii="Arial" w:cs="Arial" w:eastAsia="Arial" w:hAnsi="Arial"/>
          <w:sz w:val="16"/>
          <w:szCs w:val="16"/>
          <w:color w:val="auto"/>
        </w:rPr>
      </w:pPr>
    </w:p>
    <w:p>
      <w:pPr>
        <w:ind w:left="540" w:hanging="424"/>
        <w:spacing w:after="0" w:line="266" w:lineRule="auto"/>
        <w:tabs>
          <w:tab w:leader="none" w:pos="540"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Source of Stock Issued Under the Plan</w:t>
      </w:r>
      <w:r>
        <w:rPr>
          <w:rFonts w:ascii="Arial" w:cs="Arial" w:eastAsia="Arial" w:hAnsi="Arial"/>
          <w:sz w:val="16"/>
          <w:szCs w:val="16"/>
          <w:color w:val="auto"/>
        </w:rPr>
        <w:t>. Common Stock issued under the Plan may be either authorized and unissued Shares or issued Shares that have been reacquired by the Corporation, as determined in the sole discretion of the Committee. No fractional Shares of Common Stock shall be issued under the Plan.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 xml:space="preserve">SECTION VI. </w:t>
      </w:r>
      <w:r>
        <w:rPr>
          <w:rFonts w:ascii="Arial" w:cs="Arial" w:eastAsia="Arial" w:hAnsi="Arial"/>
          <w:sz w:val="22"/>
          <w:szCs w:val="22"/>
          <w:b w:val="1"/>
          <w:bCs w:val="1"/>
          <w:u w:val="single" w:color="auto"/>
          <w:color w:val="0B2D71"/>
        </w:rPr>
        <w:t>PERSONS ELIGIBLE FOR AWARDS</w:t>
      </w:r>
      <w:r>
        <w:rPr>
          <w:rFonts w:ascii="Arial" w:cs="Arial" w:eastAsia="Arial" w:hAnsi="Arial"/>
          <w:sz w:val="22"/>
          <w:szCs w:val="22"/>
          <w:b w:val="1"/>
          <w:bCs w:val="1"/>
          <w:color w:val="0B2D71"/>
        </w:rPr>
        <w:t>.</w:t>
      </w:r>
    </w:p>
    <w:p>
      <w:pPr>
        <w:spacing w:after="0" w:line="112"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Grant Eligible Employees (including officers, whether or not they are directors) are eligible to receive Awards under the Plan within the sole discretion of the Committee. In its sole discretion, the Committee may award a Grant Eligible Employee more than one Award, including Awards of the same type.</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 xml:space="preserve">SECTION VII. </w:t>
      </w:r>
      <w:r>
        <w:rPr>
          <w:rFonts w:ascii="Arial" w:cs="Arial" w:eastAsia="Arial" w:hAnsi="Arial"/>
          <w:sz w:val="22"/>
          <w:szCs w:val="22"/>
          <w:b w:val="1"/>
          <w:bCs w:val="1"/>
          <w:u w:val="single" w:color="auto"/>
          <w:color w:val="0B2D71"/>
        </w:rPr>
        <w:t>AGGREGATE LIMITS ON AWARDS</w:t>
      </w:r>
      <w:r>
        <w:rPr>
          <w:rFonts w:ascii="Arial" w:cs="Arial" w:eastAsia="Arial" w:hAnsi="Arial"/>
          <w:sz w:val="22"/>
          <w:szCs w:val="22"/>
          <w:b w:val="1"/>
          <w:bCs w:val="1"/>
          <w:color w:val="0B2D71"/>
        </w:rPr>
        <w:t>.</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aggregate limits shall apply to grants of Awards under the Plan:</w:t>
      </w:r>
    </w:p>
    <w:p>
      <w:pPr>
        <w:spacing w:after="0" w:line="127" w:lineRule="exact"/>
        <w:rPr>
          <w:sz w:val="20"/>
          <w:szCs w:val="20"/>
          <w:color w:val="auto"/>
        </w:rPr>
      </w:pPr>
    </w:p>
    <w:p>
      <w:pPr>
        <w:ind w:left="540" w:right="40" w:hanging="424"/>
        <w:spacing w:after="0" w:line="266" w:lineRule="auto"/>
        <w:tabs>
          <w:tab w:leader="none" w:pos="540"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Stock Options, Stock Appreciation Rights, Restricted Stock and Other Share-Based Awards</w:t>
      </w:r>
      <w:r>
        <w:rPr>
          <w:rFonts w:ascii="Arial" w:cs="Arial" w:eastAsia="Arial" w:hAnsi="Arial"/>
          <w:sz w:val="16"/>
          <w:szCs w:val="16"/>
          <w:color w:val="auto"/>
        </w:rPr>
        <w:t>. The aggregate number of Shares that may be granted in the form of Stock Options, Stock Appreciation Rights, Restricted Stock and/or Other Share-Based Awards in any one calendar year to any Participant shall not exceed four million (4,000,000) Shares. This limitation shall be subject to adjustment as provided in Section XII.</w:t>
      </w:r>
    </w:p>
    <w:p>
      <w:pPr>
        <w:spacing w:after="0" w:line="76" w:lineRule="exact"/>
        <w:rPr>
          <w:rFonts w:ascii="Arial" w:cs="Arial" w:eastAsia="Arial" w:hAnsi="Arial"/>
          <w:sz w:val="16"/>
          <w:szCs w:val="16"/>
          <w:color w:val="auto"/>
        </w:rPr>
      </w:pPr>
    </w:p>
    <w:p>
      <w:pPr>
        <w:jc w:val="both"/>
        <w:ind w:left="540" w:right="260" w:hanging="424"/>
        <w:spacing w:after="0" w:line="266" w:lineRule="auto"/>
        <w:tabs>
          <w:tab w:leader="none" w:pos="540"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Non-stock Awards</w:t>
      </w:r>
      <w:r>
        <w:rPr>
          <w:rFonts w:ascii="Arial" w:cs="Arial" w:eastAsia="Arial" w:hAnsi="Arial"/>
          <w:sz w:val="16"/>
          <w:szCs w:val="16"/>
          <w:color w:val="auto"/>
        </w:rPr>
        <w:t>. The value of all Non-Stock Awards granted in any single calendar year to any Participant shall not exceed four million dollars ($4,000,000). For this purpose, the value of a Non-Stock Award shall be determined on the grant date at maximum payout without regard to any conditions imposed on the Non-Stock Award.</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 xml:space="preserve">SECTION VIII. </w:t>
      </w:r>
      <w:r>
        <w:rPr>
          <w:rFonts w:ascii="Arial" w:cs="Arial" w:eastAsia="Arial" w:hAnsi="Arial"/>
          <w:sz w:val="22"/>
          <w:szCs w:val="22"/>
          <w:b w:val="1"/>
          <w:bCs w:val="1"/>
          <w:u w:val="single" w:color="auto"/>
          <w:color w:val="0B2D71"/>
        </w:rPr>
        <w:t>STOCK OPTIONS</w:t>
      </w:r>
      <w:r>
        <w:rPr>
          <w:rFonts w:ascii="Arial" w:cs="Arial" w:eastAsia="Arial" w:hAnsi="Arial"/>
          <w:sz w:val="22"/>
          <w:szCs w:val="22"/>
          <w:b w:val="1"/>
          <w:bCs w:val="1"/>
          <w:color w:val="0B2D71"/>
        </w:rPr>
        <w:t>.</w:t>
      </w:r>
    </w:p>
    <w:p>
      <w:pPr>
        <w:spacing w:after="0" w:line="126" w:lineRule="exact"/>
        <w:rPr>
          <w:sz w:val="20"/>
          <w:szCs w:val="20"/>
          <w:color w:val="auto"/>
        </w:rPr>
      </w:pPr>
    </w:p>
    <w:p>
      <w:pPr>
        <w:ind w:left="540" w:right="140" w:hanging="424"/>
        <w:spacing w:after="0" w:line="266" w:lineRule="auto"/>
        <w:tabs>
          <w:tab w:leader="none" w:pos="540"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Limitation to Non-Statutory Stock Options</w:t>
      </w:r>
      <w:r>
        <w:rPr>
          <w:rFonts w:ascii="Arial" w:cs="Arial" w:eastAsia="Arial" w:hAnsi="Arial"/>
          <w:sz w:val="16"/>
          <w:szCs w:val="16"/>
          <w:color w:val="auto"/>
        </w:rPr>
        <w:t>. All Stock Options granted under the Plan shall be in the form of non-statutory stock options, i.e. options that are not incentive stock options within the meaning of Section 422 of the Code. All Stock Options shall be subject to the following terms and conditions and shall contain such additional terms and conditions as the Committee shall determine in its sole discretion.</w:t>
      </w:r>
    </w:p>
    <w:p>
      <w:pPr>
        <w:spacing w:after="0" w:line="76" w:lineRule="exact"/>
        <w:rPr>
          <w:rFonts w:ascii="Arial" w:cs="Arial" w:eastAsia="Arial" w:hAnsi="Arial"/>
          <w:sz w:val="16"/>
          <w:szCs w:val="16"/>
          <w:color w:val="auto"/>
        </w:rPr>
      </w:pPr>
    </w:p>
    <w:p>
      <w:pPr>
        <w:jc w:val="both"/>
        <w:ind w:left="540" w:right="40" w:hanging="424"/>
        <w:spacing w:after="0" w:line="266" w:lineRule="auto"/>
        <w:tabs>
          <w:tab w:leader="none" w:pos="540"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Awards of Stock Options</w:t>
      </w:r>
      <w:r>
        <w:rPr>
          <w:rFonts w:ascii="Arial" w:cs="Arial" w:eastAsia="Arial" w:hAnsi="Arial"/>
          <w:sz w:val="16"/>
          <w:szCs w:val="16"/>
          <w:color w:val="auto"/>
        </w:rPr>
        <w:t>. The Committee shall have authority in its sole discretion to determine the Grant Eligible Employees to whom and the time or times at which grants of Stock Options shall be made. The terms of each Stock Option shall be set forth in a Stock Option Agreement, including, without limitation, restrictions upon the exercise of</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A-6</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208280</wp:posOffset>
            </wp:positionV>
            <wp:extent cx="2503170" cy="1454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503170" cy="145415"/>
                    </a:xfrm>
                    <a:prstGeom prst="rect">
                      <a:avLst/>
                    </a:prstGeom>
                    <a:noFill/>
                  </pic:spPr>
                </pic:pic>
              </a:graphicData>
            </a:graphic>
          </wp:anchor>
        </w:drawing>
      </w:r>
    </w:p>
    <w:p>
      <w:pPr>
        <w:spacing w:after="0" w:line="339"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FFFFFF"/>
        </w:rPr>
        <w:t>2022 Long-term Incentive Plan of Chevron Corporation</w:t>
      </w:r>
    </w:p>
    <w:p>
      <w:pPr>
        <w:spacing w:after="0" w:line="172" w:lineRule="exact"/>
        <w:rPr>
          <w:sz w:val="20"/>
          <w:szCs w:val="20"/>
          <w:color w:val="auto"/>
        </w:rPr>
      </w:pPr>
    </w:p>
    <w:p>
      <w:pPr>
        <w:ind w:left="540" w:right="100"/>
        <w:spacing w:after="0" w:line="286" w:lineRule="auto"/>
        <w:rPr>
          <w:sz w:val="20"/>
          <w:szCs w:val="20"/>
          <w:color w:val="auto"/>
        </w:rPr>
      </w:pPr>
      <w:r>
        <w:rPr>
          <w:rFonts w:ascii="Arial" w:cs="Arial" w:eastAsia="Arial" w:hAnsi="Arial"/>
          <w:sz w:val="16"/>
          <w:szCs w:val="16"/>
          <w:color w:val="auto"/>
        </w:rPr>
        <w:t>the Stock Option or restrictions on the transferability of Shares issued upon the exercise of a Stock Option, as the Committee shall determine in its sole discretion. Stock Options may be granted alone, in addition to, or in tandem with other Awards under the Plan.</w:t>
      </w:r>
    </w:p>
    <w:p>
      <w:pPr>
        <w:spacing w:after="0" w:line="61" w:lineRule="exact"/>
        <w:rPr>
          <w:sz w:val="20"/>
          <w:szCs w:val="20"/>
          <w:color w:val="auto"/>
        </w:rPr>
      </w:pPr>
    </w:p>
    <w:p>
      <w:pPr>
        <w:ind w:left="540" w:hanging="424"/>
        <w:spacing w:after="0" w:line="266" w:lineRule="auto"/>
        <w:tabs>
          <w:tab w:leader="none" w:pos="540"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 Each Stock Option Agreement shall state the number of Shares to which the Stock Option Agreement pertains and shall provide for the adjustment thereof in accordance with the provisions of Section XII. No fractional Shares shall be issued pursuant to the exercise of a Stock Option.</w:t>
      </w:r>
    </w:p>
    <w:p>
      <w:pPr>
        <w:spacing w:after="0" w:line="76" w:lineRule="exact"/>
        <w:rPr>
          <w:rFonts w:ascii="Arial" w:cs="Arial" w:eastAsia="Arial" w:hAnsi="Arial"/>
          <w:sz w:val="16"/>
          <w:szCs w:val="16"/>
          <w:color w:val="auto"/>
        </w:rPr>
      </w:pPr>
    </w:p>
    <w:p>
      <w:pPr>
        <w:ind w:left="540" w:hanging="424"/>
        <w:spacing w:after="0" w:line="253" w:lineRule="auto"/>
        <w:tabs>
          <w:tab w:leader="none" w:pos="540"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Each Stock Option Agreement shall state the exercise price per Share, which shall be determined by the Committee in its sole discretion; provided, however, that the exercise price shall never be less than one hundred percent (100%) of the Share’s Fair Market Value on the grant date. Notwithstanding the foregoing, the exercise price per Share with respect to a Stock Option that is granted in connection with a merger or other acquisition as a substitute or replacement award for options held by optionees of the acquired entity may be less than 100% of the Fair Market Value of the Shares on the date such Stock Option is granted if such exercise price is based on a formula set forth in the terms of the options held by such optionees or in the terms of the agreement providing for such merger or other acquisition that satisfies the requirements of Section 409A of the Code.</w:t>
      </w:r>
    </w:p>
    <w:p>
      <w:pPr>
        <w:spacing w:after="0" w:line="86" w:lineRule="exact"/>
        <w:rPr>
          <w:rFonts w:ascii="Arial" w:cs="Arial" w:eastAsia="Arial" w:hAnsi="Arial"/>
          <w:sz w:val="16"/>
          <w:szCs w:val="16"/>
          <w:color w:val="auto"/>
        </w:rPr>
      </w:pPr>
    </w:p>
    <w:p>
      <w:pPr>
        <w:ind w:left="540" w:right="60" w:hanging="424"/>
        <w:spacing w:after="0" w:line="266" w:lineRule="auto"/>
        <w:tabs>
          <w:tab w:leader="none" w:pos="540"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Method of Payment</w:t>
      </w:r>
      <w:r>
        <w:rPr>
          <w:rFonts w:ascii="Arial" w:cs="Arial" w:eastAsia="Arial" w:hAnsi="Arial"/>
          <w:sz w:val="16"/>
          <w:szCs w:val="16"/>
          <w:color w:val="auto"/>
        </w:rPr>
        <w:t>. A Stock Option may be exercised, in whole or in part, by giving notice of exercise in the manner prescribed by the Corporation specifying the number of Shares to be purchased. Such notice shall be accompanied by payment in full of the purchase price in cash or, if acceptable to the Committee in its sole discretion:</w:t>
      </w:r>
    </w:p>
    <w:p>
      <w:pPr>
        <w:spacing w:after="0" w:line="76" w:lineRule="exact"/>
        <w:rPr>
          <w:rFonts w:ascii="Arial" w:cs="Arial" w:eastAsia="Arial" w:hAnsi="Arial"/>
          <w:sz w:val="16"/>
          <w:szCs w:val="16"/>
          <w:color w:val="auto"/>
        </w:rPr>
      </w:pPr>
    </w:p>
    <w:p>
      <w:pPr>
        <w:ind w:left="980" w:hanging="432"/>
        <w:spacing w:after="0"/>
        <w:tabs>
          <w:tab w:leader="none" w:pos="98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In Shares already owned by the Participant (including, without limitation, by attestation to the ownership of such Shares);</w:t>
      </w:r>
    </w:p>
    <w:p>
      <w:pPr>
        <w:spacing w:after="0" w:line="126" w:lineRule="exact"/>
        <w:rPr>
          <w:rFonts w:ascii="Arial" w:cs="Arial" w:eastAsia="Arial" w:hAnsi="Arial"/>
          <w:sz w:val="16"/>
          <w:szCs w:val="16"/>
          <w:color w:val="auto"/>
        </w:rPr>
      </w:pPr>
    </w:p>
    <w:p>
      <w:pPr>
        <w:ind w:left="980" w:hanging="432"/>
        <w:spacing w:after="0"/>
        <w:tabs>
          <w:tab w:leader="none" w:pos="98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By the withholding and surrender of the Shares subject to the Stock Option;</w:t>
      </w:r>
    </w:p>
    <w:p>
      <w:pPr>
        <w:spacing w:after="0" w:line="126" w:lineRule="exact"/>
        <w:rPr>
          <w:rFonts w:ascii="Arial" w:cs="Arial" w:eastAsia="Arial" w:hAnsi="Arial"/>
          <w:sz w:val="16"/>
          <w:szCs w:val="16"/>
          <w:color w:val="auto"/>
        </w:rPr>
      </w:pPr>
    </w:p>
    <w:p>
      <w:pPr>
        <w:ind w:left="980" w:right="200" w:hanging="432"/>
        <w:spacing w:after="0" w:line="266" w:lineRule="auto"/>
        <w:tabs>
          <w:tab w:leader="none" w:pos="98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By delivery (on a form prescribed by the Committee) of an irrevocable direction to a securities broker approved by the Committee to sell Shares and to deliver all or part of the sales proceeds to the Corporation in payment of all or part of the purchase price and any withholding taxes; or</w:t>
      </w:r>
    </w:p>
    <w:p>
      <w:pPr>
        <w:spacing w:after="0" w:line="76" w:lineRule="exact"/>
        <w:rPr>
          <w:rFonts w:ascii="Arial" w:cs="Arial" w:eastAsia="Arial" w:hAnsi="Arial"/>
          <w:sz w:val="16"/>
          <w:szCs w:val="16"/>
          <w:color w:val="auto"/>
        </w:rPr>
      </w:pPr>
    </w:p>
    <w:p>
      <w:pPr>
        <w:ind w:left="980" w:hanging="432"/>
        <w:spacing w:after="0"/>
        <w:tabs>
          <w:tab w:leader="none" w:pos="98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In any other form acceptable to the Committee that is consistent with applicable law.</w:t>
      </w:r>
    </w:p>
    <w:p>
      <w:pPr>
        <w:spacing w:after="0" w:line="126" w:lineRule="exact"/>
        <w:rPr>
          <w:rFonts w:ascii="Arial" w:cs="Arial" w:eastAsia="Arial" w:hAnsi="Arial"/>
          <w:sz w:val="16"/>
          <w:szCs w:val="16"/>
          <w:color w:val="auto"/>
        </w:rPr>
      </w:pPr>
    </w:p>
    <w:p>
      <w:pPr>
        <w:ind w:left="540" w:hanging="424"/>
        <w:spacing w:after="0"/>
        <w:tabs>
          <w:tab w:leader="none" w:pos="540"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Term and Exercise of Stock Options; Non-Transferability of Stock Options</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left="980" w:right="260" w:hanging="432"/>
        <w:spacing w:after="0" w:line="266" w:lineRule="auto"/>
        <w:tabs>
          <w:tab w:leader="none" w:pos="98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Each Stock Option Agreement shall state the time or times when the Stock Options become exercisable and the time or times when any Stock Appreciation Right granted with it may be exercised, which shall be determined by the Committee in its sole discretion subject to the following:</w:t>
      </w:r>
    </w:p>
    <w:p>
      <w:pPr>
        <w:spacing w:after="0" w:line="76" w:lineRule="exact"/>
        <w:rPr>
          <w:rFonts w:ascii="Arial" w:cs="Arial" w:eastAsia="Arial" w:hAnsi="Arial"/>
          <w:sz w:val="16"/>
          <w:szCs w:val="16"/>
          <w:color w:val="auto"/>
        </w:rPr>
      </w:pPr>
    </w:p>
    <w:p>
      <w:pPr>
        <w:ind w:left="1420" w:right="40" w:hanging="427"/>
        <w:spacing w:after="0" w:line="256" w:lineRule="auto"/>
        <w:tabs>
          <w:tab w:leader="none" w:pos="1420" w:val="left"/>
        </w:tabs>
        <w:numPr>
          <w:ilvl w:val="2"/>
          <w:numId w:val="175"/>
        </w:numPr>
        <w:rPr>
          <w:rFonts w:ascii="Arial" w:cs="Arial" w:eastAsia="Arial" w:hAnsi="Arial"/>
          <w:sz w:val="16"/>
          <w:szCs w:val="16"/>
          <w:color w:val="auto"/>
        </w:rPr>
      </w:pPr>
      <w:r>
        <w:rPr>
          <w:rFonts w:ascii="Arial" w:cs="Arial" w:eastAsia="Arial" w:hAnsi="Arial"/>
          <w:sz w:val="16"/>
          <w:szCs w:val="16"/>
          <w:color w:val="auto"/>
        </w:rPr>
        <w:t>No Stock Option or Stock Appreciation Right shall be exercisable, vest, or be settled, in whole or in part, before the completion of a specified period of not less than one (1) year of continued employment with the Corporation after the date the Award is granted (except</w:t>
      </w:r>
    </w:p>
    <w:p>
      <w:pPr>
        <w:spacing w:after="0" w:line="1" w:lineRule="exact"/>
        <w:rPr>
          <w:rFonts w:ascii="Arial" w:cs="Arial" w:eastAsia="Arial" w:hAnsi="Arial"/>
          <w:sz w:val="16"/>
          <w:szCs w:val="16"/>
          <w:color w:val="auto"/>
        </w:rPr>
      </w:pPr>
    </w:p>
    <w:p>
      <w:pPr>
        <w:ind w:left="1420" w:right="100"/>
        <w:spacing w:after="0" w:line="250" w:lineRule="auto"/>
        <w:rPr>
          <w:rFonts w:ascii="Arial" w:cs="Arial" w:eastAsia="Arial" w:hAnsi="Arial"/>
          <w:sz w:val="16"/>
          <w:szCs w:val="16"/>
          <w:color w:val="auto"/>
        </w:rPr>
      </w:pPr>
      <w:r>
        <w:rPr>
          <w:rFonts w:ascii="Arial" w:cs="Arial" w:eastAsia="Arial" w:hAnsi="Arial"/>
          <w:sz w:val="16"/>
          <w:szCs w:val="16"/>
          <w:color w:val="auto"/>
        </w:rPr>
        <w:t>(i) with respect to a Stock Option or Stock Appreciation Right that is granted in connection with a merger or other acquisition as a substitute or replacement award for options or stock appreciation rights held by optionees of the acquired business, and (ii) upon a Change in Control where the Participant qualifies for severance pay under a Change in Control severance pay program maintained by the Corporation). Notwithstanding the foregoing, up to 5% of the aggregate number of Shares authorized for issuance under this Plan (as described in Section V.(a)) may be issued pursuant to Awards subject to any, or no, vesting conditions, as the Committee determines appropriate.</w:t>
      </w:r>
    </w:p>
    <w:p>
      <w:pPr>
        <w:spacing w:after="0" w:line="89" w:lineRule="exact"/>
        <w:rPr>
          <w:rFonts w:ascii="Arial" w:cs="Arial" w:eastAsia="Arial" w:hAnsi="Arial"/>
          <w:sz w:val="16"/>
          <w:szCs w:val="16"/>
          <w:color w:val="auto"/>
        </w:rPr>
      </w:pPr>
    </w:p>
    <w:p>
      <w:pPr>
        <w:ind w:left="1420" w:hanging="427"/>
        <w:spacing w:after="0"/>
        <w:tabs>
          <w:tab w:leader="none" w:pos="1420" w:val="left"/>
        </w:tabs>
        <w:numPr>
          <w:ilvl w:val="2"/>
          <w:numId w:val="175"/>
        </w:numPr>
        <w:rPr>
          <w:rFonts w:ascii="Arial" w:cs="Arial" w:eastAsia="Arial" w:hAnsi="Arial"/>
          <w:sz w:val="16"/>
          <w:szCs w:val="16"/>
          <w:color w:val="auto"/>
        </w:rPr>
      </w:pPr>
      <w:r>
        <w:rPr>
          <w:rFonts w:ascii="Arial" w:cs="Arial" w:eastAsia="Arial" w:hAnsi="Arial"/>
          <w:sz w:val="16"/>
          <w:szCs w:val="16"/>
          <w:color w:val="auto"/>
        </w:rPr>
        <w:t>No Stock Option shall be exercisable for more than ten (10) years from the date of grant.</w:t>
      </w:r>
    </w:p>
    <w:p>
      <w:pPr>
        <w:spacing w:after="0" w:line="126" w:lineRule="exact"/>
        <w:rPr>
          <w:rFonts w:ascii="Arial" w:cs="Arial" w:eastAsia="Arial" w:hAnsi="Arial"/>
          <w:sz w:val="16"/>
          <w:szCs w:val="16"/>
          <w:color w:val="auto"/>
        </w:rPr>
      </w:pPr>
    </w:p>
    <w:p>
      <w:pPr>
        <w:ind w:left="980" w:right="40" w:hanging="432"/>
        <w:spacing w:after="0" w:line="266" w:lineRule="auto"/>
        <w:tabs>
          <w:tab w:leader="none" w:pos="98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Except as determined by the Committee in its sole discretion, the Participant shall not be permitted to sell, transfer, pledge, assign or encumber Stock Options during the lifetime of the Optionee. Notwithstanding the foregoing, any Stock Option may be transferred or assigned after the Optionee’s death to his or her beneficiary designated pursuant to procedures adopted by the Committee.</w:t>
      </w:r>
    </w:p>
    <w:p>
      <w:pPr>
        <w:spacing w:after="0" w:line="76" w:lineRule="exact"/>
        <w:rPr>
          <w:rFonts w:ascii="Arial" w:cs="Arial" w:eastAsia="Arial" w:hAnsi="Arial"/>
          <w:sz w:val="16"/>
          <w:szCs w:val="16"/>
          <w:color w:val="auto"/>
        </w:rPr>
      </w:pPr>
    </w:p>
    <w:p>
      <w:pPr>
        <w:ind w:left="540" w:right="200" w:hanging="424"/>
        <w:spacing w:after="0" w:line="266" w:lineRule="auto"/>
        <w:tabs>
          <w:tab w:leader="none" w:pos="540"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The Rules and/or individual Stock Option Agreement shall set forth the extent to which the Optionee shall have the right to exercise the Stock Option following Termination. Such provisions shall be determined in the sole discretion of the Committee, need not be uniform among all Stock Options issued pursuant to the Plan, and may reflect distinctions based on the reasons for Termination.</w:t>
      </w:r>
    </w:p>
    <w:p>
      <w:pPr>
        <w:spacing w:after="0" w:line="76" w:lineRule="exact"/>
        <w:rPr>
          <w:rFonts w:ascii="Arial" w:cs="Arial" w:eastAsia="Arial" w:hAnsi="Arial"/>
          <w:sz w:val="16"/>
          <w:szCs w:val="16"/>
          <w:color w:val="auto"/>
        </w:rPr>
      </w:pPr>
    </w:p>
    <w:p>
      <w:pPr>
        <w:ind w:left="540" w:right="60" w:hanging="424"/>
        <w:spacing w:after="0" w:line="256" w:lineRule="auto"/>
        <w:tabs>
          <w:tab w:leader="none" w:pos="540"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An Optionee or a transferee of an Optionee shall have no rights as a stockholder with respect to any Shares covered by his or her Stock Option until the date such interest is recorded as a book entry on the records of the Corporation. No adjustment shall be made for dividends (ordinary or extraordinary, whether in cash, securities or other property) or distributions or other rights for which the record date is prior to the date such interest is recorded as a book entry in the records of the Corporation. Stock Options are subject to adjustment as provided in Section XII.</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A-7</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5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shd w:val="clear" w:color="auto" w:fill="0B2D71"/>
        </w:rPr>
        <w:t>2022 Long-term Incentive Plan of Chevron Corporation</w:t>
      </w:r>
    </w:p>
    <w:p>
      <w:pPr>
        <w:spacing w:after="0" w:line="172" w:lineRule="exact"/>
        <w:rPr>
          <w:sz w:val="20"/>
          <w:szCs w:val="20"/>
          <w:color w:val="auto"/>
        </w:rPr>
      </w:pPr>
    </w:p>
    <w:p>
      <w:pPr>
        <w:ind w:left="540" w:hanging="424"/>
        <w:spacing w:after="0" w:line="250" w:lineRule="auto"/>
        <w:tabs>
          <w:tab w:leader="none" w:pos="540"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Stock Appreciation Rights</w:t>
      </w:r>
      <w:r>
        <w:rPr>
          <w:rFonts w:ascii="Arial" w:cs="Arial" w:eastAsia="Arial" w:hAnsi="Arial"/>
          <w:sz w:val="16"/>
          <w:szCs w:val="16"/>
          <w:color w:val="auto"/>
        </w:rPr>
        <w:t>. In connection with the grant of any Stock Option pursuant to the Plan, the Committee, in its sole discretion, may also grant a Stock Appreciation Right pursuant to which the Optionee shall have the right to surrender all or part of the unexercised portion of such Stock Option, exercise the Stock Appreciation Right, and thereby obtain payment of an amount equal to (or less than, if the Committee shall so determine in its sole discretion at the time of grant) the difference obtained by subtracting the aggregate exercise price of the Shares subject to the Stock Option (or the portion thereof) so surrendered from the market price (as determined under the Rules) of such Shares on the date of such surrender. The exercise of such Stock Appreciation Right shall be subject to such limitations (including, but not limited to, limitations as to time and amount) as the Committee shall determine in its sole discretion. The payment for Stock Appreciation Rights may be made in Shares (determined with reference to its Fair Market Value on the date of exercise), or in cash, or partly in cash and in Shares, as determined in the sole discretion of the Committee. In the event of the exercise of a Stock Appreciation Right, the underlying Stock Option shall be deemed to have been exercised for all purposes under the Plan, including Section V. Stock Appreciation Rights are subject to adjustment as provided in Section XII. No Stock Appreciation Rights shall be exercisable for more than ten (10) years from the date of grant. The exercise price shall never be less than one hundred percent (100%) of the Share’s Fair Market Value on the grant date.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 xml:space="preserve">SECTION IX. </w:t>
      </w:r>
      <w:r>
        <w:rPr>
          <w:rFonts w:ascii="Arial" w:cs="Arial" w:eastAsia="Arial" w:hAnsi="Arial"/>
          <w:sz w:val="22"/>
          <w:szCs w:val="22"/>
          <w:b w:val="1"/>
          <w:bCs w:val="1"/>
          <w:u w:val="single" w:color="auto"/>
          <w:color w:val="0B2D71"/>
        </w:rPr>
        <w:t>RESTRICTED STOCK</w:t>
      </w:r>
      <w:r>
        <w:rPr>
          <w:rFonts w:ascii="Arial" w:cs="Arial" w:eastAsia="Arial" w:hAnsi="Arial"/>
          <w:sz w:val="22"/>
          <w:szCs w:val="22"/>
          <w:b w:val="1"/>
          <w:bCs w:val="1"/>
          <w:color w:val="0B2D71"/>
        </w:rPr>
        <w:t>.</w:t>
      </w:r>
    </w:p>
    <w:p>
      <w:pPr>
        <w:spacing w:after="0" w:line="126" w:lineRule="exact"/>
        <w:rPr>
          <w:sz w:val="20"/>
          <w:szCs w:val="20"/>
          <w:color w:val="auto"/>
        </w:rPr>
      </w:pPr>
    </w:p>
    <w:p>
      <w:pPr>
        <w:ind w:left="540" w:hanging="424"/>
        <w:spacing w:after="0" w:line="259" w:lineRule="auto"/>
        <w:tabs>
          <w:tab w:leader="none" w:pos="540"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Restricted Stock Awards</w:t>
      </w:r>
      <w:r>
        <w:rPr>
          <w:rFonts w:ascii="Arial" w:cs="Arial" w:eastAsia="Arial" w:hAnsi="Arial"/>
          <w:sz w:val="16"/>
          <w:szCs w:val="16"/>
          <w:color w:val="auto"/>
        </w:rPr>
        <w:t>. The Committee shall have authority in its sole discretion to determine the Grant Eligible Employees to whom, and the time or times at which, grants of Restricted Stock shall be made; the number of Shares of Restricted Stock to be awarded; the price (if any) to be paid by the recipient of Restricted Stock; the time or times within which such Awards may be subject to forfeiture; the time or times when restrictions shall lapse; and all other terms and conditions of the Awards.</w:t>
      </w:r>
    </w:p>
    <w:p>
      <w:pPr>
        <w:spacing w:after="0" w:line="83" w:lineRule="exact"/>
        <w:rPr>
          <w:rFonts w:ascii="Arial" w:cs="Arial" w:eastAsia="Arial" w:hAnsi="Arial"/>
          <w:sz w:val="16"/>
          <w:szCs w:val="16"/>
          <w:color w:val="auto"/>
        </w:rPr>
      </w:pPr>
    </w:p>
    <w:p>
      <w:pPr>
        <w:ind w:left="980" w:right="600" w:hanging="432"/>
        <w:spacing w:after="0" w:line="286" w:lineRule="auto"/>
        <w:tabs>
          <w:tab w:leader="none" w:pos="98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For any Restricted Stock Award, the Corporation shall receive consideration in an amount at least equal to any amount required to be received by the Corporation under Delaware law for the valid issuance of fully paid and non-assessable stock.</w:t>
      </w:r>
    </w:p>
    <w:p>
      <w:pPr>
        <w:spacing w:after="0" w:line="61" w:lineRule="exact"/>
        <w:rPr>
          <w:rFonts w:ascii="Arial" w:cs="Arial" w:eastAsia="Arial" w:hAnsi="Arial"/>
          <w:sz w:val="16"/>
          <w:szCs w:val="16"/>
          <w:color w:val="auto"/>
        </w:rPr>
      </w:pPr>
    </w:p>
    <w:p>
      <w:pPr>
        <w:ind w:left="980" w:right="500" w:hanging="432"/>
        <w:spacing w:after="0" w:line="286" w:lineRule="auto"/>
        <w:tabs>
          <w:tab w:leader="none" w:pos="98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The Committee may condition the grant of a Restricted Stock Award upon the attainment of specified Performance Goals or such other factors as the Committee may determine in its sole discretion.</w:t>
      </w:r>
    </w:p>
    <w:p>
      <w:pPr>
        <w:spacing w:after="0" w:line="61" w:lineRule="exact"/>
        <w:rPr>
          <w:rFonts w:ascii="Arial" w:cs="Arial" w:eastAsia="Arial" w:hAnsi="Arial"/>
          <w:sz w:val="16"/>
          <w:szCs w:val="16"/>
          <w:color w:val="auto"/>
        </w:rPr>
      </w:pPr>
    </w:p>
    <w:p>
      <w:pPr>
        <w:ind w:left="980" w:hanging="432"/>
        <w:spacing w:after="0"/>
        <w:tabs>
          <w:tab w:leader="none" w:pos="98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Restricted Stock Awards may be granted alone, in addition to, or in tandem with, other Awards under the Plan.</w:t>
      </w:r>
    </w:p>
    <w:p>
      <w:pPr>
        <w:spacing w:after="0" w:line="126" w:lineRule="exact"/>
        <w:rPr>
          <w:rFonts w:ascii="Arial" w:cs="Arial" w:eastAsia="Arial" w:hAnsi="Arial"/>
          <w:sz w:val="16"/>
          <w:szCs w:val="16"/>
          <w:color w:val="auto"/>
        </w:rPr>
      </w:pPr>
    </w:p>
    <w:p>
      <w:pPr>
        <w:ind w:left="980" w:right="340" w:hanging="432"/>
        <w:spacing w:after="0" w:line="286" w:lineRule="auto"/>
        <w:tabs>
          <w:tab w:leader="none" w:pos="98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Each Participant receiving a Restricted Stock Award shall have his or her interest in the Restricted Stock recorded as a book entry on the records of the Corporation, subject to adjustment as provided in Section XII.</w:t>
      </w:r>
    </w:p>
    <w:p>
      <w:pPr>
        <w:spacing w:after="0" w:line="61" w:lineRule="exact"/>
        <w:rPr>
          <w:rFonts w:ascii="Arial" w:cs="Arial" w:eastAsia="Arial" w:hAnsi="Arial"/>
          <w:sz w:val="16"/>
          <w:szCs w:val="16"/>
          <w:color w:val="auto"/>
        </w:rPr>
      </w:pPr>
    </w:p>
    <w:p>
      <w:pPr>
        <w:ind w:left="540" w:right="140" w:hanging="424"/>
        <w:spacing w:after="0" w:line="286" w:lineRule="auto"/>
        <w:tabs>
          <w:tab w:leader="none" w:pos="540"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Terms, Conditions, and Restrictions</w:t>
      </w:r>
      <w:r>
        <w:rPr>
          <w:rFonts w:ascii="Arial" w:cs="Arial" w:eastAsia="Arial" w:hAnsi="Arial"/>
          <w:sz w:val="16"/>
          <w:szCs w:val="16"/>
          <w:color w:val="auto"/>
        </w:rPr>
        <w:t>. The terms of each Restricted Stock Award shall be set forth within the sole discretion of the Committee in the Restricted Stock Agreement.</w:t>
      </w:r>
    </w:p>
    <w:p>
      <w:pPr>
        <w:spacing w:after="0" w:line="61" w:lineRule="exact"/>
        <w:rPr>
          <w:rFonts w:ascii="Arial" w:cs="Arial" w:eastAsia="Arial" w:hAnsi="Arial"/>
          <w:sz w:val="16"/>
          <w:szCs w:val="16"/>
          <w:color w:val="auto"/>
        </w:rPr>
      </w:pPr>
    </w:p>
    <w:p>
      <w:pPr>
        <w:ind w:left="980" w:hanging="432"/>
        <w:spacing w:after="0"/>
        <w:tabs>
          <w:tab w:leader="none" w:pos="98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The Committee shall specify the terms, conditions and restrictions (including any Performance Goal) applicable to Shares of Restricted Stock.</w:t>
      </w:r>
    </w:p>
    <w:p>
      <w:pPr>
        <w:spacing w:after="0" w:line="126" w:lineRule="exact"/>
        <w:rPr>
          <w:rFonts w:ascii="Arial" w:cs="Arial" w:eastAsia="Arial" w:hAnsi="Arial"/>
          <w:sz w:val="16"/>
          <w:szCs w:val="16"/>
          <w:color w:val="auto"/>
        </w:rPr>
      </w:pPr>
    </w:p>
    <w:p>
      <w:pPr>
        <w:ind w:left="980" w:right="20" w:hanging="432"/>
        <w:spacing w:after="0" w:line="259" w:lineRule="auto"/>
        <w:tabs>
          <w:tab w:leader="none" w:pos="98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These terms, conditions and restrictions must include continued employment with the Corporation for a specified period of time following the grant date, provided that they may also provide for the lapse of such restrictions upon Termination or taxation (other than through an election under Section 83(b) of the Code or similar provision) prior to the completion of a specified period or the attainment of designated performance objectives.</w:t>
      </w:r>
    </w:p>
    <w:p>
      <w:pPr>
        <w:spacing w:after="0" w:line="83" w:lineRule="exact"/>
        <w:rPr>
          <w:rFonts w:ascii="Arial" w:cs="Arial" w:eastAsia="Arial" w:hAnsi="Arial"/>
          <w:sz w:val="16"/>
          <w:szCs w:val="16"/>
          <w:color w:val="auto"/>
        </w:rPr>
      </w:pPr>
    </w:p>
    <w:p>
      <w:pPr>
        <w:ind w:left="1420" w:right="40" w:hanging="427"/>
        <w:spacing w:after="0" w:line="259" w:lineRule="auto"/>
        <w:tabs>
          <w:tab w:leader="none" w:pos="1420" w:val="left"/>
        </w:tabs>
        <w:numPr>
          <w:ilvl w:val="2"/>
          <w:numId w:val="177"/>
        </w:numPr>
        <w:rPr>
          <w:rFonts w:ascii="Arial" w:cs="Arial" w:eastAsia="Arial" w:hAnsi="Arial"/>
          <w:sz w:val="16"/>
          <w:szCs w:val="16"/>
          <w:color w:val="auto"/>
        </w:rPr>
      </w:pPr>
      <w:r>
        <w:rPr>
          <w:rFonts w:ascii="Arial" w:cs="Arial" w:eastAsia="Arial" w:hAnsi="Arial"/>
          <w:sz w:val="16"/>
          <w:szCs w:val="16"/>
          <w:color w:val="auto"/>
        </w:rPr>
        <w:t>With respect to the Restricted Stock during the Restriction Period; the Committee may provide for the lapse of any such term, condition or restriction in installments (subject to the minimum vesting requirement in Section IX.(c)(1)) and may accelerate or waive such term, condition or restriction in whole or in part, based on service, performance, and/or such other factors or criteria as the Committee may determine in its sole discretion.</w:t>
      </w:r>
    </w:p>
    <w:p>
      <w:pPr>
        <w:spacing w:after="0" w:line="83" w:lineRule="exact"/>
        <w:rPr>
          <w:rFonts w:ascii="Arial" w:cs="Arial" w:eastAsia="Arial" w:hAnsi="Arial"/>
          <w:sz w:val="16"/>
          <w:szCs w:val="16"/>
          <w:color w:val="auto"/>
        </w:rPr>
      </w:pPr>
    </w:p>
    <w:p>
      <w:pPr>
        <w:ind w:left="1420" w:right="220" w:hanging="427"/>
        <w:spacing w:after="0" w:line="266" w:lineRule="auto"/>
        <w:tabs>
          <w:tab w:leader="none" w:pos="1420" w:val="left"/>
        </w:tabs>
        <w:numPr>
          <w:ilvl w:val="2"/>
          <w:numId w:val="177"/>
        </w:numPr>
        <w:rPr>
          <w:rFonts w:ascii="Arial" w:cs="Arial" w:eastAsia="Arial" w:hAnsi="Arial"/>
          <w:sz w:val="16"/>
          <w:szCs w:val="16"/>
          <w:color w:val="auto"/>
        </w:rPr>
      </w:pPr>
      <w:r>
        <w:rPr>
          <w:rFonts w:ascii="Arial" w:cs="Arial" w:eastAsia="Arial" w:hAnsi="Arial"/>
          <w:sz w:val="16"/>
          <w:szCs w:val="16"/>
          <w:color w:val="auto"/>
        </w:rPr>
        <w:t>Except as provided by the Committee, the Participant shall not be permitted to sell, transfer, pledge, assign or encumber Restricted Stock awarded under the Plan during the Restriction Period. Notwithstanding the foregoing, any Restricted Stock may be transferred after the Participant’s death to his or her beneficiary designated pursuant to procedures adopted by the Committee.</w:t>
      </w:r>
    </w:p>
    <w:p>
      <w:pPr>
        <w:spacing w:after="0" w:line="76" w:lineRule="exact"/>
        <w:rPr>
          <w:rFonts w:ascii="Arial" w:cs="Arial" w:eastAsia="Arial" w:hAnsi="Arial"/>
          <w:sz w:val="16"/>
          <w:szCs w:val="16"/>
          <w:color w:val="auto"/>
        </w:rPr>
      </w:pPr>
    </w:p>
    <w:p>
      <w:pPr>
        <w:ind w:left="540" w:hanging="424"/>
        <w:spacing w:after="0"/>
        <w:tabs>
          <w:tab w:leader="none" w:pos="540"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Limitations</w:t>
      </w:r>
      <w:r>
        <w:rPr>
          <w:rFonts w:ascii="Arial" w:cs="Arial" w:eastAsia="Arial" w:hAnsi="Arial"/>
          <w:sz w:val="16"/>
          <w:szCs w:val="16"/>
          <w:color w:val="auto"/>
        </w:rPr>
        <w:t>. Notwithstanding Section IX.(b)(1);</w:t>
      </w:r>
    </w:p>
    <w:p>
      <w:pPr>
        <w:spacing w:after="0" w:line="126" w:lineRule="exact"/>
        <w:rPr>
          <w:rFonts w:ascii="Arial" w:cs="Arial" w:eastAsia="Arial" w:hAnsi="Arial"/>
          <w:sz w:val="16"/>
          <w:szCs w:val="16"/>
          <w:color w:val="auto"/>
        </w:rPr>
      </w:pPr>
    </w:p>
    <w:p>
      <w:pPr>
        <w:ind w:left="980" w:right="20" w:hanging="432"/>
        <w:spacing w:after="0" w:line="256" w:lineRule="auto"/>
        <w:tabs>
          <w:tab w:leader="none" w:pos="98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No Restricted Stock or Restricted Stock Unit shall vest or be settled, in whole or in part, before the completion of a specified period of not less than one (1) year of continued employment with the Corporation after the date the Award is granted (except (i) with respect to an Award of Restricted Stock or Restricted Stock Units that is granted in connection with a merger or other acquisition as a substitute or replacement award for restricted stock or restricted stock units held by grantees of the acquired business, and (ii) upon a Change in Control where the Participant qualifies for severance pay under a Change in Control severance pay program maintained by the Corporation). Notwithstanding</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A-8</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208280</wp:posOffset>
            </wp:positionV>
            <wp:extent cx="2503170" cy="1454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503170" cy="145415"/>
                    </a:xfrm>
                    <a:prstGeom prst="rect">
                      <a:avLst/>
                    </a:prstGeom>
                    <a:noFill/>
                  </pic:spPr>
                </pic:pic>
              </a:graphicData>
            </a:graphic>
          </wp:anchor>
        </w:drawing>
      </w:r>
    </w:p>
    <w:p>
      <w:pPr>
        <w:spacing w:after="0" w:line="339"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FFFFFF"/>
        </w:rPr>
        <w:t>2022 Long-term Incentive Plan of Chevron Corporation</w:t>
      </w:r>
    </w:p>
    <w:p>
      <w:pPr>
        <w:spacing w:after="0" w:line="172" w:lineRule="exact"/>
        <w:rPr>
          <w:sz w:val="20"/>
          <w:szCs w:val="20"/>
          <w:color w:val="auto"/>
        </w:rPr>
      </w:pPr>
    </w:p>
    <w:p>
      <w:pPr>
        <w:ind w:left="1000" w:right="260"/>
        <w:spacing w:after="0" w:line="286" w:lineRule="auto"/>
        <w:rPr>
          <w:sz w:val="20"/>
          <w:szCs w:val="20"/>
          <w:color w:val="auto"/>
        </w:rPr>
      </w:pPr>
      <w:r>
        <w:rPr>
          <w:rFonts w:ascii="Arial" w:cs="Arial" w:eastAsia="Arial" w:hAnsi="Arial"/>
          <w:sz w:val="16"/>
          <w:szCs w:val="16"/>
          <w:color w:val="auto"/>
        </w:rPr>
        <w:t>the foregoing, up to 5% of the aggregate number of Shares authorized for issuance under this Plan (as described in Section V.(a)) may be issued pursuant to Awards subject to any, or no, vesting conditions, as the Committee determines appropriate.</w:t>
      </w:r>
    </w:p>
    <w:p>
      <w:pPr>
        <w:spacing w:after="0" w:line="61" w:lineRule="exact"/>
        <w:rPr>
          <w:sz w:val="20"/>
          <w:szCs w:val="20"/>
          <w:color w:val="auto"/>
        </w:rPr>
      </w:pPr>
    </w:p>
    <w:p>
      <w:pPr>
        <w:ind w:left="980" w:hanging="432"/>
        <w:spacing w:after="0"/>
        <w:tabs>
          <w:tab w:leader="none" w:pos="98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The Restricted Stock may be forfeited as provided in Section XIII.</w:t>
      </w:r>
    </w:p>
    <w:p>
      <w:pPr>
        <w:spacing w:after="0" w:line="126" w:lineRule="exact"/>
        <w:rPr>
          <w:rFonts w:ascii="Arial" w:cs="Arial" w:eastAsia="Arial" w:hAnsi="Arial"/>
          <w:sz w:val="16"/>
          <w:szCs w:val="16"/>
          <w:color w:val="auto"/>
        </w:rPr>
      </w:pPr>
    </w:p>
    <w:p>
      <w:pPr>
        <w:ind w:left="540" w:hanging="424"/>
        <w:spacing w:after="0"/>
        <w:tabs>
          <w:tab w:leader="none" w:pos="540"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Except as otherwise inconsistent with the provisions of this Section IX.:</w:t>
      </w:r>
    </w:p>
    <w:p>
      <w:pPr>
        <w:spacing w:after="0" w:line="126" w:lineRule="exact"/>
        <w:rPr>
          <w:rFonts w:ascii="Arial" w:cs="Arial" w:eastAsia="Arial" w:hAnsi="Arial"/>
          <w:sz w:val="16"/>
          <w:szCs w:val="16"/>
          <w:color w:val="auto"/>
        </w:rPr>
      </w:pPr>
    </w:p>
    <w:p>
      <w:pPr>
        <w:ind w:left="980" w:hanging="432"/>
        <w:spacing w:after="0" w:line="256" w:lineRule="auto"/>
        <w:tabs>
          <w:tab w:leader="none" w:pos="98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The Participant shall have all of the rights of a stockholder of the Corporation with respect to the Shares of Restricted Stock, including the right to vote the Shares and the right to receive any cash or stock dividends, provided that such cash dividends shall be invested in additional Shares of Restricted Stock and, along with any such stock dividends, shall be deemed part of the original Restricted Stock Award and subject to the same terms, conditions, and restrictions, including for avoidance of doubt, vesting terms, as the Shares of Restricted Stock with respect to which such dividends were paid; and</w:t>
      </w:r>
    </w:p>
    <w:p>
      <w:pPr>
        <w:spacing w:after="0" w:line="85" w:lineRule="exact"/>
        <w:rPr>
          <w:rFonts w:ascii="Arial" w:cs="Arial" w:eastAsia="Arial" w:hAnsi="Arial"/>
          <w:sz w:val="16"/>
          <w:szCs w:val="16"/>
          <w:color w:val="auto"/>
        </w:rPr>
      </w:pPr>
    </w:p>
    <w:p>
      <w:pPr>
        <w:ind w:left="980" w:right="60" w:hanging="432"/>
        <w:spacing w:after="0" w:line="286" w:lineRule="auto"/>
        <w:tabs>
          <w:tab w:leader="none" w:pos="98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Credit of dividends, which are to be converted into additional Shares of Restricted Stock, shall be made at a time consistent with that of other shareholders.</w:t>
      </w:r>
    </w:p>
    <w:p>
      <w:pPr>
        <w:spacing w:after="0" w:line="61" w:lineRule="exact"/>
        <w:rPr>
          <w:rFonts w:ascii="Arial" w:cs="Arial" w:eastAsia="Arial" w:hAnsi="Arial"/>
          <w:sz w:val="16"/>
          <w:szCs w:val="16"/>
          <w:color w:val="auto"/>
        </w:rPr>
      </w:pPr>
    </w:p>
    <w:p>
      <w:pPr>
        <w:jc w:val="both"/>
        <w:ind w:left="540" w:right="120" w:hanging="424"/>
        <w:spacing w:after="0" w:line="266" w:lineRule="auto"/>
        <w:tabs>
          <w:tab w:leader="none" w:pos="540"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Recording of the Participant’s Interest</w:t>
      </w:r>
      <w:r>
        <w:rPr>
          <w:rFonts w:ascii="Arial" w:cs="Arial" w:eastAsia="Arial" w:hAnsi="Arial"/>
          <w:sz w:val="16"/>
          <w:szCs w:val="16"/>
          <w:color w:val="auto"/>
        </w:rPr>
        <w:t>. If and when the Restriction Period applicable to Shares of Restricted Stock expires without a prior forfeiture of the Restricted Stock, an appropriate book entry recording the Participant’s interest in the unrestricted Shares shall be entered on the records of the Company, subject to adjustment as provided in Section XII.</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 xml:space="preserve">SECTION X. </w:t>
      </w:r>
      <w:r>
        <w:rPr>
          <w:rFonts w:ascii="Arial" w:cs="Arial" w:eastAsia="Arial" w:hAnsi="Arial"/>
          <w:sz w:val="22"/>
          <w:szCs w:val="22"/>
          <w:b w:val="1"/>
          <w:bCs w:val="1"/>
          <w:u w:val="single" w:color="auto"/>
          <w:color w:val="0B2D71"/>
        </w:rPr>
        <w:t>OTHER SHARE-BASED AWARDS</w:t>
      </w:r>
      <w:r>
        <w:rPr>
          <w:rFonts w:ascii="Arial" w:cs="Arial" w:eastAsia="Arial" w:hAnsi="Arial"/>
          <w:sz w:val="22"/>
          <w:szCs w:val="22"/>
          <w:b w:val="1"/>
          <w:bCs w:val="1"/>
          <w:color w:val="0B2D71"/>
        </w:rPr>
        <w:t>.</w:t>
      </w:r>
    </w:p>
    <w:p>
      <w:pPr>
        <w:spacing w:after="0" w:line="126" w:lineRule="exact"/>
        <w:rPr>
          <w:sz w:val="20"/>
          <w:szCs w:val="20"/>
          <w:color w:val="auto"/>
        </w:rPr>
      </w:pPr>
    </w:p>
    <w:p>
      <w:pPr>
        <w:ind w:left="540" w:hanging="424"/>
        <w:spacing w:after="0"/>
        <w:tabs>
          <w:tab w:leader="none" w:pos="540"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Grants</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left="980" w:hanging="432"/>
        <w:spacing w:after="0"/>
        <w:tabs>
          <w:tab w:leader="none" w:pos="98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Other Share-Based Awards may include, but are not limited to:</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2"/>
          <w:numId w:val="180"/>
        </w:numPr>
        <w:rPr>
          <w:rFonts w:ascii="Arial" w:cs="Arial" w:eastAsia="Arial" w:hAnsi="Arial"/>
          <w:sz w:val="16"/>
          <w:szCs w:val="16"/>
          <w:color w:val="auto"/>
        </w:rPr>
      </w:pPr>
      <w:r>
        <w:rPr>
          <w:rFonts w:ascii="Arial" w:cs="Arial" w:eastAsia="Arial" w:hAnsi="Arial"/>
          <w:sz w:val="16"/>
          <w:szCs w:val="16"/>
          <w:color w:val="auto"/>
        </w:rPr>
        <w:t>Performance Shares;</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2"/>
          <w:numId w:val="180"/>
        </w:numPr>
        <w:rPr>
          <w:rFonts w:ascii="Arial" w:cs="Arial" w:eastAsia="Arial" w:hAnsi="Arial"/>
          <w:sz w:val="16"/>
          <w:szCs w:val="16"/>
          <w:color w:val="auto"/>
        </w:rPr>
      </w:pPr>
      <w:r>
        <w:rPr>
          <w:rFonts w:ascii="Arial" w:cs="Arial" w:eastAsia="Arial" w:hAnsi="Arial"/>
          <w:sz w:val="16"/>
          <w:szCs w:val="16"/>
          <w:color w:val="auto"/>
        </w:rPr>
        <w:t>Stock Units;</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2"/>
          <w:numId w:val="180"/>
        </w:numPr>
        <w:rPr>
          <w:rFonts w:ascii="Arial" w:cs="Arial" w:eastAsia="Arial" w:hAnsi="Arial"/>
          <w:sz w:val="16"/>
          <w:szCs w:val="16"/>
          <w:color w:val="auto"/>
        </w:rPr>
      </w:pPr>
      <w:r>
        <w:rPr>
          <w:rFonts w:ascii="Arial" w:cs="Arial" w:eastAsia="Arial" w:hAnsi="Arial"/>
          <w:sz w:val="16"/>
          <w:szCs w:val="16"/>
          <w:color w:val="auto"/>
        </w:rPr>
        <w:t>Restricted Stock Units;</w:t>
      </w:r>
    </w:p>
    <w:p>
      <w:pPr>
        <w:spacing w:after="0" w:line="126" w:lineRule="exact"/>
        <w:rPr>
          <w:rFonts w:ascii="Arial" w:cs="Arial" w:eastAsia="Arial" w:hAnsi="Arial"/>
          <w:sz w:val="16"/>
          <w:szCs w:val="16"/>
          <w:color w:val="auto"/>
        </w:rPr>
      </w:pPr>
    </w:p>
    <w:p>
      <w:pPr>
        <w:ind w:left="1420" w:hanging="427"/>
        <w:spacing w:after="0" w:line="266" w:lineRule="auto"/>
        <w:tabs>
          <w:tab w:leader="none" w:pos="1420" w:val="left"/>
        </w:tabs>
        <w:numPr>
          <w:ilvl w:val="2"/>
          <w:numId w:val="180"/>
        </w:numPr>
        <w:rPr>
          <w:rFonts w:ascii="Arial" w:cs="Arial" w:eastAsia="Arial" w:hAnsi="Arial"/>
          <w:sz w:val="16"/>
          <w:szCs w:val="16"/>
          <w:color w:val="auto"/>
        </w:rPr>
      </w:pPr>
      <w:r>
        <w:rPr>
          <w:rFonts w:ascii="Arial" w:cs="Arial" w:eastAsia="Arial" w:hAnsi="Arial"/>
          <w:sz w:val="16"/>
          <w:szCs w:val="16"/>
          <w:color w:val="auto"/>
        </w:rPr>
        <w:t>Stock Appreciation Rights not granted in connection with the grant of Stock Options pursuant to Section VIII. No Stock Appreciation Rights shall be exercisable for more than ten (10) years from the date of grant. The exercise price shall never be less than one hundred percent (100%) of the Share’s Fair Market Value on the grant date;</w:t>
      </w:r>
    </w:p>
    <w:p>
      <w:pPr>
        <w:spacing w:after="0" w:line="76" w:lineRule="exact"/>
        <w:rPr>
          <w:rFonts w:ascii="Arial" w:cs="Arial" w:eastAsia="Arial" w:hAnsi="Arial"/>
          <w:sz w:val="16"/>
          <w:szCs w:val="16"/>
          <w:color w:val="auto"/>
        </w:rPr>
      </w:pPr>
    </w:p>
    <w:p>
      <w:pPr>
        <w:ind w:left="1420" w:hanging="427"/>
        <w:spacing w:after="0"/>
        <w:tabs>
          <w:tab w:leader="none" w:pos="1420" w:val="left"/>
        </w:tabs>
        <w:numPr>
          <w:ilvl w:val="2"/>
          <w:numId w:val="180"/>
        </w:numPr>
        <w:rPr>
          <w:rFonts w:ascii="Arial" w:cs="Arial" w:eastAsia="Arial" w:hAnsi="Arial"/>
          <w:sz w:val="16"/>
          <w:szCs w:val="16"/>
          <w:color w:val="auto"/>
        </w:rPr>
      </w:pPr>
      <w:r>
        <w:rPr>
          <w:rFonts w:ascii="Arial" w:cs="Arial" w:eastAsia="Arial" w:hAnsi="Arial"/>
          <w:sz w:val="16"/>
          <w:szCs w:val="16"/>
          <w:color w:val="auto"/>
        </w:rPr>
        <w:t>Dividend Equivalents;</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2"/>
          <w:numId w:val="180"/>
        </w:numPr>
        <w:rPr>
          <w:rFonts w:ascii="Arial" w:cs="Arial" w:eastAsia="Arial" w:hAnsi="Arial"/>
          <w:sz w:val="16"/>
          <w:szCs w:val="16"/>
          <w:color w:val="auto"/>
        </w:rPr>
      </w:pPr>
      <w:r>
        <w:rPr>
          <w:rFonts w:ascii="Arial" w:cs="Arial" w:eastAsia="Arial" w:hAnsi="Arial"/>
          <w:sz w:val="16"/>
          <w:szCs w:val="16"/>
          <w:color w:val="auto"/>
        </w:rPr>
        <w:t>The grant of Shares conditioned upon</w:t>
      </w:r>
    </w:p>
    <w:p>
      <w:pPr>
        <w:spacing w:after="0" w:line="126" w:lineRule="exact"/>
        <w:rPr>
          <w:rFonts w:ascii="Arial" w:cs="Arial" w:eastAsia="Arial" w:hAnsi="Arial"/>
          <w:sz w:val="16"/>
          <w:szCs w:val="16"/>
          <w:color w:val="auto"/>
        </w:rPr>
      </w:pPr>
    </w:p>
    <w:p>
      <w:pPr>
        <w:ind w:left="1860" w:hanging="435"/>
        <w:spacing w:after="0"/>
        <w:tabs>
          <w:tab w:leader="none" w:pos="1860" w:val="left"/>
        </w:tabs>
        <w:numPr>
          <w:ilvl w:val="3"/>
          <w:numId w:val="180"/>
        </w:numPr>
        <w:rPr>
          <w:rFonts w:ascii="Arial" w:cs="Arial" w:eastAsia="Arial" w:hAnsi="Arial"/>
          <w:sz w:val="16"/>
          <w:szCs w:val="16"/>
          <w:color w:val="auto"/>
        </w:rPr>
      </w:pPr>
      <w:r>
        <w:rPr>
          <w:rFonts w:ascii="Arial" w:cs="Arial" w:eastAsia="Arial" w:hAnsi="Arial"/>
          <w:sz w:val="16"/>
          <w:szCs w:val="16"/>
          <w:color w:val="auto"/>
        </w:rPr>
        <w:t>Some specified event; or</w:t>
      </w:r>
    </w:p>
    <w:p>
      <w:pPr>
        <w:spacing w:after="0" w:line="126" w:lineRule="exact"/>
        <w:rPr>
          <w:rFonts w:ascii="Arial" w:cs="Arial" w:eastAsia="Arial" w:hAnsi="Arial"/>
          <w:sz w:val="16"/>
          <w:szCs w:val="16"/>
          <w:color w:val="auto"/>
        </w:rPr>
      </w:pPr>
    </w:p>
    <w:p>
      <w:pPr>
        <w:ind w:left="1860" w:hanging="435"/>
        <w:spacing w:after="0"/>
        <w:tabs>
          <w:tab w:leader="none" w:pos="1860" w:val="left"/>
        </w:tabs>
        <w:numPr>
          <w:ilvl w:val="3"/>
          <w:numId w:val="180"/>
        </w:numPr>
        <w:rPr>
          <w:rFonts w:ascii="Arial" w:cs="Arial" w:eastAsia="Arial" w:hAnsi="Arial"/>
          <w:sz w:val="16"/>
          <w:szCs w:val="16"/>
          <w:color w:val="auto"/>
        </w:rPr>
      </w:pPr>
      <w:r>
        <w:rPr>
          <w:rFonts w:ascii="Arial" w:cs="Arial" w:eastAsia="Arial" w:hAnsi="Arial"/>
          <w:sz w:val="16"/>
          <w:szCs w:val="16"/>
          <w:color w:val="auto"/>
        </w:rPr>
        <w:t>The lapse of restrictions on Restricted Stock;</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2"/>
          <w:numId w:val="180"/>
        </w:numPr>
        <w:rPr>
          <w:rFonts w:ascii="Arial" w:cs="Arial" w:eastAsia="Arial" w:hAnsi="Arial"/>
          <w:sz w:val="16"/>
          <w:szCs w:val="16"/>
          <w:color w:val="auto"/>
        </w:rPr>
      </w:pPr>
      <w:r>
        <w:rPr>
          <w:rFonts w:ascii="Arial" w:cs="Arial" w:eastAsia="Arial" w:hAnsi="Arial"/>
          <w:sz w:val="16"/>
          <w:szCs w:val="16"/>
          <w:color w:val="auto"/>
        </w:rPr>
        <w:t>The payment of cash based upon the performance of the Shares; or</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2"/>
          <w:numId w:val="180"/>
        </w:numPr>
        <w:rPr>
          <w:rFonts w:ascii="Arial" w:cs="Arial" w:eastAsia="Arial" w:hAnsi="Arial"/>
          <w:sz w:val="16"/>
          <w:szCs w:val="16"/>
          <w:color w:val="auto"/>
        </w:rPr>
      </w:pPr>
      <w:r>
        <w:rPr>
          <w:rFonts w:ascii="Arial" w:cs="Arial" w:eastAsia="Arial" w:hAnsi="Arial"/>
          <w:sz w:val="16"/>
          <w:szCs w:val="16"/>
          <w:color w:val="auto"/>
        </w:rPr>
        <w:t>The grant of securities convertible into Shares.</w:t>
      </w:r>
    </w:p>
    <w:p>
      <w:pPr>
        <w:spacing w:after="0" w:line="126" w:lineRule="exact"/>
        <w:rPr>
          <w:rFonts w:ascii="Arial" w:cs="Arial" w:eastAsia="Arial" w:hAnsi="Arial"/>
          <w:sz w:val="16"/>
          <w:szCs w:val="16"/>
          <w:color w:val="auto"/>
        </w:rPr>
      </w:pPr>
    </w:p>
    <w:p>
      <w:pPr>
        <w:ind w:left="980" w:hanging="432"/>
        <w:spacing w:after="0"/>
        <w:tabs>
          <w:tab w:leader="none" w:pos="98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The Committee shall have sole discretion to determine:</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2"/>
          <w:numId w:val="180"/>
        </w:numPr>
        <w:rPr>
          <w:rFonts w:ascii="Arial" w:cs="Arial" w:eastAsia="Arial" w:hAnsi="Arial"/>
          <w:sz w:val="16"/>
          <w:szCs w:val="16"/>
          <w:color w:val="auto"/>
        </w:rPr>
      </w:pPr>
      <w:r>
        <w:rPr>
          <w:rFonts w:ascii="Arial" w:cs="Arial" w:eastAsia="Arial" w:hAnsi="Arial"/>
          <w:sz w:val="16"/>
          <w:szCs w:val="16"/>
          <w:color w:val="auto"/>
        </w:rPr>
        <w:t>The Grant Eligible Employees to whom to grant Other Share-Based Awards;</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2"/>
          <w:numId w:val="180"/>
        </w:numPr>
        <w:rPr>
          <w:rFonts w:ascii="Arial" w:cs="Arial" w:eastAsia="Arial" w:hAnsi="Arial"/>
          <w:sz w:val="16"/>
          <w:szCs w:val="16"/>
          <w:color w:val="auto"/>
        </w:rPr>
      </w:pPr>
      <w:r>
        <w:rPr>
          <w:rFonts w:ascii="Arial" w:cs="Arial" w:eastAsia="Arial" w:hAnsi="Arial"/>
          <w:sz w:val="16"/>
          <w:szCs w:val="16"/>
          <w:color w:val="auto"/>
        </w:rPr>
        <w:t>When to grant Other Share-Based Awards;</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2"/>
          <w:numId w:val="180"/>
        </w:numPr>
        <w:rPr>
          <w:rFonts w:ascii="Arial" w:cs="Arial" w:eastAsia="Arial" w:hAnsi="Arial"/>
          <w:sz w:val="16"/>
          <w:szCs w:val="16"/>
          <w:color w:val="auto"/>
        </w:rPr>
      </w:pPr>
      <w:r>
        <w:rPr>
          <w:rFonts w:ascii="Arial" w:cs="Arial" w:eastAsia="Arial" w:hAnsi="Arial"/>
          <w:sz w:val="16"/>
          <w:szCs w:val="16"/>
          <w:color w:val="auto"/>
        </w:rPr>
        <w:t>The number of Shares or other securities, if any, to be granted pursuant to Other Share-Based Awards; and</w:t>
      </w:r>
    </w:p>
    <w:p>
      <w:pPr>
        <w:spacing w:after="0" w:line="126" w:lineRule="exact"/>
        <w:rPr>
          <w:rFonts w:ascii="Arial" w:cs="Arial" w:eastAsia="Arial" w:hAnsi="Arial"/>
          <w:sz w:val="16"/>
          <w:szCs w:val="16"/>
          <w:color w:val="auto"/>
        </w:rPr>
      </w:pPr>
    </w:p>
    <w:p>
      <w:pPr>
        <w:ind w:left="1420" w:right="260" w:hanging="427"/>
        <w:spacing w:after="0" w:line="286" w:lineRule="auto"/>
        <w:tabs>
          <w:tab w:leader="none" w:pos="1420" w:val="left"/>
        </w:tabs>
        <w:numPr>
          <w:ilvl w:val="2"/>
          <w:numId w:val="180"/>
        </w:numPr>
        <w:rPr>
          <w:rFonts w:ascii="Arial" w:cs="Arial" w:eastAsia="Arial" w:hAnsi="Arial"/>
          <w:sz w:val="16"/>
          <w:szCs w:val="16"/>
          <w:color w:val="auto"/>
        </w:rPr>
      </w:pPr>
      <w:r>
        <w:rPr>
          <w:rFonts w:ascii="Arial" w:cs="Arial" w:eastAsia="Arial" w:hAnsi="Arial"/>
          <w:sz w:val="16"/>
          <w:szCs w:val="16"/>
          <w:color w:val="auto"/>
        </w:rPr>
        <w:t>all other conditions of the Other Share-Based Awards, including, without limitation, whether Stock Appreciation Rights not granted in connection with the grant of any Stock Option shall be settled in cash or in Shares.</w:t>
      </w:r>
    </w:p>
    <w:p>
      <w:pPr>
        <w:spacing w:after="0" w:line="61" w:lineRule="exact"/>
        <w:rPr>
          <w:rFonts w:ascii="Arial" w:cs="Arial" w:eastAsia="Arial" w:hAnsi="Arial"/>
          <w:sz w:val="16"/>
          <w:szCs w:val="16"/>
          <w:color w:val="auto"/>
        </w:rPr>
      </w:pPr>
    </w:p>
    <w:p>
      <w:pPr>
        <w:ind w:left="540" w:right="180" w:hanging="424"/>
        <w:spacing w:after="0" w:line="286" w:lineRule="auto"/>
        <w:tabs>
          <w:tab w:leader="none" w:pos="540"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Terms, Conditions, and Restrictions</w:t>
      </w:r>
      <w:r>
        <w:rPr>
          <w:rFonts w:ascii="Arial" w:cs="Arial" w:eastAsia="Arial" w:hAnsi="Arial"/>
          <w:sz w:val="16"/>
          <w:szCs w:val="16"/>
          <w:color w:val="auto"/>
        </w:rPr>
        <w:t>. The terms of each Other Share-Based Award shall be set forth in the Other Share-Based Award Agreement. Such terms shall be within the sole discretion of the Committee.</w:t>
      </w:r>
    </w:p>
    <w:p>
      <w:pPr>
        <w:spacing w:after="0" w:line="61" w:lineRule="exact"/>
        <w:rPr>
          <w:rFonts w:ascii="Arial" w:cs="Arial" w:eastAsia="Arial" w:hAnsi="Arial"/>
          <w:sz w:val="16"/>
          <w:szCs w:val="16"/>
          <w:color w:val="auto"/>
        </w:rPr>
      </w:pPr>
    </w:p>
    <w:p>
      <w:pPr>
        <w:ind w:left="980" w:hanging="432"/>
        <w:spacing w:after="0" w:line="286" w:lineRule="auto"/>
        <w:tabs>
          <w:tab w:leader="none" w:pos="98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The Committee shall specify the terms, conditions and restrictions governing the vesting, forfeiture or lapse of restrictions for the Other Share-Based Awards.</w:t>
      </w:r>
    </w:p>
    <w:p>
      <w:pPr>
        <w:spacing w:after="0" w:line="61" w:lineRule="exact"/>
        <w:rPr>
          <w:rFonts w:ascii="Arial" w:cs="Arial" w:eastAsia="Arial" w:hAnsi="Arial"/>
          <w:sz w:val="16"/>
          <w:szCs w:val="16"/>
          <w:color w:val="auto"/>
        </w:rPr>
      </w:pPr>
    </w:p>
    <w:p>
      <w:pPr>
        <w:ind w:left="1420" w:right="300" w:hanging="427"/>
        <w:spacing w:after="0" w:line="266" w:lineRule="auto"/>
        <w:tabs>
          <w:tab w:leader="none" w:pos="1420" w:val="left"/>
        </w:tabs>
        <w:numPr>
          <w:ilvl w:val="2"/>
          <w:numId w:val="180"/>
        </w:numPr>
        <w:rPr>
          <w:rFonts w:ascii="Arial" w:cs="Arial" w:eastAsia="Arial" w:hAnsi="Arial"/>
          <w:sz w:val="16"/>
          <w:szCs w:val="16"/>
          <w:color w:val="auto"/>
        </w:rPr>
      </w:pPr>
      <w:r>
        <w:rPr>
          <w:rFonts w:ascii="Arial" w:cs="Arial" w:eastAsia="Arial" w:hAnsi="Arial"/>
          <w:sz w:val="16"/>
          <w:szCs w:val="16"/>
          <w:color w:val="auto"/>
        </w:rPr>
        <w:t>These terms, conditions and restrictions must include continued employment with the Corporation for a specified period of time (as determined under the Rules) following the grant date; but may also provide for vesting upon Termination prior to the completion of a specified period or the attainment of designated performance objectives (including, without limitation, the Performance Goals).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A-9</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5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shd w:val="clear" w:color="auto" w:fill="0B2D71"/>
        </w:rPr>
        <w:t>2022 Long-term Incentive Plan of Chevron Corporation</w:t>
      </w:r>
    </w:p>
    <w:p>
      <w:pPr>
        <w:spacing w:after="0" w:line="172" w:lineRule="exact"/>
        <w:rPr>
          <w:sz w:val="20"/>
          <w:szCs w:val="20"/>
          <w:color w:val="auto"/>
        </w:rPr>
      </w:pPr>
    </w:p>
    <w:p>
      <w:pPr>
        <w:ind w:left="1420" w:right="160" w:hanging="427"/>
        <w:spacing w:after="0" w:line="266" w:lineRule="auto"/>
        <w:tabs>
          <w:tab w:leader="none" w:pos="1420" w:val="left"/>
        </w:tabs>
        <w:numPr>
          <w:ilvl w:val="2"/>
          <w:numId w:val="181"/>
        </w:numPr>
        <w:rPr>
          <w:rFonts w:ascii="Arial" w:cs="Arial" w:eastAsia="Arial" w:hAnsi="Arial"/>
          <w:sz w:val="16"/>
          <w:szCs w:val="16"/>
          <w:color w:val="auto"/>
        </w:rPr>
      </w:pPr>
      <w:r>
        <w:rPr>
          <w:rFonts w:ascii="Arial" w:cs="Arial" w:eastAsia="Arial" w:hAnsi="Arial"/>
          <w:sz w:val="16"/>
          <w:szCs w:val="16"/>
          <w:color w:val="auto"/>
        </w:rPr>
        <w:t>The Committee may provide for the lapse of any such term, condition or restriction in installments (subject to the minimum vesting requirement in Section X.(c)(1)) and may accelerate or waive such term, condition or restriction, in whole or in part; based on service, performance, and/or such other factors or criteria as the Committee may determine in its sole discretion.</w:t>
      </w:r>
    </w:p>
    <w:p>
      <w:pPr>
        <w:spacing w:after="0" w:line="76" w:lineRule="exact"/>
        <w:rPr>
          <w:rFonts w:ascii="Arial" w:cs="Arial" w:eastAsia="Arial" w:hAnsi="Arial"/>
          <w:sz w:val="16"/>
          <w:szCs w:val="16"/>
          <w:color w:val="auto"/>
        </w:rPr>
      </w:pPr>
    </w:p>
    <w:p>
      <w:pPr>
        <w:ind w:left="1420" w:right="160" w:hanging="427"/>
        <w:spacing w:after="0" w:line="286" w:lineRule="auto"/>
        <w:tabs>
          <w:tab w:leader="none" w:pos="1420" w:val="left"/>
        </w:tabs>
        <w:numPr>
          <w:ilvl w:val="2"/>
          <w:numId w:val="181"/>
        </w:numPr>
        <w:rPr>
          <w:rFonts w:ascii="Arial" w:cs="Arial" w:eastAsia="Arial" w:hAnsi="Arial"/>
          <w:sz w:val="16"/>
          <w:szCs w:val="16"/>
          <w:color w:val="auto"/>
        </w:rPr>
      </w:pPr>
      <w:r>
        <w:rPr>
          <w:rFonts w:ascii="Arial" w:cs="Arial" w:eastAsia="Arial" w:hAnsi="Arial"/>
          <w:sz w:val="16"/>
          <w:szCs w:val="16"/>
          <w:color w:val="auto"/>
        </w:rPr>
        <w:t>The Committee may condition the grant of an Other Share-Based Award upon the attainment of specified Performance Goals or such other factors as the Committee may determine, in its sole discretion.</w:t>
      </w:r>
    </w:p>
    <w:p>
      <w:pPr>
        <w:spacing w:after="0" w:line="61" w:lineRule="exact"/>
        <w:rPr>
          <w:rFonts w:ascii="Arial" w:cs="Arial" w:eastAsia="Arial" w:hAnsi="Arial"/>
          <w:sz w:val="16"/>
          <w:szCs w:val="16"/>
          <w:color w:val="auto"/>
        </w:rPr>
      </w:pPr>
    </w:p>
    <w:p>
      <w:pPr>
        <w:ind w:left="980" w:right="260" w:hanging="432"/>
        <w:spacing w:after="0" w:line="259" w:lineRule="auto"/>
        <w:tabs>
          <w:tab w:leader="none" w:pos="98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In making an Other Share-Based Award, the Committee may determine that a Participant shall be entitled to receive (currently or on a deferred basis) interest, dividends, or Dividend Equivalents with respect to the Shares or other securities covered by the Award. Any such dividends or Dividend Equivalents shall be deemed to have been reinvested in additional Shares as part of the original grant subject to the same terms, conditions, and restrictions, including for avoidance of doubt, vesting terms, as the original award.</w:t>
      </w:r>
    </w:p>
    <w:p>
      <w:pPr>
        <w:spacing w:after="0" w:line="83" w:lineRule="exact"/>
        <w:rPr>
          <w:rFonts w:ascii="Arial" w:cs="Arial" w:eastAsia="Arial" w:hAnsi="Arial"/>
          <w:sz w:val="16"/>
          <w:szCs w:val="16"/>
          <w:color w:val="auto"/>
        </w:rPr>
      </w:pPr>
    </w:p>
    <w:p>
      <w:pPr>
        <w:ind w:left="980" w:right="40" w:hanging="432"/>
        <w:spacing w:after="0" w:line="256" w:lineRule="auto"/>
        <w:tabs>
          <w:tab w:leader="none" w:pos="98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Except as otherwise provided in the Rules or in an Other Share-Based Award Agreement, any Other Share-Based Award may not be sold, assigned, transferred, pledged or otherwise encumbered prior to the date on which the Shares are issued or the Award becomes payable, or, if later, the date on which any applicable restriction, performance or deferral period expires or lapses. Notwithstanding the foregoing, Other Share Based Awards may be transferred after the Participant’s death, to his or her beneficiary designated pursuant to procedures adopted by the Committee.</w:t>
      </w:r>
    </w:p>
    <w:p>
      <w:pPr>
        <w:spacing w:after="0" w:line="85" w:lineRule="exact"/>
        <w:rPr>
          <w:rFonts w:ascii="Arial" w:cs="Arial" w:eastAsia="Arial" w:hAnsi="Arial"/>
          <w:sz w:val="16"/>
          <w:szCs w:val="16"/>
          <w:color w:val="auto"/>
        </w:rPr>
      </w:pPr>
    </w:p>
    <w:p>
      <w:pPr>
        <w:ind w:left="980" w:right="460" w:hanging="432"/>
        <w:spacing w:after="0" w:line="286" w:lineRule="auto"/>
        <w:tabs>
          <w:tab w:leader="none" w:pos="98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The Rules or Other Share-Based Award Agreement shall contain provisions dealing with the disposition of such Award in the event of a termination of the Participant’s employment prior to the exercise, realization or payment of such Award.</w:t>
      </w:r>
    </w:p>
    <w:p>
      <w:pPr>
        <w:spacing w:after="0" w:line="61" w:lineRule="exact"/>
        <w:rPr>
          <w:rFonts w:ascii="Arial" w:cs="Arial" w:eastAsia="Arial" w:hAnsi="Arial"/>
          <w:sz w:val="16"/>
          <w:szCs w:val="16"/>
          <w:color w:val="auto"/>
        </w:rPr>
      </w:pPr>
    </w:p>
    <w:p>
      <w:pPr>
        <w:ind w:left="540" w:hanging="424"/>
        <w:spacing w:after="0"/>
        <w:tabs>
          <w:tab w:leader="none" w:pos="540"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Limitations</w:t>
      </w:r>
      <w:r>
        <w:rPr>
          <w:rFonts w:ascii="Arial" w:cs="Arial" w:eastAsia="Arial" w:hAnsi="Arial"/>
          <w:sz w:val="16"/>
          <w:szCs w:val="16"/>
          <w:color w:val="auto"/>
        </w:rPr>
        <w:t>. Notwithstanding Section X.(b)(1):</w:t>
      </w:r>
    </w:p>
    <w:p>
      <w:pPr>
        <w:spacing w:after="0" w:line="126" w:lineRule="exact"/>
        <w:rPr>
          <w:rFonts w:ascii="Arial" w:cs="Arial" w:eastAsia="Arial" w:hAnsi="Arial"/>
          <w:sz w:val="16"/>
          <w:szCs w:val="16"/>
          <w:color w:val="auto"/>
        </w:rPr>
      </w:pPr>
    </w:p>
    <w:p>
      <w:pPr>
        <w:ind w:left="980" w:hanging="432"/>
        <w:spacing w:after="0" w:line="253" w:lineRule="auto"/>
        <w:tabs>
          <w:tab w:leader="none" w:pos="98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No Other Share-Based Award may vest, become exercisable or be settled, in whole or in part, before the completion of a specified period of not less than one (1) year of continued employment with the Corporation after the date the Award is granted (except (i) with respect to an Other Share-Based Award that is granted in connection with a merger or other acquisition as a substitute or replacement for an award held by grantees of the acquired business, and (ii) upon a Change in Control where the Participant qualifies for severance pay under a Change in Control severance pay program maintained by the Corporation). Notwithstanding the foregoing, up to 5% of the aggregate number of Shares authorized for issuance under this Plan (as described in Section V.(a)) may be issued pursuant to Awards subject to any, or no, vesting conditions, as the Committee determines appropriate.</w:t>
      </w:r>
    </w:p>
    <w:p>
      <w:pPr>
        <w:spacing w:after="0" w:line="86" w:lineRule="exact"/>
        <w:rPr>
          <w:rFonts w:ascii="Arial" w:cs="Arial" w:eastAsia="Arial" w:hAnsi="Arial"/>
          <w:sz w:val="16"/>
          <w:szCs w:val="16"/>
          <w:color w:val="auto"/>
        </w:rPr>
      </w:pPr>
    </w:p>
    <w:p>
      <w:pPr>
        <w:ind w:left="980" w:hanging="432"/>
        <w:spacing w:after="0"/>
        <w:tabs>
          <w:tab w:leader="none" w:pos="98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The Other Share-Based Award may be forfeited as provided in Section XIII.</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 xml:space="preserve">SECTION XI. </w:t>
      </w:r>
      <w:r>
        <w:rPr>
          <w:rFonts w:ascii="Arial" w:cs="Arial" w:eastAsia="Arial" w:hAnsi="Arial"/>
          <w:sz w:val="22"/>
          <w:szCs w:val="22"/>
          <w:b w:val="1"/>
          <w:bCs w:val="1"/>
          <w:u w:val="single" w:color="auto"/>
          <w:color w:val="0B2D71"/>
        </w:rPr>
        <w:t>NON-STOCK AWARDS</w:t>
      </w:r>
      <w:r>
        <w:rPr>
          <w:rFonts w:ascii="Arial" w:cs="Arial" w:eastAsia="Arial" w:hAnsi="Arial"/>
          <w:sz w:val="22"/>
          <w:szCs w:val="22"/>
          <w:b w:val="1"/>
          <w:bCs w:val="1"/>
          <w:color w:val="0B2D71"/>
        </w:rPr>
        <w:t>.</w:t>
      </w:r>
    </w:p>
    <w:p>
      <w:pPr>
        <w:spacing w:after="0" w:line="126" w:lineRule="exact"/>
        <w:rPr>
          <w:sz w:val="20"/>
          <w:szCs w:val="20"/>
          <w:color w:val="auto"/>
        </w:rPr>
      </w:pPr>
    </w:p>
    <w:p>
      <w:pPr>
        <w:ind w:left="540" w:hanging="424"/>
        <w:spacing w:after="0"/>
        <w:tabs>
          <w:tab w:leader="none" w:pos="540"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Grants</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left="980" w:right="260" w:hanging="432"/>
        <w:spacing w:after="0" w:line="286" w:lineRule="auto"/>
        <w:tabs>
          <w:tab w:leader="none" w:pos="98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Non-Stock Awards may be granted to Grant Eligible Employees either alone or in addition to or in conjunction with other Awards under the Plan. Awards under this Section XI. may take any form that the Committee shall determine in its sole discretion.</w:t>
      </w:r>
    </w:p>
    <w:p>
      <w:pPr>
        <w:spacing w:after="0" w:line="61" w:lineRule="exact"/>
        <w:rPr>
          <w:rFonts w:ascii="Arial" w:cs="Arial" w:eastAsia="Arial" w:hAnsi="Arial"/>
          <w:sz w:val="16"/>
          <w:szCs w:val="16"/>
          <w:color w:val="auto"/>
        </w:rPr>
      </w:pPr>
    </w:p>
    <w:p>
      <w:pPr>
        <w:ind w:left="980" w:right="220" w:hanging="432"/>
        <w:spacing w:after="0" w:line="259" w:lineRule="auto"/>
        <w:tabs>
          <w:tab w:leader="none" w:pos="98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The Committee shall have sole and complete authority to determine the Grant Eligible Employees to whom and the time or times at which Non-Stock Awards shall be made, the amount of any Non-Stock Award and all other conditions of the Non-Stock Awards. The Committee may condition the grant of a Non-Stock Award upon the attainment of specified Performance Goals or such other factors as the Committee may determine, in its sole discretion.</w:t>
      </w:r>
    </w:p>
    <w:p>
      <w:pPr>
        <w:spacing w:after="0" w:line="83" w:lineRule="exact"/>
        <w:rPr>
          <w:rFonts w:ascii="Arial" w:cs="Arial" w:eastAsia="Arial" w:hAnsi="Arial"/>
          <w:sz w:val="16"/>
          <w:szCs w:val="16"/>
          <w:color w:val="auto"/>
        </w:rPr>
      </w:pPr>
    </w:p>
    <w:p>
      <w:pPr>
        <w:ind w:left="540" w:hanging="424"/>
        <w:spacing w:after="0"/>
        <w:tabs>
          <w:tab w:leader="none" w:pos="540"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Terms and Conditions</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left="980" w:right="300" w:hanging="432"/>
        <w:spacing w:after="0" w:line="286" w:lineRule="auto"/>
        <w:tabs>
          <w:tab w:leader="none" w:pos="98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The terms of any Non-Stock Award shall be set forth in Non-Stock Award Agreement between the Corporation and the Eligible Employee, which shall contain provisions:</w:t>
      </w:r>
    </w:p>
    <w:p>
      <w:pPr>
        <w:spacing w:after="0" w:line="61" w:lineRule="exact"/>
        <w:rPr>
          <w:rFonts w:ascii="Arial" w:cs="Arial" w:eastAsia="Arial" w:hAnsi="Arial"/>
          <w:sz w:val="16"/>
          <w:szCs w:val="16"/>
          <w:color w:val="auto"/>
        </w:rPr>
      </w:pPr>
    </w:p>
    <w:p>
      <w:pPr>
        <w:ind w:left="1420" w:hanging="427"/>
        <w:spacing w:after="0"/>
        <w:tabs>
          <w:tab w:leader="none" w:pos="1420" w:val="left"/>
        </w:tabs>
        <w:numPr>
          <w:ilvl w:val="2"/>
          <w:numId w:val="184"/>
        </w:numPr>
        <w:rPr>
          <w:rFonts w:ascii="Arial" w:cs="Arial" w:eastAsia="Arial" w:hAnsi="Arial"/>
          <w:sz w:val="16"/>
          <w:szCs w:val="16"/>
          <w:color w:val="auto"/>
        </w:rPr>
      </w:pPr>
      <w:r>
        <w:rPr>
          <w:rFonts w:ascii="Arial" w:cs="Arial" w:eastAsia="Arial" w:hAnsi="Arial"/>
          <w:sz w:val="16"/>
          <w:szCs w:val="16"/>
          <w:color w:val="auto"/>
        </w:rPr>
        <w:t>Dealing with the disposition of such Award in the event of a Termination prior to the exercise, realization or payment of such Award; and</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2"/>
          <w:numId w:val="184"/>
        </w:numPr>
        <w:rPr>
          <w:rFonts w:ascii="Arial" w:cs="Arial" w:eastAsia="Arial" w:hAnsi="Arial"/>
          <w:sz w:val="16"/>
          <w:szCs w:val="16"/>
          <w:color w:val="auto"/>
        </w:rPr>
      </w:pPr>
      <w:r>
        <w:rPr>
          <w:rFonts w:ascii="Arial" w:cs="Arial" w:eastAsia="Arial" w:hAnsi="Arial"/>
          <w:sz w:val="16"/>
          <w:szCs w:val="16"/>
          <w:color w:val="auto"/>
        </w:rPr>
        <w:t>Such other provisions as the Committee determines to be necessary or appropriate within its sole discretion.</w:t>
      </w:r>
    </w:p>
    <w:p>
      <w:pPr>
        <w:spacing w:after="0" w:line="126" w:lineRule="exact"/>
        <w:rPr>
          <w:rFonts w:ascii="Arial" w:cs="Arial" w:eastAsia="Arial" w:hAnsi="Arial"/>
          <w:sz w:val="16"/>
          <w:szCs w:val="16"/>
          <w:color w:val="auto"/>
        </w:rPr>
      </w:pPr>
    </w:p>
    <w:p>
      <w:pPr>
        <w:jc w:val="both"/>
        <w:ind w:left="980" w:right="100" w:hanging="432"/>
        <w:spacing w:after="0" w:line="266" w:lineRule="auto"/>
        <w:tabs>
          <w:tab w:leader="none" w:pos="98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Non-Stock Awards may not be sold, assigned, transferred, pledged or otherwise encumbered prior to the date on which the Award becomes payable, or, if later, the date on which the requirements of any applicable restriction, condition, Performance Goal or deferral period is met or lapses. Notwithstanding the foregoing, Non-Stock Awards may be transferred:</w:t>
      </w:r>
    </w:p>
    <w:p>
      <w:pPr>
        <w:spacing w:after="0" w:line="77" w:lineRule="exact"/>
        <w:rPr>
          <w:sz w:val="20"/>
          <w:szCs w:val="20"/>
          <w:color w:val="auto"/>
        </w:rPr>
      </w:pPr>
    </w:p>
    <w:p>
      <w:pPr>
        <w:ind w:left="1420" w:hanging="427"/>
        <w:spacing w:after="0"/>
        <w:tabs>
          <w:tab w:leader="none" w:pos="142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As otherwise provided in the Non-Stock Award Agreement; and</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A-10</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208280</wp:posOffset>
            </wp:positionV>
            <wp:extent cx="2503170" cy="1454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503170" cy="145415"/>
                    </a:xfrm>
                    <a:prstGeom prst="rect">
                      <a:avLst/>
                    </a:prstGeom>
                    <a:noFill/>
                  </pic:spPr>
                </pic:pic>
              </a:graphicData>
            </a:graphic>
          </wp:anchor>
        </w:drawing>
      </w:r>
    </w:p>
    <w:p>
      <w:pPr>
        <w:spacing w:after="0" w:line="339"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FFFFFF"/>
        </w:rPr>
        <w:t>2022 Long-term Incentive Plan of Chevron Corporation</w:t>
      </w:r>
    </w:p>
    <w:p>
      <w:pPr>
        <w:spacing w:after="0" w:line="172" w:lineRule="exact"/>
        <w:rPr>
          <w:sz w:val="20"/>
          <w:szCs w:val="20"/>
          <w:color w:val="auto"/>
        </w:rPr>
      </w:pPr>
    </w:p>
    <w:p>
      <w:pPr>
        <w:ind w:left="1420" w:hanging="427"/>
        <w:spacing w:after="0"/>
        <w:tabs>
          <w:tab w:leader="none" w:pos="142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After the Participant’s death, to his or her beneficiary designated pursuant to procedures adopted by the Committee.</w:t>
      </w:r>
    </w:p>
    <w:p>
      <w:pPr>
        <w:spacing w:after="0" w:line="126" w:lineRule="exact"/>
        <w:rPr>
          <w:rFonts w:ascii="Arial" w:cs="Arial" w:eastAsia="Arial" w:hAnsi="Arial"/>
          <w:sz w:val="16"/>
          <w:szCs w:val="16"/>
          <w:color w:val="auto"/>
        </w:rPr>
      </w:pPr>
    </w:p>
    <w:p>
      <w:pPr>
        <w:ind w:left="980" w:hanging="432"/>
        <w:spacing w:after="0"/>
        <w:tabs>
          <w:tab w:leader="none" w:pos="98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Notwithstanding any provision of this Section XI, Non-Stock Awards may be forfeited as provided in Section XIII.</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 xml:space="preserve">SECTION XII. </w:t>
      </w:r>
      <w:r>
        <w:rPr>
          <w:rFonts w:ascii="Arial" w:cs="Arial" w:eastAsia="Arial" w:hAnsi="Arial"/>
          <w:sz w:val="22"/>
          <w:szCs w:val="22"/>
          <w:b w:val="1"/>
          <w:bCs w:val="1"/>
          <w:u w:val="single" w:color="auto"/>
          <w:color w:val="0B2D71"/>
        </w:rPr>
        <w:t>RECAPITALIZATION</w:t>
      </w:r>
      <w:r>
        <w:rPr>
          <w:rFonts w:ascii="Arial" w:cs="Arial" w:eastAsia="Arial" w:hAnsi="Arial"/>
          <w:sz w:val="22"/>
          <w:szCs w:val="22"/>
          <w:b w:val="1"/>
          <w:bCs w:val="1"/>
          <w:color w:val="0B2D71"/>
        </w:rPr>
        <w:t>.</w:t>
      </w:r>
    </w:p>
    <w:p>
      <w:pPr>
        <w:spacing w:after="0" w:line="126" w:lineRule="exact"/>
        <w:rPr>
          <w:sz w:val="20"/>
          <w:szCs w:val="20"/>
          <w:color w:val="auto"/>
        </w:rPr>
      </w:pPr>
    </w:p>
    <w:p>
      <w:pPr>
        <w:ind w:left="540" w:right="160" w:hanging="424"/>
        <w:spacing w:after="0" w:line="256" w:lineRule="auto"/>
        <w:tabs>
          <w:tab w:leader="none" w:pos="5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Subject to any required action by the stockholders, the number of Shares covered by the Plan as provided in Section V., the maximum number of Shares that may be granted to any one individual in any calendar year as provided in Section VII., the number of Shares covered by or referred to in each outstanding Award (other than an Award of Restricted Stock that is outstanding at the time of the event described in this paragraph), and the exercise price of each outstanding Stock Option and any price required to be paid for Restricted Stock not yet outstanding at the time of the event described in this paragraph or Other Share-Based Award shall be proportionately adjusted for:</w:t>
      </w:r>
    </w:p>
    <w:p>
      <w:pPr>
        <w:spacing w:after="0" w:line="85" w:lineRule="exact"/>
        <w:rPr>
          <w:rFonts w:ascii="Arial" w:cs="Arial" w:eastAsia="Arial" w:hAnsi="Arial"/>
          <w:sz w:val="16"/>
          <w:szCs w:val="16"/>
          <w:color w:val="auto"/>
        </w:rPr>
      </w:pPr>
    </w:p>
    <w:p>
      <w:pPr>
        <w:ind w:left="980" w:hanging="432"/>
        <w:spacing w:after="0"/>
        <w:tabs>
          <w:tab w:leader="none" w:pos="98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Any increase or decrease in the number of issued Shares resulting from a subdivision or consolidation of Shares;</w:t>
      </w:r>
    </w:p>
    <w:p>
      <w:pPr>
        <w:spacing w:after="0" w:line="126" w:lineRule="exact"/>
        <w:rPr>
          <w:rFonts w:ascii="Arial" w:cs="Arial" w:eastAsia="Arial" w:hAnsi="Arial"/>
          <w:sz w:val="16"/>
          <w:szCs w:val="16"/>
          <w:color w:val="auto"/>
        </w:rPr>
      </w:pPr>
    </w:p>
    <w:p>
      <w:pPr>
        <w:ind w:left="980" w:right="500" w:hanging="432"/>
        <w:spacing w:after="0" w:line="286" w:lineRule="auto"/>
        <w:tabs>
          <w:tab w:leader="none" w:pos="98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The payment of a stock dividend (but only of Common Stock) or any other increase or decrease in the number of such Shares effected without receipt of consideration by the Corporation; or</w:t>
      </w:r>
    </w:p>
    <w:p>
      <w:pPr>
        <w:spacing w:after="0" w:line="61" w:lineRule="exact"/>
        <w:rPr>
          <w:rFonts w:ascii="Arial" w:cs="Arial" w:eastAsia="Arial" w:hAnsi="Arial"/>
          <w:sz w:val="16"/>
          <w:szCs w:val="16"/>
          <w:color w:val="auto"/>
        </w:rPr>
      </w:pPr>
    </w:p>
    <w:p>
      <w:pPr>
        <w:ind w:left="980" w:hanging="432"/>
        <w:spacing w:after="0"/>
        <w:tabs>
          <w:tab w:leader="none" w:pos="98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The declaration of a dividend payable in cash that has a material effect on the price of issued Shares.</w:t>
      </w:r>
    </w:p>
    <w:p>
      <w:pPr>
        <w:spacing w:after="0" w:line="126" w:lineRule="exact"/>
        <w:rPr>
          <w:rFonts w:ascii="Arial" w:cs="Arial" w:eastAsia="Arial" w:hAnsi="Arial"/>
          <w:sz w:val="16"/>
          <w:szCs w:val="16"/>
          <w:color w:val="auto"/>
        </w:rPr>
      </w:pPr>
    </w:p>
    <w:p>
      <w:pPr>
        <w:ind w:left="540" w:right="320" w:hanging="424"/>
        <w:spacing w:after="0" w:line="266" w:lineRule="auto"/>
        <w:tabs>
          <w:tab w:leader="none" w:pos="5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Subject to any required action by the stockholders, if the Corporation is the surviving corporation in any merger, consolidation or other reorganization, each outstanding Award (other than an Award of Restricted Stock that is outstanding at such time) shall pertain and apply to the securities to which a holder of the number of Shares subject to the Award would have been entitled.</w:t>
      </w:r>
    </w:p>
    <w:p>
      <w:pPr>
        <w:spacing w:after="0" w:line="76" w:lineRule="exact"/>
        <w:rPr>
          <w:rFonts w:ascii="Arial" w:cs="Arial" w:eastAsia="Arial" w:hAnsi="Arial"/>
          <w:sz w:val="16"/>
          <w:szCs w:val="16"/>
          <w:color w:val="auto"/>
        </w:rPr>
      </w:pPr>
    </w:p>
    <w:p>
      <w:pPr>
        <w:ind w:left="540" w:right="180" w:hanging="424"/>
        <w:spacing w:after="0" w:line="256" w:lineRule="auto"/>
        <w:tabs>
          <w:tab w:leader="none" w:pos="5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In the event of a dissolution or liquidation of the corporation or a merger, consolidation or other reorganization in which the Corporation is not the surviving corporation, each outstanding Stock Option, each unvested Restricted Stock Award or Other Share-Based Award and each Non-Stock Award shall be assumed and substituted by the surviving corporation and each Stock Option, unvested Restricted Stock Award and Other Share-Based Award shall pertain to an equivalent number of shares in the surviving corporation, unless the terms of the agreement of merger, consolidation or reorganization call for the full vesting and cash out of such Awards.</w:t>
      </w:r>
    </w:p>
    <w:p>
      <w:pPr>
        <w:spacing w:after="0" w:line="85" w:lineRule="exact"/>
        <w:rPr>
          <w:rFonts w:ascii="Arial" w:cs="Arial" w:eastAsia="Arial" w:hAnsi="Arial"/>
          <w:sz w:val="16"/>
          <w:szCs w:val="16"/>
          <w:color w:val="auto"/>
        </w:rPr>
      </w:pPr>
    </w:p>
    <w:p>
      <w:pPr>
        <w:ind w:left="540" w:right="380" w:hanging="424"/>
        <w:spacing w:after="0" w:line="266" w:lineRule="auto"/>
        <w:tabs>
          <w:tab w:leader="none" w:pos="5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In the event of a change in the Common Stock, which is limited to a change of all of the Corporation’s authorized shares with par value into the same number of shares with a different par value or without par value, the shares resulting from any such change shall be deemed to be the Common Stock within the meaning of the Plan.</w:t>
      </w:r>
    </w:p>
    <w:p>
      <w:pPr>
        <w:spacing w:after="0" w:line="76" w:lineRule="exact"/>
        <w:rPr>
          <w:rFonts w:ascii="Arial" w:cs="Arial" w:eastAsia="Arial" w:hAnsi="Arial"/>
          <w:sz w:val="16"/>
          <w:szCs w:val="16"/>
          <w:color w:val="auto"/>
        </w:rPr>
      </w:pPr>
    </w:p>
    <w:p>
      <w:pPr>
        <w:ind w:left="540" w:right="380" w:hanging="424"/>
        <w:spacing w:after="0" w:line="286" w:lineRule="auto"/>
        <w:tabs>
          <w:tab w:leader="none" w:pos="5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Committee shall make equitable adjustments in the number of Shares covered by the Plan and the price or other value of any outstanding Awards in the event of a spin-off or other distribution (other than normal cash dividends) of Corporation assets to stockholders.</w:t>
      </w:r>
    </w:p>
    <w:p>
      <w:pPr>
        <w:spacing w:after="0" w:line="61" w:lineRule="exact"/>
        <w:rPr>
          <w:rFonts w:ascii="Arial" w:cs="Arial" w:eastAsia="Arial" w:hAnsi="Arial"/>
          <w:sz w:val="16"/>
          <w:szCs w:val="16"/>
          <w:color w:val="auto"/>
        </w:rPr>
      </w:pPr>
    </w:p>
    <w:p>
      <w:pPr>
        <w:ind w:left="540" w:right="20" w:hanging="424"/>
        <w:spacing w:after="0" w:line="286" w:lineRule="auto"/>
        <w:tabs>
          <w:tab w:leader="none" w:pos="5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To the extent that the foregoing adjustments relate to stock or securities of the Corporation, such adjustments shall be made by the Committee, and the action in that respect shall be final, binding and conclusive.</w:t>
      </w:r>
    </w:p>
    <w:p>
      <w:pPr>
        <w:spacing w:after="0" w:line="61" w:lineRule="exact"/>
        <w:rPr>
          <w:rFonts w:ascii="Arial" w:cs="Arial" w:eastAsia="Arial" w:hAnsi="Arial"/>
          <w:sz w:val="16"/>
          <w:szCs w:val="16"/>
          <w:color w:val="auto"/>
        </w:rPr>
      </w:pPr>
    </w:p>
    <w:p>
      <w:pPr>
        <w:ind w:left="540" w:right="40" w:hanging="424"/>
        <w:spacing w:after="0" w:line="256" w:lineRule="auto"/>
        <w:tabs>
          <w:tab w:leader="none" w:pos="5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Except as expressly provided in this Section XII., a Participant shall have no rights by reason of any subdivision or consolidation of shares of stock of any class or the payment of any stock dividend or any other increase or decrease in the number of shares of stock of any class or by reason of any dissolution, liquidation, merger or consolidation or spin-off of assets or stock of another corporation, and any issuance by the Corporation of shares of stock of any class or securities convertible into shares of stock of any class, shall not affect, and no adjustment by reason thereof shall be made with respect to, the number or price of Shares subject to the Stock Option.</w:t>
      </w:r>
    </w:p>
    <w:p>
      <w:pPr>
        <w:spacing w:after="0" w:line="85" w:lineRule="exact"/>
        <w:rPr>
          <w:rFonts w:ascii="Arial" w:cs="Arial" w:eastAsia="Arial" w:hAnsi="Arial"/>
          <w:sz w:val="16"/>
          <w:szCs w:val="16"/>
          <w:color w:val="auto"/>
        </w:rPr>
      </w:pPr>
    </w:p>
    <w:p>
      <w:pPr>
        <w:ind w:left="540" w:right="20" w:hanging="424"/>
        <w:spacing w:after="0" w:line="266" w:lineRule="auto"/>
        <w:tabs>
          <w:tab w:leader="none" w:pos="5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grant of an Award pursuant to the Plan shall not affect in any way the right or power of the Corporation to make adjustments, reclassifications, reorganizations or changes of its capital or business structure or to merge or consolidate or to dissolve, liquidate, sell or transfer all or any part of its business or assets.</w:t>
      </w:r>
    </w:p>
    <w:p>
      <w:pPr>
        <w:spacing w:after="0" w:line="76" w:lineRule="exact"/>
        <w:rPr>
          <w:rFonts w:ascii="Arial" w:cs="Arial" w:eastAsia="Arial" w:hAnsi="Arial"/>
          <w:sz w:val="16"/>
          <w:szCs w:val="16"/>
          <w:color w:val="auto"/>
        </w:rPr>
      </w:pPr>
    </w:p>
    <w:p>
      <w:pPr>
        <w:ind w:left="540" w:hanging="424"/>
        <w:spacing w:after="0" w:line="266" w:lineRule="auto"/>
        <w:tabs>
          <w:tab w:leader="none" w:pos="5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Committee shall prescribe rules governing the adjustment of the number of shares covered by the Plan as provided in Section V. and of Awards outstanding under the Plan in the event that the preferred stock purchase rights issued pursuant to the Corporation’s stockholder rights plan or any successor rights plan detach from the Common Stock and become exercisable.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 xml:space="preserve">SECTION XIII. </w:t>
      </w:r>
      <w:r>
        <w:rPr>
          <w:rFonts w:ascii="Arial" w:cs="Arial" w:eastAsia="Arial" w:hAnsi="Arial"/>
          <w:sz w:val="22"/>
          <w:szCs w:val="22"/>
          <w:b w:val="1"/>
          <w:bCs w:val="1"/>
          <w:u w:val="single" w:color="auto"/>
          <w:color w:val="0B2D71"/>
        </w:rPr>
        <w:t>FORFEITURE FOR MISCONDUCT</w:t>
      </w:r>
      <w:r>
        <w:rPr>
          <w:rFonts w:ascii="Arial" w:cs="Arial" w:eastAsia="Arial" w:hAnsi="Arial"/>
          <w:sz w:val="22"/>
          <w:szCs w:val="22"/>
          <w:b w:val="1"/>
          <w:bCs w:val="1"/>
          <w:color w:val="0B2D71"/>
        </w:rPr>
        <w:t>.</w:t>
      </w:r>
    </w:p>
    <w:p>
      <w:pPr>
        <w:spacing w:after="0" w:line="126" w:lineRule="exact"/>
        <w:rPr>
          <w:sz w:val="20"/>
          <w:szCs w:val="20"/>
          <w:color w:val="auto"/>
        </w:rPr>
      </w:pPr>
    </w:p>
    <w:p>
      <w:pPr>
        <w:ind w:left="540" w:hanging="424"/>
        <w:spacing w:after="0"/>
        <w:tabs>
          <w:tab w:leader="none" w:pos="54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Notwithstanding any other provision of this Plan to the contrary, if a Participant engages in Misconduct the Committee (or its delegate) may:</w:t>
      </w:r>
    </w:p>
    <w:p>
      <w:pPr>
        <w:spacing w:after="0" w:line="126" w:lineRule="exact"/>
        <w:rPr>
          <w:rFonts w:ascii="Arial" w:cs="Arial" w:eastAsia="Arial" w:hAnsi="Arial"/>
          <w:sz w:val="16"/>
          <w:szCs w:val="16"/>
          <w:color w:val="auto"/>
        </w:rPr>
      </w:pPr>
    </w:p>
    <w:p>
      <w:pPr>
        <w:jc w:val="both"/>
        <w:ind w:left="980" w:right="200" w:hanging="432"/>
        <w:spacing w:after="0" w:line="266" w:lineRule="auto"/>
        <w:tabs>
          <w:tab w:leader="none" w:pos="98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Rescind the exercise of any Stock Option granted on or after June 29, 2005 and exercised on or after the date the Participant’s Misconduct occurred and cancel all Awards granted on or after June 29, 2005 and outstanding on the date of discovery of the Participant’s Misconduct; and</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A-11</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5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shd w:val="clear" w:color="auto" w:fill="0B2D71"/>
        </w:rPr>
        <w:t>2022 Long-term Incentive Plan of Chevron Corporation</w:t>
      </w:r>
    </w:p>
    <w:p>
      <w:pPr>
        <w:spacing w:after="0" w:line="172" w:lineRule="exact"/>
        <w:rPr>
          <w:sz w:val="20"/>
          <w:szCs w:val="20"/>
          <w:color w:val="auto"/>
        </w:rPr>
      </w:pPr>
    </w:p>
    <w:p>
      <w:pPr>
        <w:ind w:left="980" w:right="60" w:hanging="432"/>
        <w:spacing w:after="0" w:line="253" w:lineRule="auto"/>
        <w:tabs>
          <w:tab w:leader="none" w:pos="98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Demand that the Participant repay any cash distributed to the Participant in respect of any Award granted on or after June 29, 2005 or pay over to the Corporation the proceeds (less the Participant’s purchase price, if any) received by the Participant upon the sale, transfer or other transaction involving the Shares acquired upon the exercise of any Stock Option granted on or after June 29, 2005 and exercised on or after the date the Participant’s Misconduct occurred or upon the vesting of any Award granted on or after June 29, 2005 and vested after the date of the Participant’s Misconduct, in such manner and on such terms and conditions as may be required, and, without limiting any other remedy the Corporation or its affiliates may have, the Corporation shall be entitled to set-off against the amount of any such proceeds any amount owed the Participant by the Corporation or its affiliates to the fullest extent permitted by law;</w:t>
      </w:r>
    </w:p>
    <w:p>
      <w:pPr>
        <w:spacing w:after="0" w:line="87" w:lineRule="exact"/>
        <w:rPr>
          <w:sz w:val="20"/>
          <w:szCs w:val="20"/>
          <w:color w:val="auto"/>
        </w:rPr>
      </w:pPr>
    </w:p>
    <w:p>
      <w:pPr>
        <w:ind w:left="540" w:right="240"/>
        <w:spacing w:after="0" w:line="286" w:lineRule="auto"/>
        <w:rPr>
          <w:sz w:val="20"/>
          <w:szCs w:val="20"/>
          <w:color w:val="auto"/>
        </w:rPr>
      </w:pPr>
      <w:r>
        <w:rPr>
          <w:rFonts w:ascii="Arial" w:cs="Arial" w:eastAsia="Arial" w:hAnsi="Arial"/>
          <w:sz w:val="16"/>
          <w:szCs w:val="16"/>
          <w:color w:val="auto"/>
        </w:rPr>
        <w:t>Provided that, following a Change in Control, this Section XIII. shall apply only in the event of Misconduct as defined in Section II.(v)(1) and (2) of the Plan.</w:t>
      </w:r>
    </w:p>
    <w:p>
      <w:pPr>
        <w:spacing w:after="0" w:line="61" w:lineRule="exact"/>
        <w:rPr>
          <w:sz w:val="20"/>
          <w:szCs w:val="20"/>
          <w:color w:val="auto"/>
        </w:rPr>
      </w:pPr>
    </w:p>
    <w:p>
      <w:pPr>
        <w:ind w:left="540" w:hanging="424"/>
        <w:spacing w:after="0" w:line="256" w:lineRule="auto"/>
        <w:tabs>
          <w:tab w:leader="none" w:pos="54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Notwithstanding any other provision of the Plan to the contrary, until any Award that does not constitute non-qualified deferred compensation within the meaning of Section 409A of the Code is delivered or distributed, such Award is subject to forfeiture if the Participant is indebted to the Corporation at the time when the Award becomes payable or distributable. In such case, such Award (to the extent that the amount thereof does not exceed such indebtedness determined as of the date payment is scheduled to be made) shall be forfeited and the Participant’s indebtedness to the Corporation shall be extinguished to the extent of such forfeiture.</w:t>
      </w:r>
    </w:p>
    <w:p>
      <w:pPr>
        <w:spacing w:after="0" w:line="85" w:lineRule="exact"/>
        <w:rPr>
          <w:rFonts w:ascii="Arial" w:cs="Arial" w:eastAsia="Arial" w:hAnsi="Arial"/>
          <w:sz w:val="16"/>
          <w:szCs w:val="16"/>
          <w:color w:val="auto"/>
        </w:rPr>
      </w:pPr>
    </w:p>
    <w:p>
      <w:pPr>
        <w:ind w:left="540" w:right="340" w:hanging="424"/>
        <w:spacing w:after="0" w:line="266" w:lineRule="auto"/>
        <w:tabs>
          <w:tab w:leader="none" w:pos="54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Any provision of this Section XIII. which is determined by a court of competent jurisdiction to be invalid or unenforceable should be construed or limited in a manner that is valid and enforceable and that comes closest to the business objectives intended by such invalid or unenforceable provision, without invalidating or rendering unenforceable the remaining provisions of this Section XIII.</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 xml:space="preserve">SECTION XIV. </w:t>
      </w:r>
      <w:r>
        <w:rPr>
          <w:rFonts w:ascii="Arial" w:cs="Arial" w:eastAsia="Arial" w:hAnsi="Arial"/>
          <w:sz w:val="22"/>
          <w:szCs w:val="22"/>
          <w:b w:val="1"/>
          <w:bCs w:val="1"/>
          <w:u w:val="single" w:color="auto"/>
          <w:color w:val="0B2D71"/>
        </w:rPr>
        <w:t>SECURITIES LAW REQUIREMENTS</w:t>
      </w:r>
      <w:r>
        <w:rPr>
          <w:rFonts w:ascii="Arial" w:cs="Arial" w:eastAsia="Arial" w:hAnsi="Arial"/>
          <w:sz w:val="22"/>
          <w:szCs w:val="22"/>
          <w:b w:val="1"/>
          <w:bCs w:val="1"/>
          <w:color w:val="0B2D71"/>
        </w:rPr>
        <w:t>.</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 Shares shall be issued and no Stock Options shall become exercisable pursuant to the Plan unless and until the Corporation has determined that:</w:t>
      </w:r>
    </w:p>
    <w:p>
      <w:pPr>
        <w:spacing w:after="0" w:line="127" w:lineRule="exact"/>
        <w:rPr>
          <w:sz w:val="20"/>
          <w:szCs w:val="20"/>
          <w:color w:val="auto"/>
        </w:rPr>
      </w:pPr>
    </w:p>
    <w:p>
      <w:pPr>
        <w:ind w:left="540" w:right="140" w:hanging="424"/>
        <w:spacing w:after="0" w:line="286" w:lineRule="auto"/>
        <w:tabs>
          <w:tab w:leader="none" w:pos="54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It and the Participant have taken all actions required to register the Shares under the Securities Act of 1933, as amended, or perfect an exemption from the registration requirements thereof;</w:t>
      </w:r>
    </w:p>
    <w:p>
      <w:pPr>
        <w:spacing w:after="0" w:line="61" w:lineRule="exact"/>
        <w:rPr>
          <w:rFonts w:ascii="Arial" w:cs="Arial" w:eastAsia="Arial" w:hAnsi="Arial"/>
          <w:sz w:val="16"/>
          <w:szCs w:val="16"/>
          <w:color w:val="auto"/>
        </w:rPr>
      </w:pPr>
    </w:p>
    <w:p>
      <w:pPr>
        <w:ind w:left="540" w:hanging="424"/>
        <w:spacing w:after="0"/>
        <w:tabs>
          <w:tab w:leader="none" w:pos="54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Any applicable listing requirement of any stock exchange on which the Common Stock is listed has been satisfied; and</w:t>
      </w:r>
    </w:p>
    <w:p>
      <w:pPr>
        <w:spacing w:after="0" w:line="126" w:lineRule="exact"/>
        <w:rPr>
          <w:rFonts w:ascii="Arial" w:cs="Arial" w:eastAsia="Arial" w:hAnsi="Arial"/>
          <w:sz w:val="16"/>
          <w:szCs w:val="16"/>
          <w:color w:val="auto"/>
        </w:rPr>
      </w:pPr>
    </w:p>
    <w:p>
      <w:pPr>
        <w:ind w:left="540" w:hanging="424"/>
        <w:spacing w:after="0"/>
        <w:tabs>
          <w:tab w:leader="none" w:pos="54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Any other applicable provision of state or federal law has been satisfied.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 xml:space="preserve">SECTION XV. </w:t>
      </w:r>
      <w:r>
        <w:rPr>
          <w:rFonts w:ascii="Arial" w:cs="Arial" w:eastAsia="Arial" w:hAnsi="Arial"/>
          <w:sz w:val="22"/>
          <w:szCs w:val="22"/>
          <w:b w:val="1"/>
          <w:bCs w:val="1"/>
          <w:u w:val="single" w:color="auto"/>
          <w:color w:val="0B2D71"/>
        </w:rPr>
        <w:t>AMENDMENTS OF THE PLAN OR AWARDS</w:t>
      </w:r>
      <w:r>
        <w:rPr>
          <w:rFonts w:ascii="Arial" w:cs="Arial" w:eastAsia="Arial" w:hAnsi="Arial"/>
          <w:sz w:val="22"/>
          <w:szCs w:val="22"/>
          <w:b w:val="1"/>
          <w:bCs w:val="1"/>
          <w:color w:val="0B2D71"/>
        </w:rPr>
        <w:t>.</w:t>
      </w:r>
    </w:p>
    <w:p>
      <w:pPr>
        <w:spacing w:after="0" w:line="126" w:lineRule="exact"/>
        <w:rPr>
          <w:sz w:val="20"/>
          <w:szCs w:val="20"/>
          <w:color w:val="auto"/>
        </w:rPr>
      </w:pPr>
    </w:p>
    <w:p>
      <w:pPr>
        <w:ind w:left="540" w:hanging="424"/>
        <w:spacing w:after="0"/>
        <w:tabs>
          <w:tab w:leader="none" w:pos="540"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Amendment of the Plan</w:t>
      </w:r>
      <w:r>
        <w:rPr>
          <w:rFonts w:ascii="Arial" w:cs="Arial" w:eastAsia="Arial" w:hAnsi="Arial"/>
          <w:sz w:val="16"/>
          <w:szCs w:val="16"/>
          <w:color w:val="auto"/>
        </w:rPr>
        <w:t>. The Board may, at any time, alter, amend or terminate the Plan; provided:</w:t>
      </w:r>
    </w:p>
    <w:p>
      <w:pPr>
        <w:spacing w:after="0" w:line="126" w:lineRule="exact"/>
        <w:rPr>
          <w:rFonts w:ascii="Arial" w:cs="Arial" w:eastAsia="Arial" w:hAnsi="Arial"/>
          <w:sz w:val="16"/>
          <w:szCs w:val="16"/>
          <w:color w:val="auto"/>
        </w:rPr>
      </w:pPr>
    </w:p>
    <w:p>
      <w:pPr>
        <w:ind w:left="980" w:right="100" w:hanging="432"/>
        <w:spacing w:after="0" w:line="256" w:lineRule="auto"/>
        <w:tabs>
          <w:tab w:leader="none" w:pos="98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The Board may, insofar as permitted by law, from time to time, with respect to any Shares at the time not already subject to Awards, suspend or discontinue the Plan or revise or amend it in any respect whatsoever. However, unless the Board specifically otherwise provides, any revision or amendment that would cause the Plan to fail to comply with either Rule 16b-3 or any other requirement of applicable law or regulation if such amendment were not approved by the holders of the Common Stock of the Corporation shall not be effective unless and until the approval of the holders of Common Stock of the Corporation is obtained.</w:t>
      </w:r>
    </w:p>
    <w:p>
      <w:pPr>
        <w:spacing w:after="0" w:line="85" w:lineRule="exact"/>
        <w:rPr>
          <w:rFonts w:ascii="Arial" w:cs="Arial" w:eastAsia="Arial" w:hAnsi="Arial"/>
          <w:sz w:val="16"/>
          <w:szCs w:val="16"/>
          <w:color w:val="auto"/>
        </w:rPr>
      </w:pPr>
    </w:p>
    <w:p>
      <w:pPr>
        <w:ind w:left="980" w:right="20" w:hanging="432"/>
        <w:spacing w:after="0" w:line="256" w:lineRule="auto"/>
        <w:tabs>
          <w:tab w:leader="none" w:pos="98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No amendment, revision, suspension or discontinuation of the Plan (including any amendment to this Section XV.) approved by the Board during the Benefit Protection Period under Change in Control shall be valid or effective if such amendment, revision, suspension or discontinuation would alter the provisions of this Section XV. or adversely affect an Award outstanding under the Plan; provided, however, any amendment, revision, suspension or discontinuation may be effected, even if so approved after the public announcement of the proposed transaction which effected, would have constituted a Change in Control, if:</w:t>
      </w:r>
    </w:p>
    <w:p>
      <w:pPr>
        <w:spacing w:after="0" w:line="85" w:lineRule="exact"/>
        <w:rPr>
          <w:rFonts w:ascii="Arial" w:cs="Arial" w:eastAsia="Arial" w:hAnsi="Arial"/>
          <w:sz w:val="16"/>
          <w:szCs w:val="16"/>
          <w:color w:val="auto"/>
        </w:rPr>
      </w:pPr>
    </w:p>
    <w:p>
      <w:pPr>
        <w:ind w:left="1420" w:right="220" w:hanging="427"/>
        <w:spacing w:after="0" w:line="286" w:lineRule="auto"/>
        <w:tabs>
          <w:tab w:leader="none" w:pos="1420" w:val="left"/>
        </w:tabs>
        <w:numPr>
          <w:ilvl w:val="2"/>
          <w:numId w:val="193"/>
        </w:numPr>
        <w:rPr>
          <w:rFonts w:ascii="Arial" w:cs="Arial" w:eastAsia="Arial" w:hAnsi="Arial"/>
          <w:sz w:val="16"/>
          <w:szCs w:val="16"/>
          <w:color w:val="auto"/>
        </w:rPr>
      </w:pPr>
      <w:r>
        <w:rPr>
          <w:rFonts w:ascii="Arial" w:cs="Arial" w:eastAsia="Arial" w:hAnsi="Arial"/>
          <w:sz w:val="16"/>
          <w:szCs w:val="16"/>
          <w:color w:val="auto"/>
        </w:rPr>
        <w:t>The amendment or revision is approved after any plans have been abandoned to effect the transaction which, if effected, would have constituted a Change in Control and the event which would have constituted the Change in Control has not occurred; and</w:t>
      </w:r>
    </w:p>
    <w:p>
      <w:pPr>
        <w:spacing w:after="0" w:line="61" w:lineRule="exact"/>
        <w:rPr>
          <w:rFonts w:ascii="Arial" w:cs="Arial" w:eastAsia="Arial" w:hAnsi="Arial"/>
          <w:sz w:val="16"/>
          <w:szCs w:val="16"/>
          <w:color w:val="auto"/>
        </w:rPr>
      </w:pPr>
    </w:p>
    <w:p>
      <w:pPr>
        <w:ind w:left="1420" w:right="60" w:hanging="427"/>
        <w:spacing w:after="0" w:line="262" w:lineRule="auto"/>
        <w:tabs>
          <w:tab w:leader="none" w:pos="1420" w:val="left"/>
        </w:tabs>
        <w:numPr>
          <w:ilvl w:val="2"/>
          <w:numId w:val="193"/>
        </w:numPr>
        <w:rPr>
          <w:rFonts w:ascii="Arial" w:cs="Arial" w:eastAsia="Arial" w:hAnsi="Arial"/>
          <w:sz w:val="16"/>
          <w:szCs w:val="16"/>
          <w:color w:val="auto"/>
        </w:rPr>
      </w:pPr>
      <w:r>
        <w:rPr>
          <w:rFonts w:ascii="Arial" w:cs="Arial" w:eastAsia="Arial" w:hAnsi="Arial"/>
          <w:sz w:val="16"/>
          <w:szCs w:val="16"/>
          <w:color w:val="auto"/>
        </w:rPr>
        <w:t>Within a period of six (6) months after such approval, no other event constituting a Change in Control shall have occurred, and no public announcement of a proposed event which would constitute a Change in Control shall have been made, unless thereafter any plans to effect the Change in Control have been abandoned and the event which would have constituted the Change in Control has not occurred.</w:t>
      </w: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A-12</w:t>
      </w:r>
    </w:p>
    <w:p>
      <w:pPr>
        <w:sectPr>
          <w:pgSz w:w="11900" w:h="16838" w:orient="portrait"/>
          <w:cols w:equalWidth="0" w:num="1">
            <w:col w:w="11140"/>
          </w:cols>
          <w:pgMar w:left="320" w:top="455" w:right="4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208280</wp:posOffset>
            </wp:positionV>
            <wp:extent cx="2503170" cy="1454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503170" cy="145415"/>
                    </a:xfrm>
                    <a:prstGeom prst="rect">
                      <a:avLst/>
                    </a:prstGeom>
                    <a:noFill/>
                  </pic:spPr>
                </pic:pic>
              </a:graphicData>
            </a:graphic>
          </wp:anchor>
        </w:drawing>
      </w:r>
    </w:p>
    <w:p>
      <w:pPr>
        <w:spacing w:after="0" w:line="339"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FFFFFF"/>
        </w:rPr>
        <w:t>2022 Long-term Incentive Plan of Chevron Corporation</w:t>
      </w:r>
    </w:p>
    <w:p>
      <w:pPr>
        <w:spacing w:after="0" w:line="172" w:lineRule="exact"/>
        <w:rPr>
          <w:sz w:val="20"/>
          <w:szCs w:val="20"/>
          <w:color w:val="auto"/>
        </w:rPr>
      </w:pPr>
    </w:p>
    <w:p>
      <w:pPr>
        <w:ind w:left="980" w:right="40" w:hanging="432"/>
        <w:spacing w:after="0" w:line="266" w:lineRule="auto"/>
        <w:tabs>
          <w:tab w:leader="none" w:pos="98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Any amendment, revision, suspension or discontinuation of the Plan which is approved by the Board prior to a Change in Control at the request of a third party who effectuates a Change in Control shall be deemed to be an amendment, revision, suspension or discontinuation of the Plan so approved during the Benefit Protection Period.</w:t>
      </w:r>
    </w:p>
    <w:p>
      <w:pPr>
        <w:spacing w:after="0" w:line="76" w:lineRule="exact"/>
        <w:rPr>
          <w:rFonts w:ascii="Arial" w:cs="Arial" w:eastAsia="Arial" w:hAnsi="Arial"/>
          <w:sz w:val="16"/>
          <w:szCs w:val="16"/>
          <w:color w:val="auto"/>
        </w:rPr>
      </w:pPr>
    </w:p>
    <w:p>
      <w:pPr>
        <w:ind w:left="540" w:right="40" w:hanging="424"/>
        <w:spacing w:after="0" w:line="259" w:lineRule="auto"/>
        <w:tabs>
          <w:tab w:leader="none" w:pos="540"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t>Amendments of Awards</w:t>
      </w:r>
      <w:r>
        <w:rPr>
          <w:rFonts w:ascii="Arial" w:cs="Arial" w:eastAsia="Arial" w:hAnsi="Arial"/>
          <w:sz w:val="16"/>
          <w:szCs w:val="16"/>
          <w:color w:val="auto"/>
        </w:rPr>
        <w:t>. Subject to the terms of the Plan, the Committee may amend, cancel, modify, extend or renew outstanding Awards granted under the Plan; provided, however, that the post-Termination exercise of an outstanding Stock Option shall not be extended to a date later than the date the Stock Option is originally scheduled to expire. Notwithstanding the foregoing, no Stock Option or, as applicable, any other Award shall be repriced under this Plan.</w:t>
      </w:r>
    </w:p>
    <w:p>
      <w:pPr>
        <w:spacing w:after="0" w:line="83" w:lineRule="exact"/>
        <w:rPr>
          <w:rFonts w:ascii="Arial" w:cs="Arial" w:eastAsia="Arial" w:hAnsi="Arial"/>
          <w:sz w:val="16"/>
          <w:szCs w:val="16"/>
          <w:color w:val="auto"/>
        </w:rPr>
      </w:pPr>
    </w:p>
    <w:p>
      <w:pPr>
        <w:ind w:left="540" w:right="80" w:hanging="424"/>
        <w:spacing w:after="0" w:line="259" w:lineRule="auto"/>
        <w:tabs>
          <w:tab w:leader="none" w:pos="540"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t>Rights of Participant</w:t>
      </w:r>
      <w:r>
        <w:rPr>
          <w:rFonts w:ascii="Arial" w:cs="Arial" w:eastAsia="Arial" w:hAnsi="Arial"/>
          <w:sz w:val="16"/>
          <w:szCs w:val="16"/>
          <w:color w:val="auto"/>
        </w:rPr>
        <w:t>. Notwithstanding any other provision of this Section XV., no amendment, suspension or termination of the Plan nor any amendment, cancellation or modification of any Award outstanding under it that would adversely affect the right of any Participant in an Award previously granted under the Plan shall be effective without the written consent of the affected Participant except to the extent necessary to comply with applicable law (including compliance with any provision of law concerning favorable taxation).</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 xml:space="preserve">SECTION XVI. </w:t>
      </w:r>
      <w:r>
        <w:rPr>
          <w:rFonts w:ascii="Arial" w:cs="Arial" w:eastAsia="Arial" w:hAnsi="Arial"/>
          <w:sz w:val="22"/>
          <w:szCs w:val="22"/>
          <w:b w:val="1"/>
          <w:bCs w:val="1"/>
          <w:u w:val="single" w:color="auto"/>
          <w:color w:val="0B2D71"/>
        </w:rPr>
        <w:t>GENERAL PROVISIONS</w:t>
      </w:r>
      <w:r>
        <w:rPr>
          <w:rFonts w:ascii="Arial" w:cs="Arial" w:eastAsia="Arial" w:hAnsi="Arial"/>
          <w:sz w:val="22"/>
          <w:szCs w:val="22"/>
          <w:b w:val="1"/>
          <w:bCs w:val="1"/>
          <w:color w:val="0B2D71"/>
        </w:rPr>
        <w:t>.</w:t>
      </w:r>
    </w:p>
    <w:p>
      <w:pPr>
        <w:spacing w:after="0" w:line="126" w:lineRule="exact"/>
        <w:rPr>
          <w:sz w:val="20"/>
          <w:szCs w:val="20"/>
          <w:color w:val="auto"/>
        </w:rPr>
      </w:pPr>
    </w:p>
    <w:p>
      <w:pPr>
        <w:ind w:left="540" w:right="60" w:hanging="424"/>
        <w:spacing w:after="0" w:line="266" w:lineRule="auto"/>
        <w:tabs>
          <w:tab w:leader="none" w:pos="540"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Authority to Satisfy Obligations</w:t>
      </w:r>
      <w:r>
        <w:rPr>
          <w:rFonts w:ascii="Arial" w:cs="Arial" w:eastAsia="Arial" w:hAnsi="Arial"/>
          <w:sz w:val="16"/>
          <w:szCs w:val="16"/>
          <w:color w:val="auto"/>
        </w:rPr>
        <w:t>. The Committee shall have the authority to grant Awards as an alternative to or as the form of payment for grants or rights earned or due under other compensation plans or arrangements of the Corporation, including, without limitation, any plans or arrangements of any employer acquired by the Corporation.</w:t>
      </w:r>
    </w:p>
    <w:p>
      <w:pPr>
        <w:spacing w:after="0" w:line="76" w:lineRule="exact"/>
        <w:rPr>
          <w:rFonts w:ascii="Arial" w:cs="Arial" w:eastAsia="Arial" w:hAnsi="Arial"/>
          <w:sz w:val="16"/>
          <w:szCs w:val="16"/>
          <w:color w:val="auto"/>
        </w:rPr>
      </w:pPr>
    </w:p>
    <w:p>
      <w:pPr>
        <w:ind w:left="540" w:hanging="424"/>
        <w:spacing w:after="0" w:line="266" w:lineRule="auto"/>
        <w:tabs>
          <w:tab w:leader="none" w:pos="540"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Participants’ Stockholder Rights</w:t>
      </w:r>
      <w:r>
        <w:rPr>
          <w:rFonts w:ascii="Arial" w:cs="Arial" w:eastAsia="Arial" w:hAnsi="Arial"/>
          <w:sz w:val="16"/>
          <w:szCs w:val="16"/>
          <w:color w:val="auto"/>
        </w:rPr>
        <w:t>. A Participant shall have no dividend rights, voting rights or other rights as a stockholder with respect to any Shares covered by his or her Award prior to the date such interest is recorded as a book entry on the records of the Corporation. No adjustment shall be made for cash dividends or other rights for which the record date is prior to the date when such interest is recorded.</w:t>
      </w:r>
    </w:p>
    <w:p>
      <w:pPr>
        <w:spacing w:after="0" w:line="76" w:lineRule="exact"/>
        <w:rPr>
          <w:rFonts w:ascii="Arial" w:cs="Arial" w:eastAsia="Arial" w:hAnsi="Arial"/>
          <w:sz w:val="16"/>
          <w:szCs w:val="16"/>
          <w:color w:val="auto"/>
        </w:rPr>
      </w:pPr>
    </w:p>
    <w:p>
      <w:pPr>
        <w:ind w:left="540" w:right="20" w:hanging="424"/>
        <w:spacing w:after="0" w:line="259" w:lineRule="auto"/>
        <w:tabs>
          <w:tab w:leader="none" w:pos="540"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Participant’s Rights Unsecured</w:t>
      </w:r>
      <w:r>
        <w:rPr>
          <w:rFonts w:ascii="Arial" w:cs="Arial" w:eastAsia="Arial" w:hAnsi="Arial"/>
          <w:sz w:val="16"/>
          <w:szCs w:val="16"/>
          <w:color w:val="auto"/>
        </w:rPr>
        <w:t>. A holder of an Other Share-Based Award or a Non-Stock Award shall have no rights other than those of a general creditor of the Corporation. Other Share-Based Awards and Non-Stock Awards shall represent unfunded and unsecured obligations against the general assets of the Corporation, subject to the terms and conditions of the applicable Other Share-Based Award Agreement and of the Non-Stock Award Agreement.</w:t>
      </w:r>
    </w:p>
    <w:p>
      <w:pPr>
        <w:spacing w:after="0" w:line="83" w:lineRule="exact"/>
        <w:rPr>
          <w:rFonts w:ascii="Arial" w:cs="Arial" w:eastAsia="Arial" w:hAnsi="Arial"/>
          <w:sz w:val="16"/>
          <w:szCs w:val="16"/>
          <w:color w:val="auto"/>
        </w:rPr>
      </w:pPr>
    </w:p>
    <w:p>
      <w:pPr>
        <w:ind w:left="540" w:right="40" w:hanging="424"/>
        <w:spacing w:after="0" w:line="259" w:lineRule="auto"/>
        <w:tabs>
          <w:tab w:leader="none" w:pos="540"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Authority to Establish a Grantor Trust</w:t>
      </w:r>
      <w:r>
        <w:rPr>
          <w:rFonts w:ascii="Arial" w:cs="Arial" w:eastAsia="Arial" w:hAnsi="Arial"/>
          <w:sz w:val="16"/>
          <w:szCs w:val="16"/>
          <w:color w:val="auto"/>
        </w:rPr>
        <w:t>. The Committee is authorized in its sole discretion to establish a grantor trust for the purpose of providing security for the payment of Awards under the Plan; provided, however, that no Participant shall be considered to have a beneficial ownership interest (or any other sort of interest) in any specific asset of the Corporation as a result of the creation of such trust or the transfer of funds or other property to such trust.</w:t>
      </w:r>
    </w:p>
    <w:p>
      <w:pPr>
        <w:spacing w:after="0" w:line="83" w:lineRule="exact"/>
        <w:rPr>
          <w:rFonts w:ascii="Arial" w:cs="Arial" w:eastAsia="Arial" w:hAnsi="Arial"/>
          <w:sz w:val="16"/>
          <w:szCs w:val="16"/>
          <w:color w:val="auto"/>
        </w:rPr>
      </w:pPr>
    </w:p>
    <w:p>
      <w:pPr>
        <w:ind w:left="540" w:right="540" w:hanging="424"/>
        <w:spacing w:after="0" w:line="286" w:lineRule="auto"/>
        <w:tabs>
          <w:tab w:leader="none" w:pos="540"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No Obligation to Exercise Stock Option</w:t>
      </w:r>
      <w:r>
        <w:rPr>
          <w:rFonts w:ascii="Arial" w:cs="Arial" w:eastAsia="Arial" w:hAnsi="Arial"/>
          <w:sz w:val="16"/>
          <w:szCs w:val="16"/>
          <w:color w:val="auto"/>
        </w:rPr>
        <w:t>. The granting of a Stock Option shall impose no obligation upon the Optionee to exercise such Stock Option.</w:t>
      </w:r>
    </w:p>
    <w:p>
      <w:pPr>
        <w:spacing w:after="0" w:line="61" w:lineRule="exact"/>
        <w:rPr>
          <w:rFonts w:ascii="Arial" w:cs="Arial" w:eastAsia="Arial" w:hAnsi="Arial"/>
          <w:sz w:val="16"/>
          <w:szCs w:val="16"/>
          <w:color w:val="auto"/>
        </w:rPr>
      </w:pPr>
    </w:p>
    <w:p>
      <w:pPr>
        <w:ind w:left="540" w:right="220" w:hanging="424"/>
        <w:spacing w:after="0" w:line="286" w:lineRule="auto"/>
        <w:tabs>
          <w:tab w:leader="none" w:pos="540"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Participant’s Beneficiary</w:t>
      </w:r>
      <w:r>
        <w:rPr>
          <w:rFonts w:ascii="Arial" w:cs="Arial" w:eastAsia="Arial" w:hAnsi="Arial"/>
          <w:sz w:val="16"/>
          <w:szCs w:val="16"/>
          <w:color w:val="auto"/>
        </w:rPr>
        <w:t>. The Rules may provide that in the case of an Award that is not forfeitable by its terms upon the death of the Participant, the Participant may designate a beneficiary with respect to such Award in the event of death of a Participant.</w:t>
      </w:r>
    </w:p>
    <w:p>
      <w:pPr>
        <w:spacing w:after="0" w:line="61" w:lineRule="exact"/>
        <w:rPr>
          <w:rFonts w:ascii="Arial" w:cs="Arial" w:eastAsia="Arial" w:hAnsi="Arial"/>
          <w:sz w:val="16"/>
          <w:szCs w:val="16"/>
          <w:color w:val="auto"/>
        </w:rPr>
      </w:pPr>
    </w:p>
    <w:p>
      <w:pPr>
        <w:ind w:left="540" w:right="20" w:hanging="424"/>
        <w:spacing w:after="0" w:line="266" w:lineRule="auto"/>
        <w:tabs>
          <w:tab w:leader="none" w:pos="540"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Deferral Elections</w:t>
      </w:r>
      <w:r>
        <w:rPr>
          <w:rFonts w:ascii="Arial" w:cs="Arial" w:eastAsia="Arial" w:hAnsi="Arial"/>
          <w:sz w:val="16"/>
          <w:szCs w:val="16"/>
          <w:color w:val="auto"/>
        </w:rPr>
        <w:t>. Grants under the Plan other than Stock Options and Stock Appreciation Rights may be deferred, if so provided in the Award agreement, to the extent permitted under the terms of the Chevron Corporation Deferred Compensation Plan for Management Employees II (or any successor plan) and in compliance with the requirements of Section 409A of the Code.</w:t>
      </w:r>
    </w:p>
    <w:p>
      <w:pPr>
        <w:spacing w:after="0" w:line="76" w:lineRule="exact"/>
        <w:rPr>
          <w:rFonts w:ascii="Arial" w:cs="Arial" w:eastAsia="Arial" w:hAnsi="Arial"/>
          <w:sz w:val="16"/>
          <w:szCs w:val="16"/>
          <w:color w:val="auto"/>
        </w:rPr>
      </w:pPr>
    </w:p>
    <w:p>
      <w:pPr>
        <w:jc w:val="both"/>
        <w:ind w:left="540" w:right="80" w:hanging="424"/>
        <w:spacing w:after="0" w:line="266" w:lineRule="auto"/>
        <w:tabs>
          <w:tab w:leader="none" w:pos="540"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Awards in Foreign Countries</w:t>
      </w:r>
      <w:r>
        <w:rPr>
          <w:rFonts w:ascii="Arial" w:cs="Arial" w:eastAsia="Arial" w:hAnsi="Arial"/>
          <w:sz w:val="16"/>
          <w:szCs w:val="16"/>
          <w:color w:val="auto"/>
        </w:rPr>
        <w:t>. The Committee shall have the authority to adopt such modifications, procedures and sub plans as may be necessary or desirable to comply with provisions of the laws of foreign countries in which the Corporation may operate to assure the viability of the benefits of Awards made to Participants employed in such countries and to meet the intent of the Plan.</w:t>
      </w:r>
    </w:p>
    <w:p>
      <w:pPr>
        <w:spacing w:after="0" w:line="76" w:lineRule="exact"/>
        <w:rPr>
          <w:rFonts w:ascii="Arial" w:cs="Arial" w:eastAsia="Arial" w:hAnsi="Arial"/>
          <w:sz w:val="16"/>
          <w:szCs w:val="16"/>
          <w:color w:val="auto"/>
        </w:rPr>
      </w:pPr>
    </w:p>
    <w:p>
      <w:pPr>
        <w:ind w:left="540" w:hanging="424"/>
        <w:spacing w:after="0"/>
        <w:tabs>
          <w:tab w:leader="none" w:pos="540"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jc w:val="both"/>
        <w:ind w:left="980" w:right="260" w:hanging="432"/>
        <w:spacing w:after="0" w:line="266" w:lineRule="auto"/>
        <w:tabs>
          <w:tab w:leader="none" w:pos="980" w:val="left"/>
        </w:tabs>
        <w:numPr>
          <w:ilvl w:val="1"/>
          <w:numId w:val="19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To the extent required by applicable federal, state, local or foreign law, the recipient of any payment or distribution under the Plan shall make arrangements satisfactory to the Corporation for the satisfaction of any withholding tax obligations that arise by reason of such payment or distribution. The Corporation shall not be required to make such payment or distribution until such obligations are satisfied.</w:t>
      </w:r>
    </w:p>
    <w:p>
      <w:pPr>
        <w:spacing w:after="0" w:line="76" w:lineRule="exact"/>
        <w:rPr>
          <w:rFonts w:ascii="Arial" w:cs="Arial" w:eastAsia="Arial" w:hAnsi="Arial"/>
          <w:sz w:val="16"/>
          <w:szCs w:val="16"/>
          <w:color w:val="auto"/>
        </w:rPr>
      </w:pPr>
    </w:p>
    <w:p>
      <w:pPr>
        <w:ind w:left="980" w:right="160" w:hanging="432"/>
        <w:spacing w:after="0" w:line="256" w:lineRule="auto"/>
        <w:tabs>
          <w:tab w:leader="none" w:pos="980" w:val="left"/>
        </w:tabs>
        <w:numPr>
          <w:ilvl w:val="1"/>
          <w:numId w:val="196"/>
        </w:numPr>
        <w:rPr>
          <w:rFonts w:ascii="Arial" w:cs="Arial" w:eastAsia="Arial" w:hAnsi="Arial"/>
          <w:sz w:val="16"/>
          <w:szCs w:val="16"/>
          <w:color w:val="auto"/>
        </w:rPr>
      </w:pPr>
      <w:r>
        <w:rPr>
          <w:rFonts w:ascii="Arial" w:cs="Arial" w:eastAsia="Arial" w:hAnsi="Arial"/>
          <w:sz w:val="16"/>
          <w:szCs w:val="16"/>
          <w:u w:val="single" w:color="auto"/>
          <w:color w:val="auto"/>
        </w:rPr>
        <w:t>Stock Withholding</w:t>
      </w:r>
      <w:r>
        <w:rPr>
          <w:rFonts w:ascii="Arial" w:cs="Arial" w:eastAsia="Arial" w:hAnsi="Arial"/>
          <w:sz w:val="16"/>
          <w:szCs w:val="16"/>
          <w:color w:val="auto"/>
        </w:rPr>
        <w:t>. The Committee in its sole discretion may permit a Participant to satisfy all or part of his or her withholding tax obligations incident to the grant, exercise, vesting or settlement of an Award by having the Corporation withhold a portion of the Shares that otherwise would be issued to him or her. The payment of withholding taxes by surrendering Shares to the Corporation, if permitted by the Committee, shall be subject to such restrictions as the Committee may impose, including any restrictions required by rules of the Commission due to adverse accounting considerations.</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A-13</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5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shd w:val="clear" w:color="auto" w:fill="0B2D71"/>
        </w:rPr>
        <w:t>2022 Long-term Incentive Plan of Chevron Corporation</w:t>
      </w:r>
    </w:p>
    <w:p>
      <w:pPr>
        <w:spacing w:after="0" w:line="172" w:lineRule="exact"/>
        <w:rPr>
          <w:sz w:val="20"/>
          <w:szCs w:val="20"/>
          <w:color w:val="auto"/>
        </w:rPr>
      </w:pPr>
    </w:p>
    <w:p>
      <w:pPr>
        <w:ind w:left="540" w:hanging="424"/>
        <w:spacing w:after="0" w:line="251" w:lineRule="auto"/>
        <w:tabs>
          <w:tab w:leader="none" w:pos="540"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Other Corporation Benefit and Compensation Programs</w:t>
      </w:r>
      <w:r>
        <w:rPr>
          <w:rFonts w:ascii="Arial" w:cs="Arial" w:eastAsia="Arial" w:hAnsi="Arial"/>
          <w:sz w:val="16"/>
          <w:szCs w:val="16"/>
          <w:color w:val="auto"/>
        </w:rPr>
        <w:t>. Payments and other benefits received by a Participant under the Plan shall not be deemed a part of a Participant’s regular, recurring compensation for purposes of the termination indemnity or severance pay law of any country, state or political subdivision thereof and shall not be included in, nor have any effect on, the determination of benefits under any other employee benefit plan or similar arrangement provided by the Corporation unless expressly so provided by such other plan or arrangement, or except where the Committee expressly determines that inclusion of an Award or portion of an Award is necessary to accurately reflect competitive compensation practices or to recognize that an Award has been made in lieu of a portion of competitive annual cash compensation. Awards under the Plan may be made in combination with or in tandem with, or as alternatives to, grants, awards or payments under any Corporation plans. The Plan notwithstanding, the Corporation may adopt such other compensation programs and additional compensation arrangements as it deems necessary to attract, retain and reward Eligible Employees for their service with the Corporation.</w:t>
      </w:r>
    </w:p>
    <w:p>
      <w:pPr>
        <w:spacing w:after="0" w:line="90" w:lineRule="exact"/>
        <w:rPr>
          <w:rFonts w:ascii="Arial" w:cs="Arial" w:eastAsia="Arial" w:hAnsi="Arial"/>
          <w:sz w:val="16"/>
          <w:szCs w:val="16"/>
          <w:color w:val="auto"/>
        </w:rPr>
      </w:pPr>
    </w:p>
    <w:p>
      <w:pPr>
        <w:ind w:left="540" w:right="160" w:hanging="424"/>
        <w:spacing w:after="0" w:line="286" w:lineRule="auto"/>
        <w:tabs>
          <w:tab w:leader="none" w:pos="540"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Application of Funds</w:t>
      </w:r>
      <w:r>
        <w:rPr>
          <w:rFonts w:ascii="Arial" w:cs="Arial" w:eastAsia="Arial" w:hAnsi="Arial"/>
          <w:sz w:val="16"/>
          <w:szCs w:val="16"/>
          <w:color w:val="auto"/>
        </w:rPr>
        <w:t>. The proceeds received by the Corporation from the sale of Common Stock pursuant to the exercise of a Stock Option or the grant of Restricted Stock shall be used for general corporate purposes.</w:t>
      </w:r>
    </w:p>
    <w:p>
      <w:pPr>
        <w:spacing w:after="0" w:line="61" w:lineRule="exact"/>
        <w:rPr>
          <w:rFonts w:ascii="Arial" w:cs="Arial" w:eastAsia="Arial" w:hAnsi="Arial"/>
          <w:sz w:val="16"/>
          <w:szCs w:val="16"/>
          <w:color w:val="auto"/>
        </w:rPr>
      </w:pPr>
    </w:p>
    <w:p>
      <w:pPr>
        <w:ind w:left="540" w:hanging="424"/>
        <w:spacing w:after="0"/>
        <w:tabs>
          <w:tab w:leader="none" w:pos="540"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Costs of the Plan</w:t>
      </w:r>
      <w:r>
        <w:rPr>
          <w:rFonts w:ascii="Arial" w:cs="Arial" w:eastAsia="Arial" w:hAnsi="Arial"/>
          <w:sz w:val="16"/>
          <w:szCs w:val="16"/>
          <w:color w:val="auto"/>
        </w:rPr>
        <w:t>. The costs and expenses of administering the Plan shall be borne by the Corporation.</w:t>
      </w:r>
    </w:p>
    <w:p>
      <w:pPr>
        <w:spacing w:after="0" w:line="126" w:lineRule="exact"/>
        <w:rPr>
          <w:rFonts w:ascii="Arial" w:cs="Arial" w:eastAsia="Arial" w:hAnsi="Arial"/>
          <w:sz w:val="16"/>
          <w:szCs w:val="16"/>
          <w:color w:val="auto"/>
        </w:rPr>
      </w:pPr>
    </w:p>
    <w:p>
      <w:pPr>
        <w:ind w:left="540" w:right="80" w:hanging="424"/>
        <w:spacing w:after="0" w:line="266" w:lineRule="auto"/>
        <w:tabs>
          <w:tab w:leader="none" w:pos="540"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Binding Effect of Plan</w:t>
      </w:r>
      <w:r>
        <w:rPr>
          <w:rFonts w:ascii="Arial" w:cs="Arial" w:eastAsia="Arial" w:hAnsi="Arial"/>
          <w:sz w:val="16"/>
          <w:szCs w:val="16"/>
          <w:color w:val="auto"/>
        </w:rPr>
        <w:t>. The Plan shall be binding upon and shall inure to the benefit of the Corporation, its Successors or Assigns and the Corporation shall require any Successor or Assign to expressly assume and agree to perform the Plan in the same manner and to the same extent that the Corporation would be required to perform it if no such Succession or Assignment had taken place.</w:t>
      </w:r>
    </w:p>
    <w:p>
      <w:pPr>
        <w:spacing w:after="0" w:line="76" w:lineRule="exact"/>
        <w:rPr>
          <w:rFonts w:ascii="Arial" w:cs="Arial" w:eastAsia="Arial" w:hAnsi="Arial"/>
          <w:sz w:val="16"/>
          <w:szCs w:val="16"/>
          <w:color w:val="auto"/>
        </w:rPr>
      </w:pPr>
    </w:p>
    <w:p>
      <w:pPr>
        <w:ind w:left="540" w:right="20" w:hanging="424"/>
        <w:spacing w:after="0" w:line="266" w:lineRule="auto"/>
        <w:tabs>
          <w:tab w:leader="none" w:pos="540"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No Waiver of Breach</w:t>
      </w:r>
      <w:r>
        <w:rPr>
          <w:rFonts w:ascii="Arial" w:cs="Arial" w:eastAsia="Arial" w:hAnsi="Arial"/>
          <w:sz w:val="16"/>
          <w:szCs w:val="16"/>
          <w:color w:val="auto"/>
        </w:rPr>
        <w:t>. No waiver by either party hereto at any time of any breach by the other party hereto of, or compliance with, any condition or provision of the Plan to be performed by such other party shall be deemed a waiver of similar or dissimilar provisions of conditions at the same or at any prior or subsequent time.</w:t>
      </w:r>
    </w:p>
    <w:p>
      <w:pPr>
        <w:spacing w:after="0" w:line="76" w:lineRule="exact"/>
        <w:rPr>
          <w:rFonts w:ascii="Arial" w:cs="Arial" w:eastAsia="Arial" w:hAnsi="Arial"/>
          <w:sz w:val="16"/>
          <w:szCs w:val="16"/>
          <w:color w:val="auto"/>
        </w:rPr>
      </w:pPr>
    </w:p>
    <w:p>
      <w:pPr>
        <w:ind w:left="540" w:right="300" w:hanging="424"/>
        <w:spacing w:after="0" w:line="266" w:lineRule="auto"/>
        <w:tabs>
          <w:tab w:leader="none" w:pos="540"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No Right to Employment</w:t>
      </w:r>
      <w:r>
        <w:rPr>
          <w:rFonts w:ascii="Arial" w:cs="Arial" w:eastAsia="Arial" w:hAnsi="Arial"/>
          <w:sz w:val="16"/>
          <w:szCs w:val="16"/>
          <w:color w:val="auto"/>
        </w:rPr>
        <w:t>. Neither the Plan, the Rules, or any Award granted under the Plan shall be deemed to give any employee any right to remain in the employ of the Corporation or to impair the Corporation’s right to Terminate any employee at any time, with or without cause, which right is hereby reserved.</w:t>
      </w:r>
    </w:p>
    <w:p>
      <w:pPr>
        <w:spacing w:after="0" w:line="76" w:lineRule="exact"/>
        <w:rPr>
          <w:rFonts w:ascii="Arial" w:cs="Arial" w:eastAsia="Arial" w:hAnsi="Arial"/>
          <w:sz w:val="16"/>
          <w:szCs w:val="16"/>
          <w:color w:val="auto"/>
        </w:rPr>
      </w:pPr>
    </w:p>
    <w:p>
      <w:pPr>
        <w:ind w:left="540" w:right="200" w:hanging="424"/>
        <w:spacing w:after="0" w:line="266" w:lineRule="auto"/>
        <w:tabs>
          <w:tab w:leader="none" w:pos="540"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Choice of Law</w:t>
      </w:r>
      <w:r>
        <w:rPr>
          <w:rFonts w:ascii="Arial" w:cs="Arial" w:eastAsia="Arial" w:hAnsi="Arial"/>
          <w:sz w:val="16"/>
          <w:szCs w:val="16"/>
          <w:color w:val="auto"/>
        </w:rPr>
        <w:t>. The Plan shall be administered, construed and governed in accordance with the Code, and the laws of the State of California, but without regard to its conflict of law rules. Notwithstanding the foregoing, the Section II.(v) definition of Misconduct shall be subject to the jurisdiction’s law that would otherwise be applicable, but without regard to that particular jurisdiction’s conflict of laws rules.</w:t>
      </w:r>
    </w:p>
    <w:p>
      <w:pPr>
        <w:spacing w:after="0" w:line="76" w:lineRule="exact"/>
        <w:rPr>
          <w:rFonts w:ascii="Arial" w:cs="Arial" w:eastAsia="Arial" w:hAnsi="Arial"/>
          <w:sz w:val="16"/>
          <w:szCs w:val="16"/>
          <w:color w:val="auto"/>
        </w:rPr>
      </w:pPr>
    </w:p>
    <w:p>
      <w:pPr>
        <w:ind w:left="540" w:right="40" w:hanging="424"/>
        <w:spacing w:after="0" w:line="286" w:lineRule="auto"/>
        <w:tabs>
          <w:tab w:leader="none" w:pos="540"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provisions of the Plan shall be deemed severable and the validity or unenforceability of any provision shall not affect the validity or enforceability of the other provisions hereof.</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 xml:space="preserve">SECTION XVII. </w:t>
      </w:r>
      <w:r>
        <w:rPr>
          <w:rFonts w:ascii="Arial" w:cs="Arial" w:eastAsia="Arial" w:hAnsi="Arial"/>
          <w:sz w:val="22"/>
          <w:szCs w:val="22"/>
          <w:b w:val="1"/>
          <w:bCs w:val="1"/>
          <w:u w:val="single" w:color="auto"/>
          <w:color w:val="0B2D71"/>
        </w:rPr>
        <w:t>APPROVAL OF STOCKHOLDERS</w:t>
      </w:r>
      <w:r>
        <w:rPr>
          <w:rFonts w:ascii="Arial" w:cs="Arial" w:eastAsia="Arial" w:hAnsi="Arial"/>
          <w:sz w:val="22"/>
          <w:szCs w:val="22"/>
          <w:b w:val="1"/>
          <w:bCs w:val="1"/>
          <w:color w:val="0B2D71"/>
        </w:rPr>
        <w:t>.</w:t>
      </w:r>
    </w:p>
    <w:p>
      <w:pPr>
        <w:spacing w:after="0" w:line="112"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Material amendments to the Plan shall be subject to approval by affirmative vote of the stockholders of the Corporation in accordance with applicable law and the listing requirements of the New York Stock Exchange.</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Chevron Corporation – 2022 Proxy Statement</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A-14</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208280</wp:posOffset>
            </wp:positionV>
            <wp:extent cx="565785" cy="6254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6578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59"/>
        <w:spacing w:after="0"/>
        <w:rPr>
          <w:sz w:val="20"/>
          <w:szCs w:val="20"/>
          <w:color w:val="auto"/>
        </w:rPr>
      </w:pPr>
      <w:r>
        <w:rPr>
          <w:rFonts w:ascii="Arial" w:cs="Arial" w:eastAsia="Arial" w:hAnsi="Arial"/>
          <w:sz w:val="65"/>
          <w:szCs w:val="65"/>
          <w:b w:val="1"/>
          <w:bCs w:val="1"/>
          <w:color w:val="0B2D71"/>
        </w:rPr>
        <w:t>The Chevron Way</w:t>
      </w:r>
    </w:p>
    <w:p>
      <w:pPr>
        <w:spacing w:after="0" w:line="322"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0B2D71"/>
        </w:rPr>
        <w:t>Getting results the right way</w:t>
      </w:r>
    </w:p>
    <w:p>
      <w:pPr>
        <w:spacing w:after="0" w:line="242" w:lineRule="exact"/>
        <w:rPr>
          <w:sz w:val="20"/>
          <w:szCs w:val="20"/>
          <w:color w:val="auto"/>
        </w:rPr>
      </w:pPr>
    </w:p>
    <w:p>
      <w:pPr>
        <w:ind w:left="120" w:right="200"/>
        <w:spacing w:after="0" w:line="286" w:lineRule="auto"/>
        <w:rPr>
          <w:sz w:val="20"/>
          <w:szCs w:val="20"/>
          <w:color w:val="auto"/>
        </w:rPr>
      </w:pPr>
      <w:r>
        <w:rPr>
          <w:rFonts w:ascii="Arial" w:cs="Arial" w:eastAsia="Arial" w:hAnsi="Arial"/>
          <w:sz w:val="16"/>
          <w:szCs w:val="16"/>
          <w:color w:val="auto"/>
        </w:rPr>
        <w:t>The Chevron Way explains our beliefs, vision, purpose and values. It guides how we work and establishes a common understanding of our culture and aspirations.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The human energy company</w:t>
      </w:r>
    </w:p>
    <w:p>
      <w:pPr>
        <w:spacing w:after="0" w:line="112" w:lineRule="exact"/>
        <w:rPr>
          <w:sz w:val="20"/>
          <w:szCs w:val="20"/>
          <w:color w:val="auto"/>
        </w:rPr>
      </w:pPr>
    </w:p>
    <w:p>
      <w:pPr>
        <w:ind w:left="120" w:right="460"/>
        <w:spacing w:after="0" w:line="286" w:lineRule="auto"/>
        <w:rPr>
          <w:sz w:val="20"/>
          <w:szCs w:val="20"/>
          <w:color w:val="auto"/>
        </w:rPr>
      </w:pPr>
      <w:r>
        <w:rPr>
          <w:rFonts w:ascii="Arial" w:cs="Arial" w:eastAsia="Arial" w:hAnsi="Arial"/>
          <w:sz w:val="16"/>
          <w:szCs w:val="16"/>
          <w:color w:val="auto"/>
        </w:rPr>
        <w:t>Human ingenuity has the power to solve any challenge and overcome any obstacle. Meeting the world’s growing energy needs demands pursuit of innovations and advancements that deliver a better future for all.</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is our past, our present and our future.</w:t>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Our vision</w:t>
      </w:r>
    </w:p>
    <w:p>
      <w:pPr>
        <w:spacing w:after="0" w:line="126"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To be the global energy company most admired for its people, partnership and performance.</w:t>
      </w:r>
    </w:p>
    <w:p>
      <w:pPr>
        <w:spacing w:after="0" w:line="200" w:lineRule="exact"/>
        <w:rPr>
          <w:sz w:val="20"/>
          <w:szCs w:val="20"/>
          <w:color w:val="auto"/>
        </w:rPr>
      </w:pP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B2D71"/>
        </w:rPr>
        <w:t>Our beliefs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B2D71"/>
        </w:rPr>
        <w:t>Energy is essential to modern life</w:t>
      </w:r>
    </w:p>
    <w:p>
      <w:pPr>
        <w:spacing w:after="0" w:line="122" w:lineRule="exact"/>
        <w:rPr>
          <w:sz w:val="20"/>
          <w:szCs w:val="20"/>
          <w:color w:val="auto"/>
        </w:rPr>
      </w:pPr>
    </w:p>
    <w:p>
      <w:pPr>
        <w:ind w:left="120" w:right="440"/>
        <w:spacing w:after="0" w:line="286" w:lineRule="auto"/>
        <w:rPr>
          <w:sz w:val="20"/>
          <w:szCs w:val="20"/>
          <w:color w:val="auto"/>
        </w:rPr>
      </w:pPr>
      <w:r>
        <w:rPr>
          <w:rFonts w:ascii="Arial" w:cs="Arial" w:eastAsia="Arial" w:hAnsi="Arial"/>
          <w:sz w:val="16"/>
          <w:szCs w:val="16"/>
          <w:color w:val="auto"/>
        </w:rPr>
        <w:t>We work to provide the energy that enables human progress around the world. We live this purpose every day.</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B2D71"/>
        </w:rPr>
        <w:t>Human energy fuels innovation</w:t>
      </w:r>
    </w:p>
    <w:p>
      <w:pPr>
        <w:spacing w:after="0" w:line="41"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The imagination and perseverance of people will deliver solutions to energy’s greatest challenges.</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B2D71"/>
        </w:rPr>
        <w:t>The future is lower carbon</w:t>
      </w:r>
    </w:p>
    <w:p>
      <w:pPr>
        <w:spacing w:after="0" w:line="41" w:lineRule="exact"/>
        <w:rPr>
          <w:sz w:val="20"/>
          <w:szCs w:val="20"/>
          <w:color w:val="auto"/>
        </w:rPr>
      </w:pPr>
    </w:p>
    <w:p>
      <w:pPr>
        <w:jc w:val="both"/>
        <w:ind w:left="120" w:right="380"/>
        <w:spacing w:after="0" w:line="266" w:lineRule="auto"/>
        <w:rPr>
          <w:sz w:val="20"/>
          <w:szCs w:val="20"/>
          <w:color w:val="auto"/>
        </w:rPr>
      </w:pPr>
      <w:r>
        <w:rPr>
          <w:rFonts w:ascii="Arial" w:cs="Arial" w:eastAsia="Arial" w:hAnsi="Arial"/>
          <w:sz w:val="16"/>
          <w:szCs w:val="16"/>
          <w:color w:val="auto"/>
        </w:rPr>
        <w:t>Our actions will make energy and global supply chains more sustainable, helping industries and customers who use our products advance a lower carbon world.</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B2D71"/>
        </w:rPr>
        <w:t>Leadership carries great responsibility</w:t>
      </w:r>
    </w:p>
    <w:p>
      <w:pPr>
        <w:spacing w:after="0" w:line="41"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color w:val="auto"/>
        </w:rPr>
        <w:t>Meeting rising expectations demands performance and accountability at the highest level. We aim to deliver industry-leading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0B2D71"/>
        </w:rPr>
        <w:t>Our purpose</w:t>
      </w:r>
    </w:p>
    <w:p>
      <w:pPr>
        <w:spacing w:after="0" w:line="126"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We develop the affordable reliable, ever-cleaner energy that enables human progress.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B2D71"/>
        </w:rPr>
        <w:t>Our values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B2D71"/>
        </w:rPr>
        <w:t>Diversity and inclusion</w:t>
      </w:r>
    </w:p>
    <w:p>
      <w:pPr>
        <w:spacing w:after="0" w:line="4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learn from and respect the cultures in which we operate. We have an inclusive work environment that values the uniqueness and diversity of individual talents, experiences and ideas.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0B2D71"/>
        </w:rPr>
        <w:t>Leading performance</w:t>
      </w:r>
    </w:p>
    <w:p>
      <w:pPr>
        <w:spacing w:after="0" w:line="41"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We develop leaders and collaborate as one team to deliver industry-leading performance. We continually raise the bar on actions and outcomes that meet the high expectations of our stakeholders.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0B2D71"/>
        </w:rPr>
        <w:t>Partnership</w:t>
      </w:r>
    </w:p>
    <w:p>
      <w:pPr>
        <w:spacing w:after="0" w:line="41"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We build trusting, mutually beneficial relationships. We work together – and with our partners – to achieve solutions and breakthroughs that benefit our shareholders and society.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0B2D71"/>
        </w:rPr>
        <w:t>Protect people and the environment</w:t>
      </w:r>
    </w:p>
    <w:p>
      <w:pPr>
        <w:spacing w:after="0" w:line="41"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We aim to lead our industry in health, safety and environmental performance. The protection of people, assets, communities and the environment is our highest priority.</w:t>
      </w:r>
    </w:p>
    <w:p>
      <w:pPr>
        <w:spacing w:after="0" w:line="72" w:lineRule="exact"/>
        <w:rPr>
          <w:sz w:val="20"/>
          <w:szCs w:val="20"/>
          <w:color w:val="auto"/>
        </w:rPr>
      </w:pPr>
    </w:p>
    <w:p>
      <w:pPr>
        <w:sectPr>
          <w:pgSz w:w="11900" w:h="16838" w:orient="portrait"/>
          <w:cols w:equalWidth="0" w:num="2">
            <w:col w:w="5720" w:space="140"/>
            <w:col w:w="5220"/>
          </w:cols>
          <w:pgMar w:left="320" w:top="455" w:right="499" w:bottom="1440" w:gutter="0" w:footer="0" w:header="0"/>
          <w:type w:val="continuous"/>
        </w:sectPr>
      </w:pPr>
    </w:p>
    <w:p>
      <w:pPr>
        <w:ind w:left="5860"/>
        <w:spacing w:after="0"/>
        <w:rPr>
          <w:sz w:val="20"/>
          <w:szCs w:val="20"/>
          <w:color w:val="auto"/>
        </w:rPr>
      </w:pPr>
      <w:r>
        <w:rPr>
          <w:rFonts w:ascii="Arial" w:cs="Arial" w:eastAsia="Arial" w:hAnsi="Arial"/>
          <w:sz w:val="18"/>
          <w:szCs w:val="18"/>
          <w:b w:val="1"/>
          <w:bCs w:val="1"/>
          <w:color w:val="0B2D71"/>
        </w:rPr>
        <w:t>Trust and integrity</w:t>
      </w:r>
    </w:p>
    <w:p>
      <w:pPr>
        <w:spacing w:after="0" w:line="4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We earn trust and respect by acting with integrity and operating with the</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highest ethical standards. Our culture and reputation are built upon these</w:t>
      </w:r>
    </w:p>
    <w:p>
      <w:pPr>
        <w:spacing w:after="0" w:line="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principles.</w:t>
      </w:r>
    </w:p>
    <w:p>
      <w:pPr>
        <w:spacing w:after="0" w:line="250" w:lineRule="exact"/>
        <w:rPr>
          <w:sz w:val="20"/>
          <w:szCs w:val="20"/>
          <w:color w:val="auto"/>
        </w:rPr>
      </w:pPr>
    </w:p>
    <w:p>
      <w:pPr>
        <w:jc w:val="center"/>
        <w:ind w:right="-159"/>
        <w:spacing w:after="0"/>
        <w:rPr>
          <w:sz w:val="20"/>
          <w:szCs w:val="20"/>
          <w:color w:val="auto"/>
        </w:rPr>
      </w:pPr>
      <w:r>
        <w:rPr>
          <w:rFonts w:ascii="Arial" w:cs="Arial" w:eastAsia="Arial" w:hAnsi="Arial"/>
          <w:sz w:val="19"/>
          <w:szCs w:val="19"/>
          <w:b w:val="1"/>
          <w:bCs w:val="1"/>
          <w:color w:val="auto"/>
        </w:rPr>
        <w:t>For more information on The Chevron Way:</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www.chevron.com/about/the-chevron-way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159385</wp:posOffset>
            </wp:positionV>
            <wp:extent cx="1105535" cy="5054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105535" cy="505460"/>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20" w:hanging="181"/>
        <w:spacing w:after="0"/>
        <w:tabs>
          <w:tab w:leader="none" w:pos="4220" w:val="left"/>
        </w:tabs>
        <w:numPr>
          <w:ilvl w:val="0"/>
          <w:numId w:val="198"/>
        </w:numPr>
        <w:rPr>
          <w:rFonts w:ascii="Arial" w:cs="Arial" w:eastAsia="Arial" w:hAnsi="Arial"/>
          <w:sz w:val="16"/>
          <w:szCs w:val="16"/>
          <w:color w:val="auto"/>
        </w:rPr>
      </w:pPr>
      <w:r>
        <w:rPr>
          <w:rFonts w:ascii="Arial" w:cs="Arial" w:eastAsia="Arial" w:hAnsi="Arial"/>
          <w:sz w:val="19"/>
          <w:szCs w:val="19"/>
          <w:color w:val="auto"/>
        </w:rPr>
        <w:t>2022 Chevron. All rights reserved.</w:t>
      </w:r>
    </w:p>
    <w:p>
      <w:pPr>
        <w:sectPr>
          <w:pgSz w:w="11900" w:h="16838" w:orient="portrait"/>
          <w:cols w:equalWidth="0" w:num="1">
            <w:col w:w="11080"/>
          </w:cols>
          <w:pgMar w:left="320" w:top="455" w:right="499" w:bottom="1440" w:gutter="0" w:footer="0" w:header="0"/>
          <w:type w:val="continuous"/>
        </w:sectPr>
      </w:pPr>
    </w:p>
    <w:bookmarkStart w:id="132" w:name="page133"/>
    <w:bookmarkEnd w:id="13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249555</wp:posOffset>
            </wp:positionV>
            <wp:extent cx="668655" cy="7454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68655" cy="7454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249555</wp:posOffset>
            </wp:positionV>
            <wp:extent cx="2040255" cy="5054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040255" cy="50546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i w:val="1"/>
          <w:iCs w:val="1"/>
          <w:color w:val="auto"/>
        </w:rPr>
        <w:t>CHEVRON CORPORATION</w:t>
      </w:r>
    </w:p>
    <w:p>
      <w:pPr>
        <w:ind w:left="540"/>
        <w:spacing w:after="0" w:line="229" w:lineRule="auto"/>
        <w:rPr>
          <w:sz w:val="20"/>
          <w:szCs w:val="20"/>
          <w:color w:val="auto"/>
        </w:rPr>
      </w:pPr>
      <w:r>
        <w:rPr>
          <w:rFonts w:ascii="Times New Roman" w:cs="Times New Roman" w:eastAsia="Times New Roman" w:hAnsi="Times New Roman"/>
          <w:sz w:val="14"/>
          <w:szCs w:val="14"/>
          <w:i w:val="1"/>
          <w:iCs w:val="1"/>
          <w:color w:val="auto"/>
        </w:rPr>
        <w:t>6001 BOLLINGER CANYON ROAD</w:t>
      </w:r>
    </w:p>
    <w:p>
      <w:pPr>
        <w:ind w:left="540"/>
        <w:spacing w:after="0"/>
        <w:rPr>
          <w:sz w:val="20"/>
          <w:szCs w:val="20"/>
          <w:color w:val="auto"/>
        </w:rPr>
      </w:pPr>
      <w:r>
        <w:rPr>
          <w:rFonts w:ascii="Times New Roman" w:cs="Times New Roman" w:eastAsia="Times New Roman" w:hAnsi="Times New Roman"/>
          <w:sz w:val="14"/>
          <w:szCs w:val="14"/>
          <w:i w:val="1"/>
          <w:iCs w:val="1"/>
          <w:color w:val="auto"/>
        </w:rPr>
        <w:t>SAN RAMON, CA 94583-2324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VOTE BY TELEPHONE OR INTERNET OR MAIL</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24 Hours a Day, 7 Days a Week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INTERNET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Before The Meeting </w:t>
      </w:r>
      <w:r>
        <w:rPr>
          <w:rFonts w:ascii="Times New Roman" w:cs="Times New Roman" w:eastAsia="Times New Roman" w:hAnsi="Times New Roman"/>
          <w:sz w:val="14"/>
          <w:szCs w:val="14"/>
          <w:color w:val="auto"/>
        </w:rPr>
        <w:t>- Go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u w:val="single" w:color="auto"/>
          <w:color w:val="auto"/>
        </w:rPr>
        <w:t>www.proxyvote.com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or scan the QR Barcode above</w:t>
      </w:r>
    </w:p>
    <w:p>
      <w:pPr>
        <w:spacing w:after="0" w:line="39"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4"/>
          <w:szCs w:val="14"/>
          <w:color w:val="auto"/>
        </w:rPr>
        <w:t>Use the Internet to transmit your voting instructions and for electronic delivery of information up until 11:59 p.m. Eastern Time the day before the meeting date or on the applicable Employee Voting Plan cutoff date. Have your proxy card in hand when you access the website and then follow the instructions to obtain your records and to create an electronic voting instruction form.</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During The Meeting </w:t>
      </w:r>
      <w:r>
        <w:rPr>
          <w:rFonts w:ascii="Times New Roman" w:cs="Times New Roman" w:eastAsia="Times New Roman" w:hAnsi="Times New Roman"/>
          <w:sz w:val="14"/>
          <w:szCs w:val="14"/>
          <w:color w:val="auto"/>
        </w:rPr>
        <w:t>- Go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u w:val="single" w:color="auto"/>
          <w:color w:val="auto"/>
        </w:rPr>
        <w:t>www.virtualshareholdermeeting.com/CVX2022</w:t>
      </w:r>
    </w:p>
    <w:p>
      <w:pPr>
        <w:spacing w:after="0" w:line="57" w:lineRule="exact"/>
        <w:rPr>
          <w:sz w:val="20"/>
          <w:szCs w:val="20"/>
          <w:color w:val="auto"/>
        </w:rPr>
      </w:pPr>
    </w:p>
    <w:p>
      <w:pPr>
        <w:jc w:val="both"/>
        <w:ind w:right="640"/>
        <w:spacing w:after="0" w:line="241" w:lineRule="auto"/>
        <w:rPr>
          <w:sz w:val="20"/>
          <w:szCs w:val="20"/>
          <w:color w:val="auto"/>
        </w:rPr>
      </w:pPr>
      <w:r>
        <w:rPr>
          <w:rFonts w:ascii="Times New Roman" w:cs="Times New Roman" w:eastAsia="Times New Roman" w:hAnsi="Times New Roman"/>
          <w:sz w:val="14"/>
          <w:szCs w:val="14"/>
          <w:color w:val="auto"/>
        </w:rPr>
        <w:t>You may attend the meeting via the Internet and vote during the meeting. Have the information that is printed in the box marked by the arrow available and follow the instructions.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p>
      <w:pPr>
        <w:spacing w:after="0" w:line="6"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4"/>
          <w:szCs w:val="14"/>
          <w:color w:val="auto"/>
        </w:rPr>
        <w:t>Use any touch-tone telephone to transmit your voting instructions up until 11:59 p.m. Eastern Time the day before the meeting date or on the applicable Employee Voting Plan cutoff date. Have your proxy card in hand when you call and then follow the instructions.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MAIL</w:t>
      </w:r>
    </w:p>
    <w:p>
      <w:pPr>
        <w:spacing w:after="0" w:line="6" w:lineRule="exact"/>
        <w:rPr>
          <w:sz w:val="20"/>
          <w:szCs w:val="20"/>
          <w:color w:val="auto"/>
        </w:rPr>
      </w:pPr>
    </w:p>
    <w:p>
      <w:pPr>
        <w:jc w:val="both"/>
        <w:ind w:right="380"/>
        <w:spacing w:after="0" w:line="233" w:lineRule="auto"/>
        <w:rPr>
          <w:sz w:val="20"/>
          <w:szCs w:val="20"/>
          <w:color w:val="auto"/>
        </w:rPr>
      </w:pPr>
      <w:r>
        <w:rPr>
          <w:rFonts w:ascii="Times New Roman" w:cs="Times New Roman" w:eastAsia="Times New Roman" w:hAnsi="Times New Roman"/>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tabs>
          <w:tab w:leader="none" w:pos="2820" w:val="left"/>
        </w:tabs>
        <w:rPr>
          <w:sz w:val="20"/>
          <w:szCs w:val="20"/>
          <w:color w:val="auto"/>
        </w:rPr>
      </w:pPr>
      <w:r>
        <w:rPr>
          <w:rFonts w:ascii="Times New Roman" w:cs="Times New Roman" w:eastAsia="Times New Roman" w:hAnsi="Times New Roman"/>
          <w:sz w:val="14"/>
          <w:szCs w:val="14"/>
          <w:color w:val="auto"/>
        </w:rPr>
        <w:t>D74799-P68458-Z81983</w:t>
      </w:r>
      <w:r>
        <w:rPr>
          <w:sz w:val="20"/>
          <w:szCs w:val="20"/>
          <w:color w:val="auto"/>
        </w:rPr>
        <w:tab/>
      </w:r>
      <w:r>
        <w:rPr>
          <w:rFonts w:ascii="Times New Roman" w:cs="Times New Roman" w:eastAsia="Times New Roman" w:hAnsi="Times New Roman"/>
          <w:sz w:val="14"/>
          <w:szCs w:val="14"/>
          <w:color w:val="auto"/>
        </w:rPr>
        <w:t>KEEP THIS PORTION FOR YOUR RECORDS</w:t>
      </w:r>
    </w:p>
    <w:p>
      <w:pPr>
        <w:spacing w:after="0" w:line="12" w:lineRule="exact"/>
        <w:rPr>
          <w:sz w:val="20"/>
          <w:szCs w:val="20"/>
          <w:color w:val="auto"/>
        </w:rPr>
      </w:pPr>
    </w:p>
    <w:p>
      <w:pPr>
        <w:sectPr>
          <w:pgSz w:w="11900" w:h="16838" w:orient="portrait"/>
          <w:cols w:equalWidth="0" w:num="2">
            <w:col w:w="5020" w:space="720"/>
            <w:col w:w="5400"/>
          </w:cols>
          <w:pgMar w:left="320" w:top="455" w:right="439" w:bottom="1440" w:gutter="0" w:footer="0" w:header="0"/>
          <w:type w:val="continuous"/>
        </w:sectPr>
      </w:pPr>
    </w:p>
    <w:p>
      <w:pPr>
        <w:jc w:val="right"/>
        <w:ind w:right="40"/>
        <w:spacing w:after="0"/>
        <w:rPr>
          <w:sz w:val="20"/>
          <w:szCs w:val="20"/>
          <w:color w:val="auto"/>
        </w:rPr>
      </w:pPr>
      <w:r>
        <w:rPr>
          <w:rFonts w:ascii="Times New Roman" w:cs="Times New Roman" w:eastAsia="Times New Roman" w:hAnsi="Times New Roman"/>
          <w:sz w:val="17"/>
          <w:szCs w:val="17"/>
          <w:color w:val="auto"/>
        </w:rPr>
        <w:t>— — — — — — — — — — — — — — — — — — — — — — — — — — — — — — — — — — — — — — — — — — — — — — — — —</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DETACH AND RETURN THIS PORTION ONLY</w:t>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75565</wp:posOffset>
            </wp:positionV>
            <wp:extent cx="7011670" cy="44145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011670" cy="4414520"/>
                    </a:xfrm>
                    <a:prstGeom prst="rect">
                      <a:avLst/>
                    </a:prstGeom>
                    <a:noFill/>
                  </pic:spPr>
                </pic:pic>
              </a:graphicData>
            </a:graphic>
          </wp:anchor>
        </w:drawing>
      </w:r>
    </w:p>
    <w:p>
      <w:pPr>
        <w:spacing w:after="0" w:line="1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CHEVRON CORPORATION</w:t>
      </w:r>
    </w:p>
    <w:p>
      <w:pPr>
        <w:sectPr>
          <w:pgSz w:w="11900" w:h="16838" w:orient="portrait"/>
          <w:cols w:equalWidth="0" w:num="1">
            <w:col w:w="11140"/>
          </w:cols>
          <w:pgMar w:left="320" w:top="455" w:right="439" w:bottom="1440" w:gutter="0" w:footer="0" w:header="0"/>
          <w:type w:val="continuous"/>
        </w:sectPr>
      </w:pPr>
    </w:p>
    <w:p>
      <w:pPr>
        <w:spacing w:after="0" w:line="96" w:lineRule="exact"/>
        <w:rPr>
          <w:sz w:val="20"/>
          <w:szCs w:val="20"/>
          <w:color w:val="auto"/>
        </w:rPr>
      </w:pPr>
    </w:p>
    <w:p>
      <w:pPr>
        <w:ind w:left="420" w:right="1700"/>
        <w:spacing w:after="0" w:line="243" w:lineRule="auto"/>
        <w:rPr>
          <w:sz w:val="20"/>
          <w:szCs w:val="20"/>
          <w:color w:val="auto"/>
        </w:rPr>
      </w:pPr>
      <w:r>
        <w:rPr>
          <w:rFonts w:ascii="Times New Roman" w:cs="Times New Roman" w:eastAsia="Times New Roman" w:hAnsi="Times New Roman"/>
          <w:sz w:val="14"/>
          <w:szCs w:val="14"/>
          <w:b w:val="1"/>
          <w:bCs w:val="1"/>
          <w:color w:val="auto"/>
        </w:rPr>
        <w:t>If you wish to vote in accordance with the Board of Directors’ recommendations on all matters, you need only sign, date, and return this proxy card.</w:t>
      </w:r>
    </w:p>
    <w:p>
      <w:pPr>
        <w:spacing w:after="0" w:line="213" w:lineRule="exact"/>
        <w:rPr>
          <w:sz w:val="20"/>
          <w:szCs w:val="20"/>
          <w:color w:val="auto"/>
        </w:rPr>
      </w:pPr>
    </w:p>
    <w:p>
      <w:pPr>
        <w:ind w:left="420" w:right="1420"/>
        <w:spacing w:after="0" w:line="234" w:lineRule="auto"/>
        <w:rPr>
          <w:sz w:val="20"/>
          <w:szCs w:val="20"/>
          <w:color w:val="auto"/>
        </w:rPr>
      </w:pPr>
      <w:r>
        <w:rPr>
          <w:rFonts w:ascii="Times New Roman" w:cs="Times New Roman" w:eastAsia="Times New Roman" w:hAnsi="Times New Roman"/>
          <w:sz w:val="14"/>
          <w:szCs w:val="14"/>
          <w:b w:val="1"/>
          <w:bCs w:val="1"/>
          <w:color w:val="auto"/>
        </w:rPr>
        <w:t>Your Board recommends you vote FOR the election of the following Board Nominees for Director 1a through 1l:</w:t>
      </w:r>
    </w:p>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12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For Against Abstain</w:t>
            </w:r>
          </w:p>
        </w:tc>
      </w:tr>
      <w:tr>
        <w:trPr>
          <w:trHeight w:val="350"/>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1a.</w:t>
            </w:r>
          </w:p>
        </w:tc>
        <w:tc>
          <w:tcPr>
            <w:tcW w:w="2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Wanda M. Austin</w:t>
            </w:r>
          </w:p>
        </w:tc>
        <w:tc>
          <w:tcPr>
            <w:tcW w:w="110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51"/>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1b.</w:t>
            </w:r>
          </w:p>
        </w:tc>
        <w:tc>
          <w:tcPr>
            <w:tcW w:w="2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John B. Frank</w:t>
            </w:r>
          </w:p>
        </w:tc>
        <w:tc>
          <w:tcPr>
            <w:tcW w:w="110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51"/>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1c.</w:t>
            </w:r>
          </w:p>
        </w:tc>
        <w:tc>
          <w:tcPr>
            <w:tcW w:w="2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Alice P. Gast</w:t>
            </w:r>
          </w:p>
        </w:tc>
        <w:tc>
          <w:tcPr>
            <w:tcW w:w="110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51"/>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1d.</w:t>
            </w:r>
          </w:p>
        </w:tc>
        <w:tc>
          <w:tcPr>
            <w:tcW w:w="2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Enrique Hernandez, Jr.</w:t>
            </w:r>
          </w:p>
        </w:tc>
        <w:tc>
          <w:tcPr>
            <w:tcW w:w="110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
        <w:spacing w:after="0" w:line="264" w:lineRule="auto"/>
        <w:rPr>
          <w:sz w:val="20"/>
          <w:szCs w:val="20"/>
          <w:color w:val="auto"/>
        </w:rPr>
      </w:pPr>
      <w:r>
        <w:rPr>
          <w:rFonts w:ascii="Times New Roman" w:cs="Times New Roman" w:eastAsia="Times New Roman" w:hAnsi="Times New Roman"/>
          <w:sz w:val="14"/>
          <w:szCs w:val="14"/>
          <w:b w:val="1"/>
          <w:bCs w:val="1"/>
          <w:color w:val="auto"/>
        </w:rPr>
        <w:t>Your Board recommends you vote FOR Board proposals 2 through 4:</w:t>
      </w:r>
    </w:p>
    <w:p>
      <w:pPr>
        <w:spacing w:after="0" w:line="66" w:lineRule="exact"/>
        <w:rPr>
          <w:sz w:val="20"/>
          <w:szCs w:val="20"/>
          <w:color w:val="auto"/>
        </w:rPr>
      </w:pPr>
    </w:p>
    <w:p>
      <w:pPr>
        <w:ind w:left="301" w:right="340" w:hanging="301"/>
        <w:spacing w:after="0" w:line="241" w:lineRule="auto"/>
        <w:tabs>
          <w:tab w:leader="none" w:pos="301"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Ratification of Appointment of PricewaterhouseCoopers LLP as the Independent Registered Public Accounting Firm</w:t>
      </w:r>
    </w:p>
    <w:p>
      <w:pPr>
        <w:spacing w:after="0" w:line="14" w:lineRule="exact"/>
        <w:rPr>
          <w:rFonts w:ascii="Times New Roman" w:cs="Times New Roman" w:eastAsia="Times New Roman" w:hAnsi="Times New Roman"/>
          <w:sz w:val="14"/>
          <w:szCs w:val="14"/>
          <w:color w:val="auto"/>
        </w:rPr>
      </w:pPr>
    </w:p>
    <w:p>
      <w:pPr>
        <w:ind w:left="301" w:right="140" w:hanging="301"/>
        <w:spacing w:after="0" w:line="261" w:lineRule="auto"/>
        <w:tabs>
          <w:tab w:leader="none" w:pos="301"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Advisory Vote to Approve Named Executive Officer Compensation</w:t>
      </w:r>
    </w:p>
    <w:p>
      <w:pPr>
        <w:ind w:left="301" w:right="420" w:hanging="301"/>
        <w:spacing w:after="0" w:line="250" w:lineRule="auto"/>
        <w:tabs>
          <w:tab w:leader="none" w:pos="301"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the 2022 Long-Term Incentive Plan of Chevron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b w:val="1"/>
          <w:bCs w:val="1"/>
          <w:color w:val="auto"/>
        </w:rPr>
        <w:t>For</w:t>
      </w:r>
      <w:r>
        <w:rPr>
          <w:sz w:val="20"/>
          <w:szCs w:val="20"/>
          <w:color w:val="auto"/>
        </w:rPr>
        <w:tab/>
      </w:r>
      <w:r>
        <w:rPr>
          <w:rFonts w:ascii="Times New Roman" w:cs="Times New Roman" w:eastAsia="Times New Roman" w:hAnsi="Times New Roman"/>
          <w:sz w:val="14"/>
          <w:szCs w:val="14"/>
          <w:b w:val="1"/>
          <w:bCs w:val="1"/>
          <w:color w:val="auto"/>
        </w:rPr>
        <w:t>Against</w:t>
      </w:r>
    </w:p>
    <w:p>
      <w:pPr>
        <w:spacing w:after="0" w:line="343" w:lineRule="exact"/>
        <w:rPr>
          <w:sz w:val="20"/>
          <w:szCs w:val="20"/>
          <w:color w:val="auto"/>
        </w:rPr>
      </w:pPr>
    </w:p>
    <w:p>
      <w:pPr>
        <w:ind w:left="40"/>
        <w:spacing w:after="0" w:line="181" w:lineRule="exact"/>
        <w:tabs>
          <w:tab w:leader="none" w:pos="580" w:val="left"/>
        </w:tabs>
        <w:rPr>
          <w:sz w:val="20"/>
          <w:szCs w:val="20"/>
          <w:color w:val="auto"/>
        </w:rPr>
      </w:pPr>
      <w:r>
        <w:rPr>
          <w:rFonts w:ascii="MS PGothic" w:cs="MS PGothic" w:eastAsia="MS PGothic" w:hAnsi="MS PGothic"/>
          <w:sz w:val="18"/>
          <w:szCs w:val="18"/>
          <w:color w:val="auto"/>
        </w:rPr>
        <w:t>☐</w:t>
        <w:tab/>
        <w:t>☐</w:t>
      </w:r>
    </w:p>
    <w:p>
      <w:pPr>
        <w:spacing w:after="0" w:line="252" w:lineRule="exact"/>
        <w:rPr>
          <w:sz w:val="20"/>
          <w:szCs w:val="20"/>
          <w:color w:val="auto"/>
        </w:rPr>
      </w:pPr>
    </w:p>
    <w:p>
      <w:pPr>
        <w:ind w:left="40"/>
        <w:spacing w:after="0" w:line="181" w:lineRule="exact"/>
        <w:tabs>
          <w:tab w:leader="none" w:pos="580" w:val="left"/>
        </w:tabs>
        <w:rPr>
          <w:sz w:val="20"/>
          <w:szCs w:val="20"/>
          <w:color w:val="auto"/>
        </w:rPr>
      </w:pPr>
      <w:r>
        <w:rPr>
          <w:rFonts w:ascii="MS PGothic" w:cs="MS PGothic" w:eastAsia="MS PGothic" w:hAnsi="MS PGothic"/>
          <w:sz w:val="18"/>
          <w:szCs w:val="18"/>
          <w:color w:val="auto"/>
        </w:rPr>
        <w:t>☐</w:t>
        <w:tab/>
        <w:t>☐</w:t>
      </w:r>
    </w:p>
    <w:p>
      <w:pPr>
        <w:spacing w:after="0" w:line="171" w:lineRule="exact"/>
        <w:rPr>
          <w:sz w:val="20"/>
          <w:szCs w:val="20"/>
          <w:color w:val="auto"/>
        </w:rPr>
      </w:pPr>
    </w:p>
    <w:p>
      <w:pPr>
        <w:ind w:left="40"/>
        <w:spacing w:after="0" w:line="181" w:lineRule="exact"/>
        <w:tabs>
          <w:tab w:leader="none" w:pos="580" w:val="left"/>
        </w:tabs>
        <w:rPr>
          <w:sz w:val="20"/>
          <w:szCs w:val="20"/>
          <w:color w:val="auto"/>
        </w:rPr>
      </w:pPr>
      <w:r>
        <w:rPr>
          <w:rFonts w:ascii="MS PGothic" w:cs="MS PGothic" w:eastAsia="MS PGothic" w:hAnsi="MS PGothic"/>
          <w:sz w:val="18"/>
          <w:szCs w:val="18"/>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Abstain</w:t>
      </w:r>
    </w:p>
    <w:p>
      <w:pPr>
        <w:spacing w:after="0" w:line="343" w:lineRule="exact"/>
        <w:rPr>
          <w:sz w:val="20"/>
          <w:szCs w:val="20"/>
          <w:color w:val="auto"/>
        </w:rPr>
      </w:pPr>
    </w:p>
    <w:p>
      <w:pPr>
        <w:ind w:left="200"/>
        <w:spacing w:after="0" w:line="181" w:lineRule="exact"/>
        <w:rPr>
          <w:sz w:val="20"/>
          <w:szCs w:val="20"/>
          <w:color w:val="auto"/>
        </w:rPr>
      </w:pPr>
      <w:r>
        <w:rPr>
          <w:rFonts w:ascii="MS PGothic" w:cs="MS PGothic" w:eastAsia="MS PGothic" w:hAnsi="MS PGothic"/>
          <w:sz w:val="18"/>
          <w:szCs w:val="18"/>
          <w:color w:val="auto"/>
        </w:rPr>
        <w:t>☐</w:t>
      </w:r>
    </w:p>
    <w:p>
      <w:pPr>
        <w:spacing w:after="0" w:line="252" w:lineRule="exact"/>
        <w:rPr>
          <w:sz w:val="20"/>
          <w:szCs w:val="20"/>
          <w:color w:val="auto"/>
        </w:rPr>
      </w:pPr>
    </w:p>
    <w:p>
      <w:pPr>
        <w:ind w:left="200"/>
        <w:spacing w:after="0" w:line="181" w:lineRule="exact"/>
        <w:rPr>
          <w:sz w:val="20"/>
          <w:szCs w:val="20"/>
          <w:color w:val="auto"/>
        </w:rPr>
      </w:pPr>
      <w:r>
        <w:rPr>
          <w:rFonts w:ascii="MS PGothic" w:cs="MS PGothic" w:eastAsia="MS PGothic" w:hAnsi="MS PGothic"/>
          <w:sz w:val="18"/>
          <w:szCs w:val="18"/>
          <w:color w:val="auto"/>
        </w:rPr>
        <w:t>☐</w:t>
      </w:r>
    </w:p>
    <w:p>
      <w:pPr>
        <w:spacing w:after="0" w:line="171" w:lineRule="exact"/>
        <w:rPr>
          <w:sz w:val="20"/>
          <w:szCs w:val="20"/>
          <w:color w:val="auto"/>
        </w:rPr>
      </w:pPr>
    </w:p>
    <w:p>
      <w:pPr>
        <w:ind w:left="200"/>
        <w:spacing w:after="0" w:line="181" w:lineRule="exact"/>
        <w:rPr>
          <w:sz w:val="20"/>
          <w:szCs w:val="20"/>
          <w:color w:val="auto"/>
        </w:rPr>
      </w:pPr>
      <w:r>
        <w:rPr>
          <w:rFonts w:ascii="MS PGothic" w:cs="MS PGothic" w:eastAsia="MS PGothic" w:hAnsi="MS PGothic"/>
          <w:sz w:val="18"/>
          <w:szCs w:val="18"/>
          <w:color w:val="auto"/>
        </w:rPr>
        <w:t>☐</w:t>
      </w:r>
    </w:p>
    <w:p>
      <w:pPr>
        <w:spacing w:after="0" w:line="140" w:lineRule="exact"/>
        <w:rPr>
          <w:sz w:val="20"/>
          <w:szCs w:val="20"/>
          <w:color w:val="auto"/>
        </w:rPr>
      </w:pPr>
    </w:p>
    <w:p>
      <w:pPr>
        <w:sectPr>
          <w:pgSz w:w="11900" w:h="16838" w:orient="portrait"/>
          <w:cols w:equalWidth="0" w:num="4">
            <w:col w:w="5380" w:space="359"/>
            <w:col w:w="3481" w:space="100"/>
            <w:col w:w="940" w:space="180"/>
            <w:col w:w="700"/>
          </w:cols>
          <w:pgMar w:left="320" w:top="455" w:right="439" w:bottom="1440" w:gutter="0" w:footer="0" w:header="0"/>
          <w:type w:val="continuous"/>
        </w:sectPr>
      </w:pPr>
    </w:p>
    <w:tbl>
      <w:tblPr>
        <w:tblLayout w:type="fixed"/>
        <w:tblInd w:w="780" w:type="dxa"/>
        <w:tblCellMar>
          <w:top w:w="0" w:type="dxa"/>
          <w:left w:w="0" w:type="dxa"/>
          <w:bottom w:w="0" w:type="dxa"/>
          <w:right w:w="0" w:type="dxa"/>
        </w:tblCellMar>
      </w:tblPr>
      <w:tr>
        <w:trPr>
          <w:trHeight w:val="283"/>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1e.</w:t>
            </w:r>
          </w:p>
        </w:tc>
        <w:tc>
          <w:tcPr>
            <w:tcW w:w="2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Marillyn A. Hewson</w:t>
            </w:r>
          </w:p>
        </w:tc>
        <w:tc>
          <w:tcPr>
            <w:tcW w:w="110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8"/>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1f.</w:t>
            </w:r>
          </w:p>
        </w:tc>
        <w:tc>
          <w:tcPr>
            <w:tcW w:w="2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Jon M. Huntsman Jr.</w:t>
            </w:r>
          </w:p>
        </w:tc>
        <w:tc>
          <w:tcPr>
            <w:tcW w:w="110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1g.</w:t>
            </w:r>
          </w:p>
        </w:tc>
        <w:tc>
          <w:tcPr>
            <w:tcW w:w="2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Charles W. Moorman</w:t>
            </w:r>
          </w:p>
        </w:tc>
        <w:tc>
          <w:tcPr>
            <w:tcW w:w="110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1h.</w:t>
            </w:r>
          </w:p>
        </w:tc>
        <w:tc>
          <w:tcPr>
            <w:tcW w:w="2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Dambisa F. Moyo</w:t>
            </w:r>
          </w:p>
        </w:tc>
        <w:tc>
          <w:tcPr>
            <w:tcW w:w="110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1i.</w:t>
            </w:r>
          </w:p>
        </w:tc>
        <w:tc>
          <w:tcPr>
            <w:tcW w:w="2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Debra Reed-Klages</w:t>
            </w:r>
          </w:p>
        </w:tc>
        <w:tc>
          <w:tcPr>
            <w:tcW w:w="110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1j.</w:t>
            </w:r>
          </w:p>
        </w:tc>
        <w:tc>
          <w:tcPr>
            <w:tcW w:w="2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Ronald D. Sugar</w:t>
            </w:r>
          </w:p>
        </w:tc>
        <w:tc>
          <w:tcPr>
            <w:tcW w:w="110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1k.</w:t>
            </w:r>
          </w:p>
        </w:tc>
        <w:tc>
          <w:tcPr>
            <w:tcW w:w="2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 James Umpleby III</w:t>
            </w:r>
          </w:p>
        </w:tc>
        <w:tc>
          <w:tcPr>
            <w:tcW w:w="110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1l.</w:t>
            </w:r>
          </w:p>
        </w:tc>
        <w:tc>
          <w:tcPr>
            <w:tcW w:w="2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Michael K. Wirth</w:t>
            </w:r>
          </w:p>
        </w:tc>
        <w:tc>
          <w:tcPr>
            <w:tcW w:w="110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Your Board recommends you vote AGAINST items 5, 6,</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5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w w:val="95"/>
              </w:rPr>
              <w:t>Against</w:t>
            </w:r>
          </w:p>
        </w:tc>
        <w:tc>
          <w:tcPr>
            <w:tcW w:w="0" w:type="dxa"/>
            <w:vAlign w:val="bottom"/>
          </w:tcPr>
          <w:p>
            <w:pPr>
              <w:spacing w:after="0"/>
              <w:rPr>
                <w:sz w:val="1"/>
                <w:szCs w:val="1"/>
                <w:color w:val="auto"/>
              </w:rPr>
            </w:pPr>
          </w:p>
        </w:tc>
      </w:tr>
      <w:tr>
        <w:trPr>
          <w:trHeight w:val="190"/>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and 8-10 and FOR item 7:</w:t>
            </w: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5.</w:t>
            </w:r>
          </w:p>
        </w:tc>
        <w:tc>
          <w:tcPr>
            <w:tcW w:w="3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Adopt Medium- and Long-Term GHG Reduction</w:t>
            </w:r>
          </w:p>
        </w:tc>
        <w:tc>
          <w:tcPr>
            <w:tcW w:w="3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3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Targets</w:t>
            </w:r>
          </w:p>
        </w:tc>
        <w:tc>
          <w:tcPr>
            <w:tcW w:w="3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6.</w:t>
            </w:r>
          </w:p>
        </w:tc>
        <w:tc>
          <w:tcPr>
            <w:tcW w:w="3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Report on Impacts of Net Zero 2050 Scenario</w:t>
            </w:r>
          </w:p>
        </w:tc>
        <w:tc>
          <w:tcPr>
            <w:tcW w:w="3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7.</w:t>
            </w:r>
          </w:p>
        </w:tc>
        <w:tc>
          <w:tcPr>
            <w:tcW w:w="3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Report on Reliability of Methane Emission Disclosures</w:t>
            </w:r>
          </w:p>
        </w:tc>
        <w:tc>
          <w:tcPr>
            <w:tcW w:w="3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0"/>
        </w:trPr>
        <w:tc>
          <w:tcPr>
            <w:tcW w:w="24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8.</w:t>
            </w:r>
          </w:p>
        </w:tc>
        <w:tc>
          <w:tcPr>
            <w:tcW w:w="3300" w:type="dxa"/>
            <w:vAlign w:val="bottom"/>
          </w:tcPr>
          <w:p>
            <w:pPr>
              <w:ind w:left="60"/>
              <w:spacing w:after="0" w:line="160" w:lineRule="exact"/>
              <w:rPr>
                <w:sz w:val="20"/>
                <w:szCs w:val="20"/>
                <w:color w:val="auto"/>
              </w:rPr>
            </w:pPr>
            <w:r>
              <w:rPr>
                <w:rFonts w:ascii="Times New Roman" w:cs="Times New Roman" w:eastAsia="Times New Roman" w:hAnsi="Times New Roman"/>
                <w:sz w:val="14"/>
                <w:szCs w:val="14"/>
                <w:color w:val="auto"/>
              </w:rPr>
              <w:t>Report on Business with Conflict-Complicit</w:t>
            </w:r>
          </w:p>
        </w:tc>
        <w:tc>
          <w:tcPr>
            <w:tcW w:w="3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8"/>
        </w:trPr>
        <w:tc>
          <w:tcPr>
            <w:tcW w:w="240" w:type="dxa"/>
            <w:vAlign w:val="bottom"/>
          </w:tcPr>
          <w:p>
            <w:pPr>
              <w:spacing w:after="0"/>
              <w:rPr>
                <w:sz w:val="15"/>
                <w:szCs w:val="15"/>
                <w:color w:val="auto"/>
              </w:rPr>
            </w:pPr>
          </w:p>
        </w:tc>
        <w:tc>
          <w:tcPr>
            <w:tcW w:w="3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Governments</w:t>
            </w:r>
          </w:p>
        </w:tc>
        <w:tc>
          <w:tcPr>
            <w:tcW w:w="34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9.</w:t>
            </w:r>
          </w:p>
        </w:tc>
        <w:tc>
          <w:tcPr>
            <w:tcW w:w="3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Report on Racial Equity Audit</w:t>
            </w:r>
          </w:p>
        </w:tc>
        <w:tc>
          <w:tcPr>
            <w:tcW w:w="3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10.</w:t>
            </w:r>
          </w:p>
        </w:tc>
        <w:tc>
          <w:tcPr>
            <w:tcW w:w="3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Special Meetings</w:t>
            </w:r>
          </w:p>
        </w:tc>
        <w:tc>
          <w:tcPr>
            <w:tcW w:w="3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Abstain</w:t>
      </w:r>
    </w:p>
    <w:p>
      <w:pPr>
        <w:spacing w:after="0" w:line="222" w:lineRule="exact"/>
        <w:rPr>
          <w:sz w:val="20"/>
          <w:szCs w:val="20"/>
          <w:color w:val="auto"/>
        </w:rPr>
      </w:pPr>
    </w:p>
    <w:p>
      <w:pPr>
        <w:ind w:left="220"/>
        <w:spacing w:after="0" w:line="181" w:lineRule="exact"/>
        <w:rPr>
          <w:sz w:val="20"/>
          <w:szCs w:val="20"/>
          <w:color w:val="auto"/>
        </w:rPr>
      </w:pPr>
      <w:r>
        <w:rPr>
          <w:rFonts w:ascii="MS PGothic" w:cs="MS PGothic" w:eastAsia="MS PGothic" w:hAnsi="MS PGothic"/>
          <w:sz w:val="18"/>
          <w:szCs w:val="18"/>
          <w:color w:val="auto"/>
        </w:rPr>
        <w:t>☐</w:t>
      </w:r>
    </w:p>
    <w:p>
      <w:pPr>
        <w:spacing w:after="0" w:line="171" w:lineRule="exact"/>
        <w:rPr>
          <w:sz w:val="20"/>
          <w:szCs w:val="20"/>
          <w:color w:val="auto"/>
        </w:rPr>
      </w:pPr>
    </w:p>
    <w:p>
      <w:pPr>
        <w:ind w:left="2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220"/>
        <w:spacing w:after="0" w:line="181" w:lineRule="exact"/>
        <w:rPr>
          <w:sz w:val="20"/>
          <w:szCs w:val="20"/>
          <w:color w:val="auto"/>
        </w:rPr>
      </w:pPr>
      <w:r>
        <w:rPr>
          <w:rFonts w:ascii="MS PGothic" w:cs="MS PGothic" w:eastAsia="MS PGothic" w:hAnsi="MS PGothic"/>
          <w:sz w:val="18"/>
          <w:szCs w:val="18"/>
          <w:color w:val="auto"/>
        </w:rPr>
        <w:t>☐</w:t>
      </w:r>
    </w:p>
    <w:p>
      <w:pPr>
        <w:spacing w:after="0" w:line="118" w:lineRule="exact"/>
        <w:rPr>
          <w:sz w:val="20"/>
          <w:szCs w:val="20"/>
          <w:color w:val="auto"/>
        </w:rPr>
      </w:pPr>
    </w:p>
    <w:p>
      <w:pPr>
        <w:ind w:left="220"/>
        <w:spacing w:after="0" w:line="181" w:lineRule="exact"/>
        <w:rPr>
          <w:sz w:val="20"/>
          <w:szCs w:val="20"/>
          <w:color w:val="auto"/>
        </w:rPr>
      </w:pPr>
      <w:r>
        <w:rPr>
          <w:rFonts w:ascii="MS PGothic" w:cs="MS PGothic" w:eastAsia="MS PGothic" w:hAnsi="MS PGothic"/>
          <w:sz w:val="18"/>
          <w:szCs w:val="18"/>
          <w:color w:val="auto"/>
        </w:rPr>
        <w:t>☐</w:t>
      </w:r>
    </w:p>
    <w:p>
      <w:pPr>
        <w:spacing w:after="0" w:line="130" w:lineRule="exact"/>
        <w:rPr>
          <w:sz w:val="20"/>
          <w:szCs w:val="20"/>
          <w:color w:val="auto"/>
        </w:rPr>
      </w:pPr>
    </w:p>
    <w:p>
      <w:pPr>
        <w:ind w:left="220"/>
        <w:spacing w:after="0" w:line="181" w:lineRule="exact"/>
        <w:rPr>
          <w:sz w:val="20"/>
          <w:szCs w:val="20"/>
          <w:color w:val="auto"/>
        </w:rPr>
      </w:pPr>
      <w:r>
        <w:rPr>
          <w:rFonts w:ascii="MS PGothic" w:cs="MS PGothic" w:eastAsia="MS PGothic" w:hAnsi="MS PGothic"/>
          <w:sz w:val="18"/>
          <w:szCs w:val="18"/>
          <w:color w:val="auto"/>
        </w:rPr>
        <w:t>☐</w:t>
      </w:r>
    </w:p>
    <w:p>
      <w:pPr>
        <w:spacing w:after="0" w:line="117" w:lineRule="exact"/>
        <w:rPr>
          <w:sz w:val="20"/>
          <w:szCs w:val="20"/>
          <w:color w:val="auto"/>
        </w:rPr>
      </w:pPr>
    </w:p>
    <w:p>
      <w:pPr>
        <w:ind w:left="220"/>
        <w:spacing w:after="0" w:line="181" w:lineRule="exact"/>
        <w:rPr>
          <w:sz w:val="20"/>
          <w:szCs w:val="20"/>
          <w:color w:val="auto"/>
        </w:rPr>
      </w:pPr>
      <w:r>
        <w:rPr>
          <w:rFonts w:ascii="MS PGothic" w:cs="MS PGothic" w:eastAsia="MS PGothic" w:hAnsi="MS PGothic"/>
          <w:sz w:val="18"/>
          <w:szCs w:val="18"/>
          <w:color w:val="auto"/>
        </w:rPr>
        <w:t>☐</w:t>
      </w:r>
    </w:p>
    <w:p>
      <w:pPr>
        <w:spacing w:after="0" w:line="761" w:lineRule="exact"/>
        <w:rPr>
          <w:sz w:val="20"/>
          <w:szCs w:val="20"/>
          <w:color w:val="auto"/>
        </w:rPr>
      </w:pPr>
    </w:p>
    <w:p>
      <w:pPr>
        <w:sectPr>
          <w:pgSz w:w="11900" w:h="16838" w:orient="portrait"/>
          <w:cols w:equalWidth="0" w:num="3">
            <w:col w:w="5220" w:space="520"/>
            <w:col w:w="4440" w:space="240"/>
            <w:col w:w="720"/>
          </w:cols>
          <w:pgMar w:left="320" w:top="455" w:right="43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ind w:left="420"/>
        <w:spacing w:after="0"/>
        <w:tabs>
          <w:tab w:leader="none" w:pos="3620" w:val="left"/>
          <w:tab w:leader="none" w:pos="6000" w:val="left"/>
          <w:tab w:leader="none" w:pos="9320" w:val="left"/>
        </w:tabs>
        <w:rPr>
          <w:sz w:val="20"/>
          <w:szCs w:val="20"/>
          <w:color w:val="auto"/>
        </w:rPr>
      </w:pPr>
      <w:r>
        <w:rPr>
          <w:rFonts w:ascii="Times New Roman" w:cs="Times New Roman" w:eastAsia="Times New Roman" w:hAnsi="Times New Roman"/>
          <w:sz w:val="14"/>
          <w:szCs w:val="14"/>
          <w:color w:val="auto"/>
        </w:rPr>
        <w:t>Signature [PLEASE SIGN WITHIN BOX]</w:t>
      </w:r>
      <w:r>
        <w:rPr>
          <w:sz w:val="20"/>
          <w:szCs w:val="20"/>
          <w:color w:val="auto"/>
        </w:rPr>
        <w:tab/>
      </w: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Signature (Joint Owners)</w:t>
      </w:r>
      <w:r>
        <w:rPr>
          <w:sz w:val="20"/>
          <w:szCs w:val="20"/>
          <w:color w:val="auto"/>
        </w:rPr>
        <w:tab/>
      </w:r>
      <w:r>
        <w:rPr>
          <w:rFonts w:ascii="Times New Roman" w:cs="Times New Roman" w:eastAsia="Times New Roman" w:hAnsi="Times New Roman"/>
          <w:sz w:val="13"/>
          <w:szCs w:val="13"/>
          <w:color w:val="auto"/>
        </w:rPr>
        <w:t>Date</w:t>
      </w:r>
    </w:p>
    <w:p>
      <w:pPr>
        <w:sectPr>
          <w:pgSz w:w="11900" w:h="16838" w:orient="portrait"/>
          <w:cols w:equalWidth="0" w:num="1">
            <w:col w:w="11140"/>
          </w:cols>
          <w:pgMar w:left="320" w:top="455" w:right="439" w:bottom="1440" w:gutter="0" w:footer="0" w:header="0"/>
          <w:type w:val="continuous"/>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Dear Stockholder:</w:t>
      </w:r>
    </w:p>
    <w:p>
      <w:pPr>
        <w:spacing w:after="0" w:line="96" w:lineRule="exact"/>
        <w:rPr>
          <w:sz w:val="20"/>
          <w:szCs w:val="20"/>
          <w:color w:val="auto"/>
        </w:rPr>
      </w:pPr>
    </w:p>
    <w:p>
      <w:pPr>
        <w:ind w:left="560" w:right="480"/>
        <w:spacing w:after="0" w:line="236" w:lineRule="auto"/>
        <w:rPr>
          <w:sz w:val="20"/>
          <w:szCs w:val="20"/>
          <w:color w:val="auto"/>
        </w:rPr>
      </w:pPr>
      <w:r>
        <w:rPr>
          <w:rFonts w:ascii="Times New Roman" w:cs="Times New Roman" w:eastAsia="Times New Roman" w:hAnsi="Times New Roman"/>
          <w:sz w:val="14"/>
          <w:szCs w:val="14"/>
          <w:color w:val="auto"/>
        </w:rPr>
        <w:t xml:space="preserve">The lower portion of this form is your proxy card for voting at Chevron Corporation’s 2022 Annual Meeting of Stockholders. It is important that you vote. You may vote by telephone, Internet, or mail by following the instructions printed on this form. If you vote by mail, please mark, sign, date, and return the proxy card (the lower portion of this form) using the enclosed postage-paid envelope or return it to Chevron Corporation, c/o Broadridge, 51 Mercedes Way, Edgewood, NY 11717. </w:t>
      </w:r>
      <w:r>
        <w:rPr>
          <w:rFonts w:ascii="Times New Roman" w:cs="Times New Roman" w:eastAsia="Times New Roman" w:hAnsi="Times New Roman"/>
          <w:sz w:val="14"/>
          <w:szCs w:val="14"/>
          <w:b w:val="1"/>
          <w:bCs w:val="1"/>
          <w:color w:val="auto"/>
        </w:rPr>
        <w:t>You must sign, date,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return the proxy card for your vote to be counted.</w:t>
      </w:r>
    </w:p>
    <w:p>
      <w:pPr>
        <w:spacing w:after="0" w:line="14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u w:val="single" w:color="auto"/>
          <w:color w:val="auto"/>
        </w:rPr>
        <w:t>Important Notice Regarding Admission to the 2022 Annual Meeting</w:t>
      </w:r>
    </w:p>
    <w:p>
      <w:pPr>
        <w:spacing w:after="0" w:line="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Virtual Annual Meeting</w:t>
      </w:r>
    </w:p>
    <w:p>
      <w:pPr>
        <w:spacing w:after="0" w:line="6" w:lineRule="exact"/>
        <w:rPr>
          <w:sz w:val="20"/>
          <w:szCs w:val="20"/>
          <w:color w:val="auto"/>
        </w:rPr>
      </w:pPr>
    </w:p>
    <w:p>
      <w:pPr>
        <w:ind w:left="560" w:right="440"/>
        <w:spacing w:after="0" w:line="230" w:lineRule="auto"/>
        <w:rPr>
          <w:sz w:val="20"/>
          <w:szCs w:val="20"/>
          <w:color w:val="auto"/>
        </w:rPr>
      </w:pPr>
      <w:r>
        <w:rPr>
          <w:rFonts w:ascii="Times New Roman" w:cs="Times New Roman" w:eastAsia="Times New Roman" w:hAnsi="Times New Roman"/>
          <w:sz w:val="14"/>
          <w:szCs w:val="14"/>
          <w:color w:val="auto"/>
        </w:rPr>
        <w:t>We are pleased to announce that the Company will conduct its 2022 Annual Meeting of Stockholders (“Annual Meeting”) on the below date and time solely by live audio webcast in lieu of an in-person meeting. Your Board believes this format will enhance and facilitate attendance by providing convenient access for all of our stockholders with access to the Internet. In addition, this meeting format should eliminate public health concerns around the COVID-19 pandemic and the significant costs associated with holding an in-person meeting. We have planned and designed the meeting to encourage stockholder participation, protect stockholder rights, and promote transparency.</w:t>
      </w:r>
    </w:p>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We encourage participation</w:t>
      </w:r>
    </w:p>
    <w:p>
      <w:pPr>
        <w:spacing w:after="0" w:line="6" w:lineRule="exact"/>
        <w:rPr>
          <w:sz w:val="20"/>
          <w:szCs w:val="20"/>
          <w:color w:val="auto"/>
        </w:rPr>
      </w:pPr>
    </w:p>
    <w:p>
      <w:pPr>
        <w:ind w:left="560" w:right="380"/>
        <w:spacing w:after="0" w:line="225" w:lineRule="auto"/>
        <w:rPr>
          <w:sz w:val="20"/>
          <w:szCs w:val="20"/>
          <w:color w:val="auto"/>
        </w:rPr>
      </w:pPr>
      <w:r>
        <w:rPr>
          <w:rFonts w:ascii="Times New Roman" w:cs="Times New Roman" w:eastAsia="Times New Roman" w:hAnsi="Times New Roman"/>
          <w:sz w:val="14"/>
          <w:szCs w:val="14"/>
          <w:color w:val="auto"/>
        </w:rPr>
        <w:t>Stockholders of record owning Chevron common stock at the close of business on Monday, March 28, 2022, are entitled to participate in and vote at the Annual Meeting. To participate in the Annual Meeting, including to vote, ask questions, and view the list of registered stockholders as of the record date during the meeting, stockholders should go to the meeting website at www.virtualshareholdermeeting.com/CVX2022, enter the 16-digit control number found on your proxy card, voting instruction form, or Notice Regarding the Availability of Proxy Materials, and follow the instructions on the website. If your voting instruction form or Notice Regarding the Availability of Proxy Materials does not indicate that you may vote those shares through the www.proxyvote.com website and it does not include a 16-digit control number, you should contact your bank, broker, or other nominee (preferably at least five days before the Annual Meeting) and obtain a “legal proxy” in order to be able to attend, participate in, or vote at the Annual Meeting. The Annual Meeting will be opened for access beginning at 7:45 a.m. PDT on May 25, 2022. Proponents of the stockholder proposals included in this Proxy Statement will be given the option to prerecord or call in live through a dedicated line to ensure their ability to present their proposals.</w:t>
      </w:r>
    </w:p>
    <w:p>
      <w:pPr>
        <w:spacing w:after="0" w:line="1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We welcome questions from stockholders</w:t>
      </w:r>
    </w:p>
    <w:p>
      <w:pPr>
        <w:spacing w:after="0" w:line="6" w:lineRule="exact"/>
        <w:rPr>
          <w:sz w:val="20"/>
          <w:szCs w:val="20"/>
          <w:color w:val="auto"/>
        </w:rPr>
      </w:pPr>
    </w:p>
    <w:p>
      <w:pPr>
        <w:ind w:left="560" w:right="400"/>
        <w:spacing w:after="0" w:line="239" w:lineRule="auto"/>
        <w:rPr>
          <w:sz w:val="20"/>
          <w:szCs w:val="20"/>
          <w:color w:val="auto"/>
        </w:rPr>
      </w:pPr>
      <w:r>
        <w:rPr>
          <w:rFonts w:ascii="Times New Roman" w:cs="Times New Roman" w:eastAsia="Times New Roman" w:hAnsi="Times New Roman"/>
          <w:sz w:val="14"/>
          <w:szCs w:val="14"/>
          <w:color w:val="auto"/>
        </w:rPr>
        <w:t>Questions may be submitted in advance of the meeting at www.proxyvote.com or live during the meeting at www.virtualshareholdermeeting.com/CVX2022. If we are not able to get to every question submitted, we will post a summary of the remaining questions and answers on www.chevron.com/investors/stockholder-services.</w:t>
      </w:r>
    </w:p>
    <w:p>
      <w:pPr>
        <w:spacing w:after="0" w:line="1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Technical difficulties and additional questions</w:t>
      </w:r>
    </w:p>
    <w:p>
      <w:pPr>
        <w:spacing w:after="0" w:line="6" w:lineRule="exact"/>
        <w:rPr>
          <w:sz w:val="20"/>
          <w:szCs w:val="20"/>
          <w:color w:val="auto"/>
        </w:rPr>
      </w:pPr>
    </w:p>
    <w:p>
      <w:pPr>
        <w:ind w:left="560" w:right="400"/>
        <w:spacing w:after="0" w:line="226" w:lineRule="auto"/>
        <w:rPr>
          <w:sz w:val="20"/>
          <w:szCs w:val="20"/>
          <w:color w:val="auto"/>
        </w:rPr>
      </w:pPr>
      <w:r>
        <w:rPr>
          <w:rFonts w:ascii="Times New Roman" w:cs="Times New Roman" w:eastAsia="Times New Roman" w:hAnsi="Times New Roman"/>
          <w:sz w:val="14"/>
          <w:szCs w:val="14"/>
          <w:color w:val="auto"/>
        </w:rPr>
        <w:t>If you have difficulty accessing the Annual Meeting, please call 844-976-0738 (toll free) or 303-562-9301 (international). Technicians will be available to assist you. Please submit any additional questions, comments, or suggestions by email at corpgov@chevron.com or by telephone by calling 1-877-259-1501. In the event of a technical malfunction or other situation that the meeting Chair determines may affect the ability of the meeting to satisfy the requirements for a stockholder meeting to be held by means of remote communication under the Delaware General Corporation Law, or that otherwise makes it advisable to adjourn the meeting, the Chair will convene the Annual Meeting at 8:30 a.m. PDT on the date specified above at the Company’s headquarters in San Ramon, California, solely for the purpose of adjourning the meeting to reconvene at a date, time, and physical or virtual location announced by the meeting Chair. Under either of the foregoing circumstances, we will post information regarding the announcement on the investor relations page of the Company’s website at www.chevron.com/investors/stockholder-services.</w:t>
      </w:r>
    </w:p>
    <w:p>
      <w:pPr>
        <w:spacing w:after="0" w:line="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Sincerely,</w:t>
      </w:r>
    </w:p>
    <w:p>
      <w:pPr>
        <w:spacing w:after="0" w:line="1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Mary A. Francis</w:t>
      </w:r>
    </w:p>
    <w:p>
      <w:pPr>
        <w:spacing w:after="0" w:line="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Corporate Secretary and Chief Governance Officer</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Annual Meeting of Stockholders</w:t>
      </w:r>
    </w:p>
    <w:p>
      <w:pPr>
        <w:spacing w:after="0" w:line="14" w:lineRule="exact"/>
        <w:rPr>
          <w:sz w:val="20"/>
          <w:szCs w:val="20"/>
          <w:color w:val="auto"/>
        </w:rPr>
      </w:pPr>
    </w:p>
    <w:tbl>
      <w:tblPr>
        <w:tblLayout w:type="fixed"/>
        <w:tblInd w:w="164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 Date:</w:t>
            </w:r>
          </w:p>
        </w:tc>
        <w:tc>
          <w:tcPr>
            <w:tcW w:w="616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Wednesday, May 25, 2022</w:t>
            </w:r>
          </w:p>
        </w:tc>
      </w:tr>
      <w:tr>
        <w:trPr>
          <w:trHeight w:val="28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 Time:</w:t>
            </w:r>
          </w:p>
        </w:tc>
        <w:tc>
          <w:tcPr>
            <w:tcW w:w="616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8:00 a.m. PDT (open for access beginning at 7:45 a.m.)</w:t>
            </w:r>
          </w:p>
        </w:tc>
      </w:tr>
      <w:tr>
        <w:trPr>
          <w:trHeight w:val="28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 Location:</w:t>
            </w:r>
          </w:p>
        </w:tc>
        <w:tc>
          <w:tcPr>
            <w:tcW w:w="616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Online by live audio webcast (www.virtualshareholdermeeting.com/CVX2022)</w:t>
            </w:r>
          </w:p>
        </w:tc>
      </w:tr>
    </w:tbl>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u w:val="single" w:color="auto"/>
          <w:color w:val="auto"/>
        </w:rPr>
        <w:t>Important Notice Regarding the Availability of Proxy Materials for the Stockholder Meeting to Be Held on Wednesday, May 25, 2022</w:t>
      </w:r>
      <w:r>
        <w:rPr>
          <w:rFonts w:ascii="Times New Roman" w:cs="Times New Roman" w:eastAsia="Times New Roman" w:hAnsi="Times New Roman"/>
          <w:sz w:val="14"/>
          <w:szCs w:val="14"/>
          <w:b w:val="1"/>
          <w:bCs w:val="1"/>
          <w:color w:val="auto"/>
        </w:rPr>
        <w:t>:</w:t>
      </w:r>
    </w:p>
    <w:p>
      <w:pPr>
        <w:spacing w:after="0" w:line="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The Notice of the 2022 Annual Meeting, 2022 Proxy Statement, and 2021 Annual Report are available at www.proxyvote.com.</w:t>
      </w: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 — — — — — — — — — — — — — — — — — — — — — — — — — — — — — — — — — — — — — — — — —— — — — — —</w:t>
      </w:r>
    </w:p>
    <w:p>
      <w:pPr>
        <w:spacing w:after="0" w:line="124"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14"/>
          <w:szCs w:val="14"/>
          <w:color w:val="auto"/>
        </w:rPr>
        <w:t>D74800-P68458-Z81983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49530</wp:posOffset>
            </wp:positionV>
            <wp:extent cx="7011670" cy="37801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011670" cy="3780155"/>
                    </a:xfrm>
                    <a:prstGeom prst="rect">
                      <a:avLst/>
                    </a:prstGeom>
                    <a:noFill/>
                  </pic:spPr>
                </pic:pic>
              </a:graphicData>
            </a:graphic>
          </wp:anchor>
        </w:drawing>
      </w:r>
    </w:p>
    <w:p>
      <w:pPr>
        <w:spacing w:after="0" w:line="3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THIS PROXY IS SOLICITED ON BEHALF OF THE BOARD OF DIRECTORS OF CHEVRON CORPORATION</w:t>
      </w:r>
    </w:p>
    <w:p>
      <w:pPr>
        <w:spacing w:after="0" w:line="129" w:lineRule="exact"/>
        <w:rPr>
          <w:sz w:val="20"/>
          <w:szCs w:val="20"/>
          <w:color w:val="auto"/>
        </w:rPr>
      </w:pPr>
    </w:p>
    <w:p>
      <w:pPr>
        <w:ind w:left="560" w:right="400"/>
        <w:spacing w:after="0" w:line="269" w:lineRule="auto"/>
        <w:rPr>
          <w:sz w:val="20"/>
          <w:szCs w:val="20"/>
          <w:color w:val="auto"/>
        </w:rPr>
      </w:pPr>
      <w:r>
        <w:rPr>
          <w:rFonts w:ascii="Times New Roman" w:cs="Times New Roman" w:eastAsia="Times New Roman" w:hAnsi="Times New Roman"/>
          <w:sz w:val="16"/>
          <w:szCs w:val="16"/>
          <w:color w:val="auto"/>
        </w:rPr>
        <w:t xml:space="preserve">The undersigned stockholder of Chevron Corporation hereby appoints Michael K. Wirth, R. Hewitt Pate, and Mary A. Francis, and each of them, proxy holders of the undersigned, each with full power of substitution, to represent and to vote all the shares of Chevron Corporation common stock held of record by the undersigned on Monday, March 28, 2022, at Chevron Corporation’s Annual Meeting of Stockholders, to be held on Wednesday, May 25, 2022, and any adjournment or postponement thereof. The proxy holders will vote as directed by the undersigned. </w:t>
      </w:r>
      <w:r>
        <w:rPr>
          <w:rFonts w:ascii="Times New Roman" w:cs="Times New Roman" w:eastAsia="Times New Roman" w:hAnsi="Times New Roman"/>
          <w:sz w:val="16"/>
          <w:szCs w:val="16"/>
          <w:b w:val="1"/>
          <w:bCs w:val="1"/>
          <w:color w:val="auto"/>
        </w:rPr>
        <w:t>If the undersigned signs, dates,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returns this proxy card but gives no directions for voting, the proxy holders will vote in accordance with the Board’s recommendations. The proxy holders will vote in accordance with their discretion on such other matters as may properly come before the meeting and any adjournment or postponement thereof, including, without limitation, any proposal to adjourn the meeting to a later time and place for the purpose of soliciting additional proxies, unless the undersigned strikes out this sentence.</w:t>
      </w:r>
    </w:p>
    <w:p>
      <w:pPr>
        <w:spacing w:after="0" w:line="146" w:lineRule="exact"/>
        <w:rPr>
          <w:sz w:val="20"/>
          <w:szCs w:val="20"/>
          <w:color w:val="auto"/>
        </w:rPr>
      </w:pPr>
    </w:p>
    <w:p>
      <w:pPr>
        <w:ind w:left="560" w:right="380"/>
        <w:spacing w:after="0" w:line="268" w:lineRule="auto"/>
        <w:rPr>
          <w:sz w:val="20"/>
          <w:szCs w:val="20"/>
          <w:color w:val="auto"/>
        </w:rPr>
      </w:pPr>
      <w:r>
        <w:rPr>
          <w:rFonts w:ascii="Times New Roman" w:cs="Times New Roman" w:eastAsia="Times New Roman" w:hAnsi="Times New Roman"/>
          <w:sz w:val="16"/>
          <w:szCs w:val="16"/>
          <w:color w:val="auto"/>
        </w:rPr>
        <w:t xml:space="preserve">If shares of Chevron Corporation common stock are issued to or held for the account of the undersigned under employee stock or retirement benefit plans and voting rights are attached to such shares (an “Employee Voting Plan”), the undersigned hereby directs the respective fiduciary of each applicable Employee Voting Plan to vote all shares of Chevron Corporation common stock held in the undersigned’s name and/or account under such Voting Plan in accordance with the instructions given herein, at Chevron Corporation’s Annual Meeting of Stockholders and any adjournment or postponement thereof, on all matters properly coming before the meeting, including but not limited to the matters set forth on the reverse side. If the undersigned has shares in an Employee Voting Plan and does not vote those shares, the Employee Voting Plan fiduciary may or may not vote the shares, in accordance with the terms of the Employee Voting Plan. </w:t>
      </w:r>
      <w:r>
        <w:rPr>
          <w:rFonts w:ascii="Times New Roman" w:cs="Times New Roman" w:eastAsia="Times New Roman" w:hAnsi="Times New Roman"/>
          <w:sz w:val="16"/>
          <w:szCs w:val="16"/>
          <w:b w:val="1"/>
          <w:bCs w:val="1"/>
          <w:color w:val="auto"/>
        </w:rPr>
        <w:t>All votes of Employee Voting Plan shares must be received by the respective fiduciary by 11:59 p.m. EDT, Sunday,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May 22, 2022, or other Employee Voting Plan cutoff date determined by the Employee Voting Plan fiduciary, in order to be counted. </w:t>
      </w:r>
      <w:r>
        <w:rPr>
          <w:rFonts w:ascii="Times New Roman" w:cs="Times New Roman" w:eastAsia="Times New Roman" w:hAnsi="Times New Roman"/>
          <w:sz w:val="16"/>
          <w:szCs w:val="16"/>
          <w:color w:val="auto"/>
        </w:rPr>
        <w:t>Employee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Voting Plan shares may not be voted at the meeting.</w:t>
      </w:r>
    </w:p>
    <w:p>
      <w:pPr>
        <w:spacing w:after="0" w:line="81" w:lineRule="exact"/>
        <w:rPr>
          <w:sz w:val="20"/>
          <w:szCs w:val="20"/>
          <w:color w:val="auto"/>
        </w:rPr>
      </w:pPr>
    </w:p>
    <w:p>
      <w:pPr>
        <w:ind w:left="560" w:right="640"/>
        <w:spacing w:after="0" w:line="298" w:lineRule="auto"/>
        <w:rPr>
          <w:sz w:val="20"/>
          <w:szCs w:val="20"/>
          <w:color w:val="auto"/>
        </w:rPr>
      </w:pPr>
      <w:r>
        <w:rPr>
          <w:rFonts w:ascii="Times New Roman" w:cs="Times New Roman" w:eastAsia="Times New Roman" w:hAnsi="Times New Roman"/>
          <w:sz w:val="16"/>
          <w:szCs w:val="16"/>
          <w:color w:val="auto"/>
        </w:rPr>
        <w:t>Your telephone or Internet vote authorizes the named proxy holders and/or the respective Employee Voting Plan fiduciary to vote the shares in the same manner as if you marked, signed, and returned your proxy form.</w:t>
      </w:r>
    </w:p>
    <w:p>
      <w:pPr>
        <w:spacing w:after="0" w:line="1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If you vote your proxy via telephone or Internet, you do not need to mail back your proxy card.</w:t>
      </w:r>
    </w:p>
    <w:p>
      <w:pPr>
        <w:spacing w:after="0" w:line="208" w:lineRule="exact"/>
        <w:rPr>
          <w:sz w:val="20"/>
          <w:szCs w:val="20"/>
          <w:color w:val="auto"/>
        </w:rPr>
      </w:pPr>
    </w:p>
    <w:p>
      <w:pPr>
        <w:ind w:left="560" w:right="400"/>
        <w:spacing w:after="0" w:line="298" w:lineRule="auto"/>
        <w:rPr>
          <w:sz w:val="20"/>
          <w:szCs w:val="20"/>
          <w:color w:val="auto"/>
        </w:rPr>
      </w:pPr>
      <w:r>
        <w:rPr>
          <w:rFonts w:ascii="Times New Roman" w:cs="Times New Roman" w:eastAsia="Times New Roman" w:hAnsi="Times New Roman"/>
          <w:sz w:val="16"/>
          <w:szCs w:val="16"/>
          <w:color w:val="auto"/>
        </w:rPr>
        <w:t>If you vote by mail, please mark, sign, date, and return the proxy card on the reverse side and return it using the enclosed postage-paid envelope or return it to Chevron Corporation, c/o Broadridge, 51 Mercedes Way, Edgewood, NY 11717.</w:t>
      </w:r>
    </w:p>
    <w:sectPr>
      <w:pgSz w:w="11900" w:h="16838" w:orient="portrait"/>
      <w:cols w:equalWidth="0" w:num="1">
        <w:col w:w="11040"/>
      </w:cols>
      <w:pgMar w:left="320" w:top="455" w:right="539" w:bottom="85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F7029"/>
    <w:multiLevelType w:val="hybridMultilevel"/>
    <w:lvl w:ilvl="0">
      <w:lvlJc w:val="left"/>
      <w:lvlText w:val="☐"/>
      <w:numFmt w:val="bullet"/>
      <w:start w:val="1"/>
    </w:lvl>
  </w:abstractNum>
  <w:abstractNum w:abstractNumId="1">
    <w:nsid w:val="7D5E18F8"/>
    <w:multiLevelType w:val="hybridMultilevel"/>
    <w:lvl w:ilvl="0">
      <w:lvlJc w:val="left"/>
      <w:lvlText w:val="☒"/>
      <w:numFmt w:val="bullet"/>
      <w:start w:val="1"/>
    </w:lvl>
  </w:abstractNum>
  <w:abstractNum w:abstractNumId="2">
    <w:nsid w:val="5F3534A4"/>
    <w:multiLevelType w:val="hybridMultilevel"/>
    <w:lvl w:ilvl="0">
      <w:lvlJc w:val="left"/>
      <w:lvlText w:val="☐"/>
      <w:numFmt w:val="bullet"/>
      <w:start w:val="1"/>
    </w:lvl>
  </w:abstractNum>
  <w:abstractNum w:abstractNumId="3">
    <w:nsid w:val="73A1821B"/>
    <w:multiLevelType w:val="hybridMultilevel"/>
    <w:lvl w:ilvl="0">
      <w:lvlJc w:val="left"/>
      <w:lvlText w:val="☒"/>
      <w:numFmt w:val="bullet"/>
      <w:start w:val="1"/>
    </w:lvl>
  </w:abstractNum>
  <w:abstractNum w:abstractNumId="4">
    <w:nsid w:val="7DE67713"/>
    <w:multiLevelType w:val="hybridMultilevel"/>
    <w:lvl w:ilvl="0">
      <w:lvlJc w:val="left"/>
      <w:lvlText w:val="☐"/>
      <w:numFmt w:val="bullet"/>
      <w:start w:val="1"/>
    </w:lvl>
  </w:abstractNum>
  <w:abstractNum w:abstractNumId="5">
    <w:nsid w:val="555C55B5"/>
    <w:multiLevelType w:val="hybridMultilevel"/>
    <w:lvl w:ilvl="0">
      <w:lvlJc w:val="left"/>
      <w:lvlText w:val="•"/>
      <w:numFmt w:val="bullet"/>
      <w:start w:val="1"/>
    </w:lvl>
  </w:abstractNum>
  <w:abstractNum w:abstractNumId="6">
    <w:nsid w:val="3FA62ACA"/>
    <w:multiLevelType w:val="hybridMultilevel"/>
    <w:lvl w:ilvl="0">
      <w:lvlJc w:val="left"/>
      <w:lvlText w:val="%1"/>
      <w:numFmt w:val="decimal"/>
      <w:start w:val="25"/>
    </w:lvl>
  </w:abstractNum>
  <w:abstractNum w:abstractNumId="7">
    <w:nsid w:val="14FCE74E"/>
    <w:multiLevelType w:val="hybridMultilevel"/>
    <w:lvl w:ilvl="0">
      <w:lvlJc w:val="left"/>
      <w:lvlText w:val="1"/>
      <w:numFmt w:val="bullet"/>
      <w:start w:val="1"/>
    </w:lvl>
  </w:abstractNum>
  <w:abstractNum w:abstractNumId="8">
    <w:nsid w:val="6A3DD3E8"/>
    <w:multiLevelType w:val="hybridMultilevel"/>
    <w:lvl w:ilvl="0">
      <w:lvlJc w:val="left"/>
      <w:lvlText w:val="•"/>
      <w:numFmt w:val="bullet"/>
      <w:start w:val="1"/>
    </w:lvl>
  </w:abstractNum>
  <w:abstractNum w:abstractNumId="9">
    <w:nsid w:val="71C91298"/>
    <w:multiLevelType w:val="hybridMultilevel"/>
    <w:lvl w:ilvl="0">
      <w:lvlJc w:val="left"/>
      <w:lvlText w:val="•"/>
      <w:numFmt w:val="bullet"/>
      <w:start w:val="1"/>
    </w:lvl>
  </w:abstractNum>
  <w:abstractNum w:abstractNumId="10">
    <w:nsid w:val="9DAF632"/>
    <w:multiLevelType w:val="hybridMultilevel"/>
    <w:lvl w:ilvl="0">
      <w:lvlJc w:val="left"/>
      <w:lvlText w:val="•"/>
      <w:numFmt w:val="bullet"/>
      <w:start w:val="1"/>
    </w:lvl>
  </w:abstractNum>
  <w:abstractNum w:abstractNumId="11">
    <w:nsid w:val="53299938"/>
    <w:multiLevelType w:val="hybridMultilevel"/>
    <w:lvl w:ilvl="0">
      <w:lvlJc w:val="left"/>
      <w:lvlText w:val="•"/>
      <w:numFmt w:val="bullet"/>
      <w:start w:val="1"/>
    </w:lvl>
  </w:abstractNum>
  <w:abstractNum w:abstractNumId="12">
    <w:nsid w:val="1FBFE8E0"/>
    <w:multiLevelType w:val="hybridMultilevel"/>
    <w:lvl w:ilvl="0">
      <w:lvlJc w:val="left"/>
      <w:lvlText w:val="1"/>
      <w:numFmt w:val="bullet"/>
      <w:start w:val="1"/>
    </w:lvl>
  </w:abstractNum>
  <w:abstractNum w:abstractNumId="13">
    <w:nsid w:val="5092CA79"/>
    <w:multiLevelType w:val="hybridMultilevel"/>
    <w:lvl w:ilvl="0">
      <w:lvlJc w:val="left"/>
      <w:lvlText w:val="*"/>
      <w:numFmt w:val="bullet"/>
      <w:start w:val="1"/>
    </w:lvl>
  </w:abstractNum>
  <w:abstractNum w:abstractNumId="14">
    <w:nsid w:val="1D545C4D"/>
    <w:multiLevelType w:val="hybridMultilevel"/>
    <w:lvl w:ilvl="0">
      <w:lvlJc w:val="left"/>
      <w:lvlText w:val="•"/>
      <w:numFmt w:val="bullet"/>
      <w:start w:val="1"/>
    </w:lvl>
  </w:abstractNum>
  <w:abstractNum w:abstractNumId="15">
    <w:nsid w:val="59ADEA3D"/>
    <w:multiLevelType w:val="hybridMultilevel"/>
    <w:lvl w:ilvl="0">
      <w:lvlJc w:val="left"/>
      <w:lvlText w:val="●"/>
      <w:numFmt w:val="bullet"/>
      <w:start w:val="1"/>
    </w:lvl>
  </w:abstractNum>
  <w:abstractNum w:abstractNumId="16">
    <w:nsid w:val="288F1A34"/>
    <w:multiLevelType w:val="hybridMultilevel"/>
    <w:lvl w:ilvl="0">
      <w:lvlJc w:val="left"/>
      <w:lvlText w:val="•"/>
      <w:numFmt w:val="bullet"/>
      <w:start w:val="1"/>
    </w:lvl>
  </w:abstractNum>
  <w:abstractNum w:abstractNumId="17">
    <w:nsid w:val="2A155DBC"/>
    <w:multiLevelType w:val="hybridMultilevel"/>
    <w:lvl w:ilvl="0">
      <w:lvlJc w:val="left"/>
      <w:lvlText w:val="•"/>
      <w:numFmt w:val="bullet"/>
      <w:start w:val="1"/>
    </w:lvl>
  </w:abstractNum>
  <w:abstractNum w:abstractNumId="18">
    <w:nsid w:val="1D9F6E5F"/>
    <w:multiLevelType w:val="hybridMultilevel"/>
    <w:lvl w:ilvl="0">
      <w:lvlJc w:val="left"/>
      <w:lvlText w:val="(%1)"/>
      <w:numFmt w:val="decimal"/>
      <w:start w:val="1"/>
    </w:lvl>
  </w:abstractNum>
  <w:abstractNum w:abstractNumId="19">
    <w:nsid w:val="97E1B4E"/>
    <w:multiLevelType w:val="hybridMultilevel"/>
    <w:lvl w:ilvl="0">
      <w:lvlJc w:val="left"/>
      <w:lvlText w:val="L"/>
      <w:numFmt w:val="bullet"/>
      <w:start w:val="1"/>
    </w:lvl>
  </w:abstractNum>
  <w:abstractNum w:abstractNumId="20">
    <w:nsid w:val="51088277"/>
    <w:multiLevelType w:val="hybridMultilevel"/>
    <w:lvl w:ilvl="0">
      <w:lvlJc w:val="left"/>
      <w:lvlText w:val="•"/>
      <w:numFmt w:val="bullet"/>
      <w:start w:val="1"/>
    </w:lvl>
  </w:abstractNum>
  <w:abstractNum w:abstractNumId="21">
    <w:nsid w:val="1CA0C5FA"/>
    <w:multiLevelType w:val="hybridMultilevel"/>
    <w:lvl w:ilvl="0">
      <w:lvlJc w:val="left"/>
      <w:lvlText w:val="•"/>
      <w:numFmt w:val="bullet"/>
      <w:start w:val="1"/>
    </w:lvl>
  </w:abstractNum>
  <w:abstractNum w:abstractNumId="22">
    <w:nsid w:val="53584BCB"/>
    <w:multiLevelType w:val="hybridMultilevel"/>
    <w:lvl w:ilvl="0">
      <w:lvlJc w:val="left"/>
      <w:lvlText w:val="•"/>
      <w:numFmt w:val="bullet"/>
      <w:start w:val="1"/>
    </w:lvl>
  </w:abstractNum>
  <w:abstractNum w:abstractNumId="23">
    <w:nsid w:val="415E286C"/>
    <w:multiLevelType w:val="hybridMultilevel"/>
    <w:lvl w:ilvl="0">
      <w:lvlJc w:val="left"/>
      <w:lvlText w:val="•"/>
      <w:numFmt w:val="bullet"/>
      <w:start w:val="1"/>
    </w:lvl>
  </w:abstractNum>
  <w:abstractNum w:abstractNumId="24">
    <w:nsid w:val="7C58FD05"/>
    <w:multiLevelType w:val="hybridMultilevel"/>
    <w:lvl w:ilvl="0">
      <w:lvlJc w:val="left"/>
      <w:lvlText w:val="•"/>
      <w:numFmt w:val="bullet"/>
      <w:start w:val="1"/>
    </w:lvl>
  </w:abstractNum>
  <w:abstractNum w:abstractNumId="25">
    <w:nsid w:val="23D86AAC"/>
    <w:multiLevelType w:val="hybridMultilevel"/>
    <w:lvl w:ilvl="0">
      <w:lvlJc w:val="left"/>
      <w:lvlText w:val="•"/>
      <w:numFmt w:val="bullet"/>
      <w:start w:val="1"/>
    </w:lvl>
  </w:abstractNum>
  <w:abstractNum w:abstractNumId="26">
    <w:nsid w:val="45E6D486"/>
    <w:multiLevelType w:val="hybridMultilevel"/>
    <w:lvl w:ilvl="0">
      <w:lvlJc w:val="left"/>
      <w:lvlText w:val="•"/>
      <w:numFmt w:val="bullet"/>
      <w:start w:val="1"/>
    </w:lvl>
  </w:abstractNum>
  <w:abstractNum w:abstractNumId="27">
    <w:nsid w:val="5C10FE21"/>
    <w:multiLevelType w:val="hybridMultilevel"/>
    <w:lvl w:ilvl="0">
      <w:lvlJc w:val="left"/>
      <w:lvlText w:val="•"/>
      <w:numFmt w:val="bullet"/>
      <w:start w:val="1"/>
    </w:lvl>
  </w:abstractNum>
  <w:abstractNum w:abstractNumId="28">
    <w:nsid w:val="E7FFA2B"/>
    <w:multiLevelType w:val="hybridMultilevel"/>
    <w:lvl w:ilvl="0">
      <w:lvlJc w:val="left"/>
      <w:lvlText w:val="•"/>
      <w:numFmt w:val="bullet"/>
      <w:start w:val="1"/>
    </w:lvl>
  </w:abstractNum>
  <w:abstractNum w:abstractNumId="29">
    <w:nsid w:val="3C5991AA"/>
    <w:multiLevelType w:val="hybridMultilevel"/>
    <w:lvl w:ilvl="0">
      <w:lvlJc w:val="left"/>
      <w:lvlText w:val="•"/>
      <w:numFmt w:val="bullet"/>
      <w:start w:val="1"/>
    </w:lvl>
  </w:abstractNum>
  <w:abstractNum w:abstractNumId="30">
    <w:nsid w:val="4BD8591A"/>
    <w:multiLevelType w:val="hybridMultilevel"/>
    <w:lvl w:ilvl="0">
      <w:lvlJc w:val="left"/>
      <w:lvlText w:val="•"/>
      <w:numFmt w:val="bullet"/>
      <w:start w:val="1"/>
    </w:lvl>
  </w:abstractNum>
  <w:abstractNum w:abstractNumId="31">
    <w:nsid w:val="78DF6A55"/>
    <w:multiLevelType w:val="hybridMultilevel"/>
    <w:lvl w:ilvl="0">
      <w:lvlJc w:val="left"/>
      <w:lvlText w:val="(%1)"/>
      <w:numFmt w:val="decimal"/>
      <w:start w:val="1"/>
    </w:lvl>
  </w:abstractNum>
  <w:abstractNum w:abstractNumId="32">
    <w:nsid w:val="39B7AAA2"/>
    <w:multiLevelType w:val="hybridMultilevel"/>
    <w:lvl w:ilvl="0">
      <w:lvlJc w:val="left"/>
      <w:lvlText w:val="(%1)"/>
      <w:numFmt w:val="lowerLetter"/>
      <w:start w:val="1"/>
    </w:lvl>
  </w:abstractNum>
  <w:abstractNum w:abstractNumId="33">
    <w:nsid w:val="2B0D8DBE"/>
    <w:multiLevelType w:val="hybridMultilevel"/>
    <w:lvl w:ilvl="0">
      <w:lvlJc w:val="left"/>
      <w:lvlText w:val="(%1)"/>
      <w:numFmt w:val="decimal"/>
      <w:start w:val="3"/>
    </w:lvl>
  </w:abstractNum>
  <w:abstractNum w:abstractNumId="34">
    <w:nsid w:val="6C80EC70"/>
    <w:multiLevelType w:val="hybridMultilevel"/>
    <w:lvl w:ilvl="0">
      <w:lvlJc w:val="left"/>
      <w:lvlText w:val="%1"/>
      <w:numFmt w:val="decimal"/>
      <w:start w:val="1"/>
    </w:lvl>
    <w:lvl w:ilvl="1">
      <w:lvlJc w:val="left"/>
      <w:lvlText w:val="(%2)"/>
      <w:numFmt w:val="lowerLetter"/>
      <w:start w:val="1"/>
    </w:lvl>
  </w:abstractNum>
  <w:abstractNum w:abstractNumId="35">
    <w:nsid w:val="379E21B5"/>
    <w:multiLevelType w:val="hybridMultilevel"/>
    <w:lvl w:ilvl="0">
      <w:lvlJc w:val="left"/>
      <w:lvlText w:val="(%1)"/>
      <w:numFmt w:val="decimal"/>
      <w:start w:val="5"/>
    </w:lvl>
    <w:lvl w:ilvl="1">
      <w:lvlJc w:val="left"/>
      <w:lvlText w:val="%2"/>
      <w:numFmt w:val="lowerLetter"/>
      <w:start w:val="1"/>
    </w:lvl>
  </w:abstractNum>
  <w:abstractNum w:abstractNumId="36">
    <w:nsid w:val="69E373"/>
    <w:multiLevelType w:val="hybridMultilevel"/>
    <w:lvl w:ilvl="0">
      <w:lvlJc w:val="left"/>
      <w:lvlText w:val="•"/>
      <w:numFmt w:val="bullet"/>
      <w:start w:val="1"/>
    </w:lvl>
    <w:lvl w:ilvl="1">
      <w:lvlJc w:val="left"/>
      <w:lvlText w:val="•"/>
      <w:numFmt w:val="bullet"/>
      <w:start w:val="1"/>
    </w:lvl>
  </w:abstractNum>
  <w:abstractNum w:abstractNumId="37">
    <w:nsid w:val="2C27173B"/>
    <w:multiLevelType w:val="hybridMultilevel"/>
    <w:lvl w:ilvl="0">
      <w:lvlJc w:val="left"/>
      <w:lvlText w:val="0"/>
      <w:numFmt w:val="bullet"/>
      <w:start w:val="1"/>
    </w:lvl>
  </w:abstractNum>
  <w:abstractNum w:abstractNumId="38">
    <w:nsid w:val="4C9B0904"/>
    <w:multiLevelType w:val="hybridMultilevel"/>
    <w:lvl w:ilvl="0">
      <w:lvlJc w:val="left"/>
      <w:lvlText w:val="•"/>
      <w:numFmt w:val="bullet"/>
      <w:start w:val="1"/>
    </w:lvl>
  </w:abstractNum>
  <w:abstractNum w:abstractNumId="39">
    <w:nsid w:val="6AA7B75C"/>
    <w:multiLevelType w:val="hybridMultilevel"/>
    <w:lvl w:ilvl="0">
      <w:lvlJc w:val="left"/>
      <w:lvlText w:val="•"/>
      <w:numFmt w:val="bullet"/>
      <w:start w:val="1"/>
    </w:lvl>
  </w:abstractNum>
  <w:abstractNum w:abstractNumId="40">
    <w:nsid w:val="1DF029D3"/>
    <w:multiLevelType w:val="hybridMultilevel"/>
    <w:lvl w:ilvl="0">
      <w:lvlJc w:val="left"/>
      <w:lvlText w:val="•"/>
      <w:numFmt w:val="bullet"/>
      <w:start w:val="1"/>
    </w:lvl>
  </w:abstractNum>
  <w:abstractNum w:abstractNumId="41">
    <w:nsid w:val="5675FF36"/>
    <w:multiLevelType w:val="hybridMultilevel"/>
    <w:lvl w:ilvl="0">
      <w:lvlJc w:val="left"/>
      <w:lvlText w:val="•"/>
      <w:numFmt w:val="bullet"/>
      <w:start w:val="1"/>
    </w:lvl>
  </w:abstractNum>
  <w:abstractNum w:abstractNumId="42">
    <w:nsid w:val="3DD15094"/>
    <w:multiLevelType w:val="hybridMultilevel"/>
    <w:lvl w:ilvl="0">
      <w:lvlJc w:val="left"/>
      <w:lvlText w:val="•"/>
      <w:numFmt w:val="bullet"/>
      <w:start w:val="1"/>
    </w:lvl>
  </w:abstractNum>
  <w:abstractNum w:abstractNumId="43">
    <w:nsid w:val="3DB012B3"/>
    <w:multiLevelType w:val="hybridMultilevel"/>
    <w:lvl w:ilvl="0">
      <w:lvlJc w:val="left"/>
      <w:lvlText w:val="•"/>
      <w:numFmt w:val="bullet"/>
      <w:start w:val="1"/>
    </w:lvl>
  </w:abstractNum>
  <w:abstractNum w:abstractNumId="44">
    <w:nsid w:val="2708C9AF"/>
    <w:multiLevelType w:val="hybridMultilevel"/>
    <w:lvl w:ilvl="0">
      <w:lvlJc w:val="left"/>
      <w:lvlText w:val="•"/>
      <w:numFmt w:val="bullet"/>
      <w:start w:val="1"/>
    </w:lvl>
  </w:abstractNum>
  <w:abstractNum w:abstractNumId="45">
    <w:nsid w:val="5B25ACE2"/>
    <w:multiLevelType w:val="hybridMultilevel"/>
    <w:lvl w:ilvl="0">
      <w:lvlJc w:val="left"/>
      <w:lvlText w:val="•"/>
      <w:numFmt w:val="bullet"/>
      <w:start w:val="1"/>
    </w:lvl>
  </w:abstractNum>
  <w:abstractNum w:abstractNumId="46">
    <w:nsid w:val="175DFCF0"/>
    <w:multiLevelType w:val="hybridMultilevel"/>
    <w:lvl w:ilvl="0">
      <w:lvlJc w:val="left"/>
      <w:lvlText w:val="•"/>
      <w:numFmt w:val="bullet"/>
      <w:start w:val="1"/>
    </w:lvl>
  </w:abstractNum>
  <w:abstractNum w:abstractNumId="47">
    <w:nsid w:val="4F97E3E4"/>
    <w:multiLevelType w:val="hybridMultilevel"/>
    <w:lvl w:ilvl="0">
      <w:lvlJc w:val="left"/>
      <w:lvlText w:val="•"/>
      <w:numFmt w:val="bullet"/>
      <w:start w:val="1"/>
    </w:lvl>
  </w:abstractNum>
  <w:abstractNum w:abstractNumId="48">
    <w:nsid w:val="53B0A9E"/>
    <w:multiLevelType w:val="hybridMultilevel"/>
    <w:lvl w:ilvl="0">
      <w:lvlJc w:val="left"/>
      <w:lvlText w:val="(%1)"/>
      <w:numFmt w:val="decimal"/>
      <w:start w:val="2"/>
    </w:lvl>
  </w:abstractNum>
  <w:abstractNum w:abstractNumId="49">
    <w:nsid w:val="34FD6B4F"/>
    <w:multiLevelType w:val="hybridMultilevel"/>
    <w:lvl w:ilvl="0">
      <w:lvlJc w:val="left"/>
      <w:lvlText w:val="•"/>
      <w:numFmt w:val="bullet"/>
      <w:start w:val="1"/>
    </w:lvl>
  </w:abstractNum>
  <w:abstractNum w:abstractNumId="50">
    <w:nsid w:val="5915FF32"/>
    <w:multiLevelType w:val="hybridMultilevel"/>
    <w:lvl w:ilvl="0">
      <w:lvlJc w:val="left"/>
      <w:lvlText w:val="•"/>
      <w:numFmt w:val="bullet"/>
      <w:start w:val="1"/>
    </w:lvl>
  </w:abstractNum>
  <w:abstractNum w:abstractNumId="51">
    <w:nsid w:val="56438D15"/>
    <w:multiLevelType w:val="hybridMultilevel"/>
    <w:lvl w:ilvl="0">
      <w:lvlJc w:val="left"/>
      <w:lvlText w:val="(%1)"/>
      <w:numFmt w:val="decimal"/>
      <w:start w:val="1"/>
    </w:lvl>
  </w:abstractNum>
  <w:abstractNum w:abstractNumId="52">
    <w:nsid w:val="519E3149"/>
    <w:multiLevelType w:val="hybridMultilevel"/>
    <w:lvl w:ilvl="0">
      <w:lvlJc w:val="left"/>
      <w:lvlText w:val="•"/>
      <w:numFmt w:val="bullet"/>
      <w:start w:val="1"/>
    </w:lvl>
  </w:abstractNum>
  <w:abstractNum w:abstractNumId="53">
    <w:nsid w:val="2C6E4AFD"/>
    <w:multiLevelType w:val="hybridMultilevel"/>
    <w:lvl w:ilvl="0">
      <w:lvlJc w:val="left"/>
      <w:lvlText w:val="•"/>
      <w:numFmt w:val="bullet"/>
      <w:start w:val="1"/>
    </w:lvl>
  </w:abstractNum>
  <w:abstractNum w:abstractNumId="54">
    <w:nsid w:val="17A1B582"/>
    <w:multiLevelType w:val="hybridMultilevel"/>
    <w:lvl w:ilvl="0">
      <w:lvlJc w:val="left"/>
      <w:lvlText w:val="2"/>
      <w:numFmt w:val="bullet"/>
      <w:start w:val="1"/>
    </w:lvl>
  </w:abstractNum>
  <w:abstractNum w:abstractNumId="55">
    <w:nsid w:val="4DF72E4E"/>
    <w:multiLevelType w:val="hybridMultilevel"/>
    <w:lvl w:ilvl="0">
      <w:lvlJc w:val="left"/>
      <w:lvlText w:val="3"/>
      <w:numFmt w:val="bullet"/>
      <w:start w:val="1"/>
    </w:lvl>
  </w:abstractNum>
  <w:abstractNum w:abstractNumId="56">
    <w:nsid w:val="5046B5A9"/>
    <w:multiLevelType w:val="hybridMultilevel"/>
    <w:lvl w:ilvl="0">
      <w:lvlJc w:val="left"/>
      <w:lvlText w:val="•"/>
      <w:numFmt w:val="bullet"/>
      <w:start w:val="1"/>
    </w:lvl>
  </w:abstractNum>
  <w:abstractNum w:abstractNumId="57">
    <w:nsid w:val="5D888A08"/>
    <w:multiLevelType w:val="hybridMultilevel"/>
    <w:lvl w:ilvl="0">
      <w:lvlJc w:val="left"/>
      <w:lvlText w:val="1"/>
      <w:numFmt w:val="bullet"/>
      <w:start w:val="1"/>
    </w:lvl>
  </w:abstractNum>
  <w:abstractNum w:abstractNumId="58">
    <w:nsid w:val="2A082C70"/>
    <w:multiLevelType w:val="hybridMultilevel"/>
    <w:lvl w:ilvl="0">
      <w:lvlJc w:val="left"/>
      <w:lvlText w:val="2"/>
      <w:numFmt w:val="bullet"/>
      <w:start w:val="1"/>
    </w:lvl>
  </w:abstractNum>
  <w:abstractNum w:abstractNumId="59">
    <w:nsid w:val="5EC6AFD4"/>
    <w:multiLevelType w:val="hybridMultilevel"/>
    <w:lvl w:ilvl="0">
      <w:lvlJc w:val="left"/>
      <w:lvlText w:val="3"/>
      <w:numFmt w:val="bullet"/>
      <w:start w:val="1"/>
    </w:lvl>
  </w:abstractNum>
  <w:abstractNum w:abstractNumId="60">
    <w:nsid w:val="19E21BB2"/>
    <w:multiLevelType w:val="hybridMultilevel"/>
    <w:lvl w:ilvl="0">
      <w:lvlJc w:val="left"/>
      <w:lvlText w:val="(%1)"/>
      <w:numFmt w:val="decimal"/>
      <w:start w:val="4"/>
    </w:lvl>
  </w:abstractNum>
  <w:abstractNum w:abstractNumId="61">
    <w:nsid w:val="75E0858A"/>
    <w:multiLevelType w:val="hybridMultilevel"/>
    <w:lvl w:ilvl="0">
      <w:lvlJc w:val="left"/>
      <w:lvlText w:val="•"/>
      <w:numFmt w:val="bullet"/>
      <w:start w:val="1"/>
    </w:lvl>
  </w:abstractNum>
  <w:abstractNum w:abstractNumId="62">
    <w:nsid w:val="57A61A29"/>
    <w:multiLevelType w:val="hybridMultilevel"/>
    <w:lvl w:ilvl="0">
      <w:lvlJc w:val="left"/>
      <w:lvlText w:val="•"/>
      <w:numFmt w:val="bullet"/>
      <w:start w:val="1"/>
    </w:lvl>
  </w:abstractNum>
  <w:abstractNum w:abstractNumId="63">
    <w:nsid w:val="5399C654"/>
    <w:multiLevelType w:val="hybridMultilevel"/>
    <w:lvl w:ilvl="0">
      <w:lvlJc w:val="left"/>
      <w:lvlText w:val="•"/>
      <w:numFmt w:val="bullet"/>
      <w:start w:val="1"/>
    </w:lvl>
  </w:abstractNum>
  <w:abstractNum w:abstractNumId="64">
    <w:nsid w:val="20EE1348"/>
    <w:multiLevelType w:val="hybridMultilevel"/>
    <w:lvl w:ilvl="0">
      <w:lvlJc w:val="left"/>
      <w:lvlText w:val="•"/>
      <w:numFmt w:val="bullet"/>
      <w:start w:val="1"/>
    </w:lvl>
  </w:abstractNum>
  <w:abstractNum w:abstractNumId="65">
    <w:nsid w:val="4427069A"/>
    <w:multiLevelType w:val="hybridMultilevel"/>
    <w:lvl w:ilvl="0">
      <w:lvlJc w:val="left"/>
      <w:lvlText w:val="•"/>
      <w:numFmt w:val="bullet"/>
      <w:start w:val="1"/>
    </w:lvl>
  </w:abstractNum>
  <w:abstractNum w:abstractNumId="66">
    <w:nsid w:val="B37E80A"/>
    <w:multiLevelType w:val="hybridMultilevel"/>
    <w:lvl w:ilvl="0">
      <w:lvlJc w:val="left"/>
      <w:lvlText w:val="•"/>
      <w:numFmt w:val="bullet"/>
      <w:start w:val="1"/>
    </w:lvl>
  </w:abstractNum>
  <w:abstractNum w:abstractNumId="67">
    <w:nsid w:val="2157F6BC"/>
    <w:multiLevelType w:val="hybridMultilevel"/>
    <w:lvl w:ilvl="0">
      <w:lvlJc w:val="left"/>
      <w:lvlText w:val="•"/>
      <w:numFmt w:val="bullet"/>
      <w:start w:val="1"/>
    </w:lvl>
  </w:abstractNum>
  <w:abstractNum w:abstractNumId="68">
    <w:nsid w:val="704E1DD5"/>
    <w:multiLevelType w:val="hybridMultilevel"/>
    <w:lvl w:ilvl="0">
      <w:lvlJc w:val="left"/>
      <w:lvlText w:val="1"/>
      <w:numFmt w:val="bullet"/>
      <w:start w:val="1"/>
    </w:lvl>
  </w:abstractNum>
  <w:abstractNum w:abstractNumId="69">
    <w:nsid w:val="57D2F10E"/>
    <w:multiLevelType w:val="hybridMultilevel"/>
    <w:lvl w:ilvl="0">
      <w:lvlJc w:val="left"/>
      <w:lvlText w:val="2"/>
      <w:numFmt w:val="bullet"/>
      <w:start w:val="1"/>
    </w:lvl>
  </w:abstractNum>
  <w:abstractNum w:abstractNumId="70">
    <w:nsid w:val="BFFAE18"/>
    <w:multiLevelType w:val="hybridMultilevel"/>
    <w:lvl w:ilvl="0">
      <w:lvlJc w:val="left"/>
      <w:lvlText w:val="3"/>
      <w:numFmt w:val="bullet"/>
      <w:start w:val="1"/>
    </w:lvl>
  </w:abstractNum>
  <w:abstractNum w:abstractNumId="71">
    <w:nsid w:val="E3E47A8"/>
    <w:multiLevelType w:val="hybridMultilevel"/>
    <w:lvl w:ilvl="0">
      <w:lvlJc w:val="left"/>
      <w:lvlText w:val="4"/>
      <w:numFmt w:val="bullet"/>
      <w:start w:val="1"/>
    </w:lvl>
  </w:abstractNum>
  <w:abstractNum w:abstractNumId="72">
    <w:nsid w:val="2E48F044"/>
    <w:multiLevelType w:val="hybridMultilevel"/>
    <w:lvl w:ilvl="0">
      <w:lvlJc w:val="left"/>
      <w:lvlText w:val="(%1)"/>
      <w:numFmt w:val="decimal"/>
      <w:start w:val="1"/>
    </w:lvl>
  </w:abstractNum>
  <w:abstractNum w:abstractNumId="73">
    <w:nsid w:val="49D0FEAC"/>
    <w:multiLevelType w:val="hybridMultilevel"/>
    <w:lvl w:ilvl="0">
      <w:lvlJc w:val="left"/>
      <w:lvlText w:val="(%1)"/>
      <w:numFmt w:val="decimal"/>
      <w:start w:val="1"/>
    </w:lvl>
  </w:abstractNum>
  <w:abstractNum w:abstractNumId="74">
    <w:nsid w:val="4BEE5A5B"/>
    <w:multiLevelType w:val="hybridMultilevel"/>
    <w:lvl w:ilvl="0">
      <w:lvlJc w:val="left"/>
      <w:lvlText w:val="*"/>
      <w:numFmt w:val="bullet"/>
      <w:start w:val="1"/>
    </w:lvl>
  </w:abstractNum>
  <w:abstractNum w:abstractNumId="75">
    <w:nsid w:val="5551B9F3"/>
    <w:multiLevelType w:val="hybridMultilevel"/>
    <w:lvl w:ilvl="0">
      <w:lvlJc w:val="left"/>
      <w:lvlText w:val="•"/>
      <w:numFmt w:val="bullet"/>
      <w:start w:val="1"/>
    </w:lvl>
  </w:abstractNum>
  <w:abstractNum w:abstractNumId="76">
    <w:nsid w:val="24F6AB8E"/>
    <w:multiLevelType w:val="hybridMultilevel"/>
    <w:lvl w:ilvl="0">
      <w:lvlJc w:val="left"/>
      <w:lvlText w:val="(%1)"/>
      <w:numFmt w:val="decimal"/>
      <w:start w:val="1"/>
    </w:lvl>
  </w:abstractNum>
  <w:abstractNum w:abstractNumId="77">
    <w:nsid w:val="634C574C"/>
    <w:multiLevelType w:val="hybridMultilevel"/>
    <w:lvl w:ilvl="0">
      <w:lvlJc w:val="left"/>
      <w:lvlText w:val="(%1)"/>
      <w:numFmt w:val="decimal"/>
      <w:start w:val="6"/>
    </w:lvl>
  </w:abstractNum>
  <w:abstractNum w:abstractNumId="78">
    <w:nsid w:val="24E99DD7"/>
    <w:multiLevelType w:val="hybridMultilevel"/>
    <w:lvl w:ilvl="0">
      <w:lvlJc w:val="left"/>
      <w:lvlText w:val="•"/>
      <w:numFmt w:val="bullet"/>
      <w:start w:val="1"/>
    </w:lvl>
  </w:abstractNum>
  <w:abstractNum w:abstractNumId="79">
    <w:nsid w:val="2A31B62D"/>
    <w:multiLevelType w:val="hybridMultilevel"/>
    <w:lvl w:ilvl="0">
      <w:lvlJc w:val="left"/>
      <w:lvlText w:val="•"/>
      <w:numFmt w:val="bullet"/>
      <w:start w:val="1"/>
    </w:lvl>
  </w:abstractNum>
  <w:abstractNum w:abstractNumId="80">
    <w:nsid w:val="1849C29B"/>
    <w:multiLevelType w:val="hybridMultilevel"/>
    <w:lvl w:ilvl="0">
      <w:lvlJc w:val="left"/>
      <w:lvlText w:val="•"/>
      <w:numFmt w:val="bullet"/>
      <w:start w:val="1"/>
    </w:lvl>
    <w:lvl w:ilvl="1">
      <w:lvlJc w:val="left"/>
      <w:lvlText w:val="•"/>
      <w:numFmt w:val="bullet"/>
      <w:start w:val="1"/>
    </w:lvl>
  </w:abstractNum>
  <w:abstractNum w:abstractNumId="81">
    <w:nsid w:val="7DFF9D09"/>
    <w:multiLevelType w:val="hybridMultilevel"/>
    <w:lvl w:ilvl="0">
      <w:lvlJc w:val="left"/>
      <w:lvlText w:val="•"/>
      <w:numFmt w:val="bullet"/>
      <w:start w:val="1"/>
    </w:lvl>
  </w:abstractNum>
  <w:abstractNum w:abstractNumId="82">
    <w:nsid w:val="754342"/>
    <w:multiLevelType w:val="hybridMultilevel"/>
    <w:lvl w:ilvl="0">
      <w:lvlJc w:val="left"/>
      <w:lvlText w:val="•"/>
      <w:numFmt w:val="bullet"/>
      <w:start w:val="1"/>
    </w:lvl>
  </w:abstractNum>
  <w:abstractNum w:abstractNumId="83">
    <w:nsid w:val="69E7F3E5"/>
    <w:multiLevelType w:val="hybridMultilevel"/>
    <w:lvl w:ilvl="0">
      <w:lvlJc w:val="left"/>
      <w:lvlText w:val="•"/>
      <w:numFmt w:val="bullet"/>
      <w:start w:val="1"/>
    </w:lvl>
  </w:abstractNum>
  <w:abstractNum w:abstractNumId="84">
    <w:nsid w:val="2A6DE806"/>
    <w:multiLevelType w:val="hybridMultilevel"/>
    <w:lvl w:ilvl="0">
      <w:lvlJc w:val="left"/>
      <w:lvlText w:val="•"/>
      <w:numFmt w:val="bullet"/>
      <w:start w:val="1"/>
    </w:lvl>
  </w:abstractNum>
  <w:abstractNum w:abstractNumId="85">
    <w:nsid w:val="1816F8C4"/>
    <w:multiLevelType w:val="hybridMultilevel"/>
    <w:lvl w:ilvl="0">
      <w:lvlJc w:val="left"/>
      <w:lvlText w:val="•"/>
      <w:numFmt w:val="bullet"/>
      <w:start w:val="1"/>
    </w:lvl>
  </w:abstractNum>
  <w:abstractNum w:abstractNumId="86">
    <w:nsid w:val="37DF2233"/>
    <w:multiLevelType w:val="hybridMultilevel"/>
    <w:lvl w:ilvl="0">
      <w:lvlJc w:val="left"/>
      <w:lvlText w:val="•"/>
      <w:numFmt w:val="bullet"/>
      <w:start w:val="1"/>
    </w:lvl>
  </w:abstractNum>
  <w:abstractNum w:abstractNumId="87">
    <w:nsid w:val="7AB49DAF"/>
    <w:multiLevelType w:val="hybridMultilevel"/>
    <w:lvl w:ilvl="0">
      <w:lvlJc w:val="left"/>
      <w:lvlText w:val="*"/>
      <w:numFmt w:val="bullet"/>
      <w:start w:val="1"/>
    </w:lvl>
  </w:abstractNum>
  <w:abstractNum w:abstractNumId="88">
    <w:nsid w:val="759F82CD"/>
    <w:multiLevelType w:val="hybridMultilevel"/>
    <w:lvl w:ilvl="0">
      <w:lvlJc w:val="left"/>
      <w:lvlText w:val="*"/>
      <w:numFmt w:val="bullet"/>
      <w:start w:val="1"/>
    </w:lvl>
  </w:abstractNum>
  <w:abstractNum w:abstractNumId="89">
    <w:nsid w:val="61E74EA3"/>
    <w:multiLevelType w:val="hybridMultilevel"/>
    <w:lvl w:ilvl="0">
      <w:lvlJc w:val="left"/>
      <w:lvlText w:val="(%1)"/>
      <w:numFmt w:val="decimal"/>
      <w:start w:val="1"/>
    </w:lvl>
  </w:abstractNum>
  <w:abstractNum w:abstractNumId="90">
    <w:nsid w:val="597B4D84"/>
    <w:multiLevelType w:val="hybridMultilevel"/>
    <w:lvl w:ilvl="0">
      <w:lvlJc w:val="left"/>
      <w:lvlText w:val="•"/>
      <w:numFmt w:val="bullet"/>
      <w:start w:val="1"/>
    </w:lvl>
  </w:abstractNum>
  <w:abstractNum w:abstractNumId="91">
    <w:nsid w:val="F819E7F"/>
    <w:multiLevelType w:val="hybridMultilevel"/>
    <w:lvl w:ilvl="0">
      <w:lvlJc w:val="left"/>
      <w:lvlText w:val="•"/>
      <w:numFmt w:val="bullet"/>
      <w:start w:val="1"/>
    </w:lvl>
  </w:abstractNum>
  <w:abstractNum w:abstractNumId="92">
    <w:nsid w:val="57C7D42D"/>
    <w:multiLevelType w:val="hybridMultilevel"/>
    <w:lvl w:ilvl="0">
      <w:lvlJc w:val="left"/>
      <w:lvlText w:val="(%1)"/>
      <w:numFmt w:val="decimal"/>
      <w:start w:val="1"/>
    </w:lvl>
  </w:abstractNum>
  <w:abstractNum w:abstractNumId="93">
    <w:nsid w:val="312167AD"/>
    <w:multiLevelType w:val="hybridMultilevel"/>
    <w:lvl w:ilvl="0">
      <w:lvlJc w:val="left"/>
      <w:lvlText w:val="(%1)"/>
      <w:numFmt w:val="decimal"/>
      <w:start w:val="2"/>
    </w:lvl>
  </w:abstractNum>
  <w:abstractNum w:abstractNumId="94">
    <w:nsid w:val="631B64D4"/>
    <w:multiLevelType w:val="hybridMultilevel"/>
    <w:lvl w:ilvl="0">
      <w:lvlJc w:val="left"/>
      <w:lvlText w:val="(%1)"/>
      <w:numFmt w:val="decimal"/>
      <w:start w:val="3"/>
    </w:lvl>
  </w:abstractNum>
  <w:abstractNum w:abstractNumId="95">
    <w:nsid w:val="78B5E776"/>
    <w:multiLevelType w:val="hybridMultilevel"/>
    <w:lvl w:ilvl="0">
      <w:lvlJc w:val="left"/>
      <w:lvlText w:val="(%1)"/>
      <w:numFmt w:val="lowerLetter"/>
      <w:start w:val="1"/>
    </w:lvl>
  </w:abstractNum>
  <w:abstractNum w:abstractNumId="96">
    <w:nsid w:val="75486E47"/>
    <w:multiLevelType w:val="hybridMultilevel"/>
    <w:lvl w:ilvl="0">
      <w:lvlJc w:val="left"/>
      <w:lvlText w:val="(%1)"/>
      <w:numFmt w:val="decimal"/>
      <w:start w:val="6"/>
    </w:lvl>
  </w:abstractNum>
  <w:abstractNum w:abstractNumId="97">
    <w:nsid w:val="6E534CDE"/>
    <w:multiLevelType w:val="hybridMultilevel"/>
    <w:lvl w:ilvl="0">
      <w:lvlJc w:val="left"/>
      <w:lvlText w:val="%1"/>
      <w:numFmt w:val="decimal"/>
      <w:start w:val="1"/>
    </w:lvl>
    <w:lvl w:ilvl="1">
      <w:lvlJc w:val="left"/>
      <w:lvlText w:val="(%2)"/>
      <w:numFmt w:val="lowerLetter"/>
      <w:start w:val="1"/>
    </w:lvl>
  </w:abstractNum>
  <w:abstractNum w:abstractNumId="98">
    <w:nsid w:val="1A0DDE32"/>
    <w:multiLevelType w:val="hybridMultilevel"/>
    <w:lvl w:ilvl="0">
      <w:lvlJc w:val="left"/>
      <w:lvlText w:val="(%1)"/>
      <w:numFmt w:val="decimal"/>
      <w:start w:val="7"/>
    </w:lvl>
    <w:lvl w:ilvl="1">
      <w:lvlJc w:val="left"/>
      <w:lvlText w:val="%2"/>
      <w:numFmt w:val="lowerLetter"/>
      <w:start w:val="1"/>
    </w:lvl>
  </w:abstractNum>
  <w:abstractNum w:abstractNumId="99">
    <w:nsid w:val="65968C1C"/>
    <w:multiLevelType w:val="hybridMultilevel"/>
    <w:lvl w:ilvl="0">
      <w:lvlJc w:val="left"/>
      <w:lvlText w:val="(%1)"/>
      <w:numFmt w:val="decimal"/>
      <w:start w:val="1"/>
    </w:lvl>
  </w:abstractNum>
  <w:abstractNum w:abstractNumId="100">
    <w:nsid w:val="46263DEC"/>
    <w:multiLevelType w:val="hybridMultilevel"/>
    <w:lvl w:ilvl="0">
      <w:lvlJc w:val="left"/>
      <w:lvlText w:val="(%1)"/>
      <w:numFmt w:val="decimal"/>
      <w:start w:val="1"/>
    </w:lvl>
  </w:abstractNum>
  <w:abstractNum w:abstractNumId="101">
    <w:nsid w:val="260D8C4A"/>
    <w:multiLevelType w:val="hybridMultilevel"/>
    <w:lvl w:ilvl="0">
      <w:lvlJc w:val="left"/>
      <w:lvlText w:val="(%1)"/>
      <w:numFmt w:val="decimal"/>
      <w:start w:val="1"/>
    </w:lvl>
  </w:abstractNum>
  <w:abstractNum w:abstractNumId="102">
    <w:nsid w:val="73D4D3C4"/>
    <w:multiLevelType w:val="hybridMultilevel"/>
    <w:lvl w:ilvl="0">
      <w:lvlJc w:val="left"/>
      <w:lvlText w:val="(%1)"/>
      <w:numFmt w:val="decimal"/>
      <w:start w:val="2"/>
    </w:lvl>
  </w:abstractNum>
  <w:abstractNum w:abstractNumId="103">
    <w:nsid w:val="746F2E30"/>
    <w:multiLevelType w:val="hybridMultilevel"/>
    <w:lvl w:ilvl="0">
      <w:lvlJc w:val="left"/>
      <w:lvlText w:val="(%1)"/>
      <w:numFmt w:val="lowerLetter"/>
      <w:start w:val="1"/>
    </w:lvl>
  </w:abstractNum>
  <w:abstractNum w:abstractNumId="104">
    <w:nsid w:val="6FDE8AF6"/>
    <w:multiLevelType w:val="hybridMultilevel"/>
    <w:lvl w:ilvl="0">
      <w:lvlJc w:val="left"/>
      <w:lvlText w:val="(%1)"/>
      <w:numFmt w:val="decimal"/>
      <w:start w:val="1"/>
    </w:lvl>
  </w:abstractNum>
  <w:abstractNum w:abstractNumId="105">
    <w:nsid w:val="3FC32E20"/>
    <w:multiLevelType w:val="hybridMultilevel"/>
    <w:lvl w:ilvl="0">
      <w:lvlJc w:val="left"/>
      <w:lvlText w:val="(%1)"/>
      <w:numFmt w:val="decimal"/>
      <w:start w:val="1"/>
    </w:lvl>
  </w:abstractNum>
  <w:abstractNum w:abstractNumId="106">
    <w:nsid w:val="49C0E823"/>
    <w:multiLevelType w:val="hybridMultilevel"/>
    <w:lvl w:ilvl="0">
      <w:lvlJc w:val="left"/>
      <w:lvlText w:val="(%1)"/>
      <w:numFmt w:val="decimal"/>
      <w:start w:val="2"/>
    </w:lvl>
  </w:abstractNum>
  <w:abstractNum w:abstractNumId="107">
    <w:nsid w:val="14D53685"/>
    <w:multiLevelType w:val="hybridMultilevel"/>
    <w:lvl w:ilvl="0">
      <w:lvlJc w:val="left"/>
      <w:lvlText w:val="(%1)"/>
      <w:numFmt w:val="decimal"/>
      <w:start w:val="3"/>
    </w:lvl>
  </w:abstractNum>
  <w:abstractNum w:abstractNumId="108">
    <w:nsid w:val="230F856C"/>
    <w:multiLevelType w:val="hybridMultilevel"/>
    <w:lvl w:ilvl="0">
      <w:lvlJc w:val="left"/>
      <w:lvlText w:val="(%1)"/>
      <w:numFmt w:val="decimal"/>
      <w:start w:val="5"/>
    </w:lvl>
  </w:abstractNum>
  <w:abstractNum w:abstractNumId="109">
    <w:nsid w:val="6EAA85FB"/>
    <w:multiLevelType w:val="hybridMultilevel"/>
    <w:lvl w:ilvl="0">
      <w:lvlJc w:val="left"/>
      <w:lvlText w:val="(%1)"/>
      <w:numFmt w:val="decimal"/>
      <w:start w:val="1"/>
    </w:lvl>
  </w:abstractNum>
  <w:abstractNum w:abstractNumId="110">
    <w:nsid w:val="3F06ECB2"/>
    <w:multiLevelType w:val="hybridMultilevel"/>
    <w:lvl w:ilvl="0">
      <w:lvlJc w:val="left"/>
      <w:lvlText w:val="(%1)"/>
      <w:numFmt w:val="decimal"/>
      <w:start w:val="1"/>
    </w:lvl>
  </w:abstractNum>
  <w:abstractNum w:abstractNumId="111">
    <w:nsid w:val="3B594807"/>
    <w:multiLevelType w:val="hybridMultilevel"/>
    <w:lvl w:ilvl="0">
      <w:lvlJc w:val="left"/>
      <w:lvlText w:val="(%1)"/>
      <w:numFmt w:val="decimal"/>
      <w:start w:val="1"/>
    </w:lvl>
  </w:abstractNum>
  <w:abstractNum w:abstractNumId="112">
    <w:nsid w:val="6CAA2304"/>
    <w:multiLevelType w:val="hybridMultilevel"/>
    <w:lvl w:ilvl="0">
      <w:lvlJc w:val="left"/>
      <w:lvlText w:val="(%1)"/>
      <w:numFmt w:val="decimal"/>
      <w:start w:val="1"/>
    </w:lvl>
  </w:abstractNum>
  <w:abstractNum w:abstractNumId="113">
    <w:nsid w:val="3F7C2FF4"/>
    <w:multiLevelType w:val="hybridMultilevel"/>
    <w:lvl w:ilvl="0">
      <w:lvlJc w:val="left"/>
      <w:lvlText w:val="*"/>
      <w:numFmt w:val="bullet"/>
      <w:start w:val="1"/>
    </w:lvl>
  </w:abstractNum>
  <w:abstractNum w:abstractNumId="114">
    <w:nsid w:val="25413BEC"/>
    <w:multiLevelType w:val="hybridMultilevel"/>
    <w:lvl w:ilvl="0">
      <w:lvlJc w:val="left"/>
      <w:lvlText w:val="(%1)"/>
      <w:numFmt w:val="decimal"/>
      <w:start w:val="1"/>
    </w:lvl>
  </w:abstractNum>
  <w:abstractNum w:abstractNumId="115">
    <w:nsid w:val="17180B0B"/>
    <w:multiLevelType w:val="hybridMultilevel"/>
    <w:lvl w:ilvl="0">
      <w:lvlJc w:val="left"/>
      <w:lvlText w:val="•"/>
      <w:numFmt w:val="bullet"/>
      <w:start w:val="1"/>
    </w:lvl>
  </w:abstractNum>
  <w:abstractNum w:abstractNumId="116">
    <w:nsid w:val="579328B9"/>
    <w:multiLevelType w:val="hybridMultilevel"/>
    <w:lvl w:ilvl="0">
      <w:lvlJc w:val="left"/>
      <w:lvlText w:val="•"/>
      <w:numFmt w:val="bullet"/>
      <w:start w:val="1"/>
    </w:lvl>
  </w:abstractNum>
  <w:abstractNum w:abstractNumId="117">
    <w:nsid w:val="5D205E20"/>
    <w:multiLevelType w:val="hybridMultilevel"/>
    <w:lvl w:ilvl="0">
      <w:lvlJc w:val="left"/>
      <w:lvlText w:val="•"/>
      <w:numFmt w:val="bullet"/>
      <w:start w:val="1"/>
    </w:lvl>
  </w:abstractNum>
  <w:abstractNum w:abstractNumId="118">
    <w:nsid w:val="11CCA8BA"/>
    <w:multiLevelType w:val="hybridMultilevel"/>
    <w:lvl w:ilvl="0">
      <w:lvlJc w:val="left"/>
      <w:lvlText w:val="•"/>
      <w:numFmt w:val="bullet"/>
      <w:start w:val="1"/>
    </w:lvl>
  </w:abstractNum>
  <w:abstractNum w:abstractNumId="119">
    <w:nsid w:val="4D32AB86"/>
    <w:multiLevelType w:val="hybridMultilevel"/>
    <w:lvl w:ilvl="0">
      <w:lvlJc w:val="left"/>
      <w:lvlText w:val="•"/>
      <w:numFmt w:val="bullet"/>
      <w:start w:val="1"/>
    </w:lvl>
  </w:abstractNum>
  <w:abstractNum w:abstractNumId="120">
    <w:nsid w:val="3F07ACC3"/>
    <w:multiLevelType w:val="hybridMultilevel"/>
    <w:lvl w:ilvl="0">
      <w:lvlJc w:val="left"/>
      <w:lvlText w:val="*"/>
      <w:numFmt w:val="bullet"/>
      <w:start w:val="1"/>
    </w:lvl>
  </w:abstractNum>
  <w:abstractNum w:abstractNumId="121">
    <w:nsid w:val="6B47F63E"/>
    <w:multiLevelType w:val="hybridMultilevel"/>
    <w:lvl w:ilvl="0">
      <w:lvlJc w:val="left"/>
      <w:lvlText w:val="**"/>
      <w:numFmt w:val="bullet"/>
      <w:start w:val="1"/>
    </w:lvl>
  </w:abstractNum>
  <w:abstractNum w:abstractNumId="122">
    <w:nsid w:val="5CB44A05"/>
    <w:multiLevelType w:val="hybridMultilevel"/>
    <w:lvl w:ilvl="0">
      <w:lvlJc w:val="left"/>
      <w:lvlText w:val="***"/>
      <w:numFmt w:val="bullet"/>
      <w:start w:val="1"/>
    </w:lvl>
  </w:abstractNum>
  <w:abstractNum w:abstractNumId="123">
    <w:nsid w:val="16CF80F1"/>
    <w:multiLevelType w:val="hybridMultilevel"/>
    <w:lvl w:ilvl="0">
      <w:lvlJc w:val="left"/>
      <w:lvlText w:val="•"/>
      <w:numFmt w:val="bullet"/>
      <w:start w:val="1"/>
    </w:lvl>
  </w:abstractNum>
  <w:abstractNum w:abstractNumId="124">
    <w:nsid w:val="1C695DEC"/>
    <w:multiLevelType w:val="hybridMultilevel"/>
    <w:lvl w:ilvl="0">
      <w:lvlJc w:val="left"/>
      <w:lvlText w:val="•"/>
      <w:numFmt w:val="bullet"/>
      <w:start w:val="1"/>
    </w:lvl>
  </w:abstractNum>
  <w:abstractNum w:abstractNumId="125">
    <w:nsid w:val="3FCFAED9"/>
    <w:multiLevelType w:val="hybridMultilevel"/>
    <w:lvl w:ilvl="0">
      <w:lvlJc w:val="left"/>
      <w:lvlText w:val="•"/>
      <w:numFmt w:val="bullet"/>
      <w:start w:val="1"/>
    </w:lvl>
  </w:abstractNum>
  <w:abstractNum w:abstractNumId="126">
    <w:nsid w:val="F856867"/>
    <w:multiLevelType w:val="hybridMultilevel"/>
    <w:lvl w:ilvl="0">
      <w:lvlJc w:val="left"/>
      <w:lvlText w:val="•"/>
      <w:numFmt w:val="bullet"/>
      <w:start w:val="1"/>
    </w:lvl>
  </w:abstractNum>
  <w:abstractNum w:abstractNumId="127">
    <w:nsid w:val="11B1CC33"/>
    <w:multiLevelType w:val="hybridMultilevel"/>
    <w:lvl w:ilvl="0">
      <w:lvlJc w:val="left"/>
      <w:lvlText w:val="•"/>
      <w:numFmt w:val="bullet"/>
      <w:start w:val="1"/>
    </w:lvl>
  </w:abstractNum>
  <w:abstractNum w:abstractNumId="128">
    <w:nsid w:val="2E22FBB7"/>
    <w:multiLevelType w:val="hybridMultilevel"/>
    <w:lvl w:ilvl="0">
      <w:lvlJc w:val="left"/>
      <w:lvlText w:val="•"/>
      <w:numFmt w:val="bullet"/>
      <w:start w:val="1"/>
    </w:lvl>
  </w:abstractNum>
  <w:abstractNum w:abstractNumId="129">
    <w:nsid w:val="29934699"/>
    <w:multiLevelType w:val="hybridMultilevel"/>
    <w:lvl w:ilvl="0">
      <w:lvlJc w:val="left"/>
      <w:lvlText w:val="(%1)"/>
      <w:numFmt w:val="lowerRoman"/>
      <w:start w:val="3"/>
    </w:lvl>
  </w:abstractNum>
  <w:abstractNum w:abstractNumId="130">
    <w:nsid w:val="77485850"/>
    <w:multiLevelType w:val="hybridMultilevel"/>
    <w:lvl w:ilvl="0">
      <w:lvlJc w:val="left"/>
      <w:lvlText w:val="(%1)"/>
      <w:numFmt w:val="lowerRoman"/>
      <w:start w:val="10"/>
    </w:lvl>
  </w:abstractNum>
  <w:abstractNum w:abstractNumId="131">
    <w:nsid w:val="744939A3"/>
    <w:multiLevelType w:val="hybridMultilevel"/>
    <w:lvl w:ilvl="0">
      <w:lvlJc w:val="left"/>
      <w:lvlText w:val="(%1)"/>
      <w:numFmt w:val="lowerRoman"/>
      <w:start w:val="22"/>
    </w:lvl>
  </w:abstractNum>
  <w:abstractNum w:abstractNumId="132">
    <w:nsid w:val="4FA0D2E3"/>
    <w:multiLevelType w:val="hybridMultilevel"/>
    <w:lvl w:ilvl="0">
      <w:lvlJc w:val="left"/>
      <w:lvlText w:val="1"/>
      <w:numFmt w:val="bullet"/>
      <w:start w:val="1"/>
    </w:lvl>
  </w:abstractNum>
  <w:abstractNum w:abstractNumId="133">
    <w:nsid w:val="6B1D2C14"/>
    <w:multiLevelType w:val="hybridMultilevel"/>
    <w:lvl w:ilvl="0">
      <w:lvlJc w:val="left"/>
      <w:lvlText w:val="2"/>
      <w:numFmt w:val="bullet"/>
      <w:start w:val="1"/>
    </w:lvl>
  </w:abstractNum>
  <w:abstractNum w:abstractNumId="134">
    <w:nsid w:val="68B867D3"/>
    <w:multiLevelType w:val="hybridMultilevel"/>
    <w:lvl w:ilvl="0">
      <w:lvlJc w:val="left"/>
      <w:lvlText w:val="3"/>
      <w:numFmt w:val="bullet"/>
      <w:start w:val="1"/>
    </w:lvl>
  </w:abstractNum>
  <w:abstractNum w:abstractNumId="135">
    <w:nsid w:val="3F7F5DD9"/>
    <w:multiLevelType w:val="hybridMultilevel"/>
    <w:lvl w:ilvl="0">
      <w:lvlJc w:val="left"/>
      <w:lvlText w:val="5"/>
      <w:numFmt w:val="bullet"/>
      <w:start w:val="1"/>
    </w:lvl>
  </w:abstractNum>
  <w:abstractNum w:abstractNumId="136">
    <w:nsid w:val="2AE05A34"/>
    <w:multiLevelType w:val="hybridMultilevel"/>
    <w:lvl w:ilvl="0">
      <w:lvlJc w:val="left"/>
      <w:lvlText w:val="6"/>
      <w:numFmt w:val="bullet"/>
      <w:start w:val="1"/>
    </w:lvl>
  </w:abstractNum>
  <w:abstractNum w:abstractNumId="137">
    <w:nsid w:val="32794FF7"/>
    <w:multiLevelType w:val="hybridMultilevel"/>
    <w:lvl w:ilvl="0">
      <w:lvlJc w:val="left"/>
      <w:lvlText w:val="7"/>
      <w:numFmt w:val="bullet"/>
      <w:start w:val="1"/>
    </w:lvl>
  </w:abstractNum>
  <w:abstractNum w:abstractNumId="138">
    <w:nsid w:val="5454945E"/>
    <w:multiLevelType w:val="hybridMultilevel"/>
    <w:lvl w:ilvl="0">
      <w:lvlJc w:val="left"/>
      <w:lvlText w:val="8"/>
      <w:numFmt w:val="bullet"/>
      <w:start w:val="1"/>
    </w:lvl>
  </w:abstractNum>
  <w:abstractNum w:abstractNumId="139">
    <w:nsid w:val="4DEFDFA0"/>
    <w:multiLevelType w:val="hybridMultilevel"/>
    <w:lvl w:ilvl="0">
      <w:lvlJc w:val="left"/>
      <w:lvlText w:val="9"/>
      <w:numFmt w:val="bullet"/>
      <w:start w:val="1"/>
    </w:lvl>
  </w:abstractNum>
  <w:abstractNum w:abstractNumId="140">
    <w:nsid w:val="2123D5F2"/>
    <w:multiLevelType w:val="hybridMultilevel"/>
    <w:lvl w:ilvl="0">
      <w:lvlJc w:val="left"/>
      <w:lvlText w:val="•"/>
      <w:numFmt w:val="bullet"/>
      <w:start w:val="1"/>
    </w:lvl>
  </w:abstractNum>
  <w:abstractNum w:abstractNumId="141">
    <w:nsid w:val="135B8110"/>
    <w:multiLevelType w:val="hybridMultilevel"/>
    <w:lvl w:ilvl="0">
      <w:lvlJc w:val="left"/>
      <w:lvlText w:val="•"/>
      <w:numFmt w:val="bullet"/>
      <w:start w:val="1"/>
    </w:lvl>
  </w:abstractNum>
  <w:abstractNum w:abstractNumId="142">
    <w:nsid w:val="94927A8"/>
    <w:multiLevelType w:val="hybridMultilevel"/>
    <w:lvl w:ilvl="0">
      <w:lvlJc w:val="left"/>
      <w:lvlText w:val="•"/>
      <w:numFmt w:val="bullet"/>
      <w:start w:val="1"/>
    </w:lvl>
  </w:abstractNum>
  <w:abstractNum w:abstractNumId="143">
    <w:nsid w:val="DCDF8F6"/>
    <w:multiLevelType w:val="hybridMultilevel"/>
    <w:lvl w:ilvl="0">
      <w:lvlJc w:val="left"/>
      <w:lvlText w:val="1"/>
      <w:numFmt w:val="bullet"/>
      <w:start w:val="1"/>
    </w:lvl>
  </w:abstractNum>
  <w:abstractNum w:abstractNumId="144">
    <w:nsid w:val="52D7B105"/>
    <w:multiLevelType w:val="hybridMultilevel"/>
    <w:lvl w:ilvl="0">
      <w:lvlJc w:val="left"/>
      <w:lvlText w:val="1"/>
      <w:numFmt w:val="bullet"/>
      <w:start w:val="1"/>
    </w:lvl>
  </w:abstractNum>
  <w:abstractNum w:abstractNumId="145">
    <w:nsid w:val="2E8A6394"/>
    <w:multiLevelType w:val="hybridMultilevel"/>
    <w:lvl w:ilvl="0">
      <w:lvlJc w:val="left"/>
      <w:lvlText w:val="•"/>
      <w:numFmt w:val="bullet"/>
      <w:start w:val="1"/>
    </w:lvl>
  </w:abstractNum>
  <w:abstractNum w:abstractNumId="146">
    <w:nsid w:val="24E60401"/>
    <w:multiLevelType w:val="hybridMultilevel"/>
    <w:lvl w:ilvl="0">
      <w:lvlJc w:val="left"/>
      <w:lvlText w:val="1"/>
      <w:numFmt w:val="bullet"/>
      <w:start w:val="1"/>
    </w:lvl>
  </w:abstractNum>
  <w:abstractNum w:abstractNumId="147">
    <w:nsid w:val="2A6AD9BE"/>
    <w:multiLevelType w:val="hybridMultilevel"/>
    <w:lvl w:ilvl="0">
      <w:lvlJc w:val="left"/>
      <w:lvlText w:val="%1."/>
      <w:numFmt w:val="decimal"/>
      <w:start w:val="1"/>
    </w:lvl>
  </w:abstractNum>
  <w:abstractNum w:abstractNumId="148">
    <w:nsid w:val="BAAC1B4"/>
    <w:multiLevelType w:val="hybridMultilevel"/>
    <w:lvl w:ilvl="0">
      <w:lvlJc w:val="left"/>
      <w:lvlText w:val="•"/>
      <w:numFmt w:val="bullet"/>
      <w:start w:val="1"/>
    </w:lvl>
  </w:abstractNum>
  <w:abstractNum w:abstractNumId="149">
    <w:nsid w:val="36B2ACBC"/>
    <w:multiLevelType w:val="hybridMultilevel"/>
    <w:lvl w:ilvl="0">
      <w:lvlJc w:val="left"/>
      <w:lvlText w:val="•"/>
      <w:numFmt w:val="bullet"/>
      <w:start w:val="1"/>
    </w:lvl>
  </w:abstractNum>
  <w:abstractNum w:abstractNumId="150">
    <w:nsid w:val="779D8544"/>
    <w:multiLevelType w:val="hybridMultilevel"/>
    <w:lvl w:ilvl="0">
      <w:lvlJc w:val="left"/>
      <w:lvlText w:val="•"/>
      <w:numFmt w:val="bullet"/>
      <w:start w:val="1"/>
    </w:lvl>
  </w:abstractNum>
  <w:abstractNum w:abstractNumId="151">
    <w:nsid w:val="4AB26E78"/>
    <w:multiLevelType w:val="hybridMultilevel"/>
    <w:lvl w:ilvl="0">
      <w:lvlJc w:val="left"/>
      <w:lvlText w:val="•"/>
      <w:numFmt w:val="bullet"/>
      <w:start w:val="1"/>
    </w:lvl>
  </w:abstractNum>
  <w:abstractNum w:abstractNumId="152">
    <w:nsid w:val="21FAA2FA"/>
    <w:multiLevelType w:val="hybridMultilevel"/>
    <w:lvl w:ilvl="0">
      <w:lvlJc w:val="left"/>
      <w:lvlText w:val="•"/>
      <w:numFmt w:val="bullet"/>
      <w:start w:val="1"/>
    </w:lvl>
  </w:abstractNum>
  <w:abstractNum w:abstractNumId="153">
    <w:nsid w:val="5451CF49"/>
    <w:multiLevelType w:val="hybridMultilevel"/>
    <w:lvl w:ilvl="0">
      <w:lvlJc w:val="left"/>
      <w:lvlText w:val="•"/>
      <w:numFmt w:val="bullet"/>
      <w:start w:val="1"/>
    </w:lvl>
  </w:abstractNum>
  <w:abstractNum w:abstractNumId="154">
    <w:nsid w:val="6181EF69"/>
    <w:multiLevelType w:val="hybridMultilevel"/>
    <w:lvl w:ilvl="0">
      <w:lvlJc w:val="left"/>
      <w:lvlText w:val="•"/>
      <w:numFmt w:val="bullet"/>
      <w:start w:val="1"/>
    </w:lvl>
  </w:abstractNum>
  <w:abstractNum w:abstractNumId="155">
    <w:nsid w:val="3E6400E6"/>
    <w:multiLevelType w:val="hybridMultilevel"/>
    <w:lvl w:ilvl="0">
      <w:lvlJc w:val="left"/>
      <w:lvlText w:val="•"/>
      <w:numFmt w:val="bullet"/>
      <w:start w:val="1"/>
    </w:lvl>
  </w:abstractNum>
  <w:abstractNum w:abstractNumId="156">
    <w:nsid w:val="14217E23"/>
    <w:multiLevelType w:val="hybridMultilevel"/>
    <w:lvl w:ilvl="0">
      <w:lvlJc w:val="left"/>
      <w:lvlText w:val="•"/>
      <w:numFmt w:val="bullet"/>
      <w:start w:val="1"/>
    </w:lvl>
  </w:abstractNum>
  <w:abstractNum w:abstractNumId="157">
    <w:nsid w:val="710757D0"/>
    <w:multiLevelType w:val="hybridMultilevel"/>
    <w:lvl w:ilvl="0">
      <w:lvlJc w:val="left"/>
      <w:lvlText w:val="•"/>
      <w:numFmt w:val="bullet"/>
      <w:start w:val="1"/>
    </w:lvl>
  </w:abstractNum>
  <w:abstractNum w:abstractNumId="158">
    <w:nsid w:val="5015CD1A"/>
    <w:multiLevelType w:val="hybridMultilevel"/>
    <w:lvl w:ilvl="0">
      <w:lvlJc w:val="left"/>
      <w:lvlText w:val="•"/>
      <w:numFmt w:val="bullet"/>
      <w:start w:val="1"/>
    </w:lvl>
  </w:abstractNum>
  <w:abstractNum w:abstractNumId="159">
    <w:nsid w:val="424479DA"/>
    <w:multiLevelType w:val="hybridMultilevel"/>
    <w:lvl w:ilvl="0">
      <w:lvlJc w:val="left"/>
      <w:lvlText w:val="(%1)"/>
      <w:numFmt w:val="lowerLetter"/>
      <w:start w:val="1"/>
    </w:lvl>
    <w:lvl w:ilvl="1">
      <w:lvlJc w:val="left"/>
      <w:lvlText w:val="(%2)"/>
      <w:numFmt w:val="decimal"/>
      <w:start w:val="1"/>
    </w:lvl>
  </w:abstractNum>
  <w:abstractNum w:abstractNumId="160">
    <w:nsid w:val="1A9A9E69"/>
    <w:multiLevelType w:val="hybridMultilevel"/>
    <w:lvl w:ilvl="0">
      <w:lvlJc w:val="left"/>
      <w:lvlText w:val="(%1)"/>
      <w:numFmt w:val="lowerLetter"/>
      <w:start w:val="12"/>
    </w:lvl>
  </w:abstractNum>
  <w:abstractNum w:abstractNumId="161">
    <w:nsid w:val="475E256A"/>
    <w:multiLevelType w:val="hybridMultilevel"/>
    <w:lvl w:ilvl="0">
      <w:lvlJc w:val="left"/>
      <w:lvlText w:val="(%1)"/>
      <w:numFmt w:val="decimal"/>
      <w:start w:val="1"/>
    </w:lvl>
    <w:lvl w:ilvl="1">
      <w:lvlJc w:val="left"/>
      <w:lvlText w:val="(%2)"/>
      <w:numFmt w:val="upperLetter"/>
      <w:start w:val="1"/>
    </w:lvl>
  </w:abstractNum>
  <w:abstractNum w:abstractNumId="162">
    <w:nsid w:val="368DB37E"/>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163">
    <w:nsid w:val="6A3B714C"/>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164">
    <w:nsid w:val="327B517E"/>
    <w:multiLevelType w:val="hybridMultilevel"/>
    <w:lvl w:ilvl="0">
      <w:lvlJc w:val="left"/>
      <w:lvlText w:val="(%1)"/>
      <w:numFmt w:val="lowerLetter"/>
      <w:start w:val="23"/>
    </w:lvl>
  </w:abstractNum>
  <w:abstractNum w:abstractNumId="165">
    <w:nsid w:val="1F461B51"/>
    <w:multiLevelType w:val="hybridMultilevel"/>
    <w:lvl w:ilvl="0">
      <w:lvlJc w:val="left"/>
      <w:lvlText w:val="(%1)"/>
      <w:numFmt w:val="lowerLetter"/>
      <w:start w:val="27"/>
    </w:lvl>
  </w:abstractNum>
  <w:abstractNum w:abstractNumId="166">
    <w:nsid w:val="29BACF25"/>
    <w:multiLevelType w:val="hybridMultilevel"/>
    <w:lvl w:ilvl="0">
      <w:lvlJc w:val="left"/>
      <w:lvlText w:val="(%1)"/>
      <w:numFmt w:val="lowerLetter"/>
      <w:start w:val="32"/>
    </w:lvl>
  </w:abstractNum>
  <w:abstractNum w:abstractNumId="167">
    <w:nsid w:val="5D5BABB3"/>
    <w:multiLevelType w:val="hybridMultilevel"/>
    <w:lvl w:ilvl="0">
      <w:lvlJc w:val="left"/>
      <w:lvlText w:val="(%1)"/>
      <w:numFmt w:val="lowerLetter"/>
      <w:start w:val="33"/>
    </w:lvl>
    <w:lvl w:ilvl="1">
      <w:lvlJc w:val="left"/>
      <w:lvlText w:val="(%2)"/>
      <w:numFmt w:val="decimal"/>
      <w:start w:val="1"/>
    </w:lvl>
    <w:lvl w:ilvl="2">
      <w:lvlJc w:val="left"/>
      <w:lvlText w:val="(%3)"/>
      <w:numFmt w:val="upperLetter"/>
      <w:start w:val="1"/>
    </w:lvl>
  </w:abstractNum>
  <w:abstractNum w:abstractNumId="168">
    <w:nsid w:val="51BF6B48"/>
    <w:multiLevelType w:val="hybridMultilevel"/>
    <w:lvl w:ilvl="0">
      <w:lvlJc w:val="left"/>
      <w:lvlText w:val="(%1)"/>
      <w:numFmt w:val="lowerLetter"/>
      <w:start w:val="1"/>
    </w:lvl>
    <w:lvl w:ilvl="1">
      <w:lvlJc w:val="left"/>
      <w:lvlText w:val="(%2)"/>
      <w:numFmt w:val="decimal"/>
      <w:start w:val="1"/>
    </w:lvl>
  </w:abstractNum>
  <w:abstractNum w:abstractNumId="169">
    <w:nsid w:val="7E0F6384"/>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70">
    <w:nsid w:val="2B4B8B53"/>
    <w:multiLevelType w:val="hybridMultilevel"/>
    <w:lvl w:ilvl="0">
      <w:lvlJc w:val="left"/>
      <w:lvlText w:val="(%1)"/>
      <w:numFmt w:val="lowerLetter"/>
      <w:start w:val="1"/>
    </w:lvl>
  </w:abstractNum>
  <w:abstractNum w:abstractNumId="171">
    <w:nsid w:val="72E3413A"/>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72">
    <w:nsid w:val="116AE494"/>
    <w:multiLevelType w:val="hybridMultilevel"/>
    <w:lvl w:ilvl="0">
      <w:lvlJc w:val="left"/>
      <w:lvlText w:val="(%1)"/>
      <w:numFmt w:val="lowerLetter"/>
      <w:start w:val="1"/>
    </w:lvl>
  </w:abstractNum>
  <w:abstractNum w:abstractNumId="173">
    <w:nsid w:val="3494B2FB"/>
    <w:multiLevelType w:val="hybridMultilevel"/>
    <w:lvl w:ilvl="0">
      <w:lvlJc w:val="left"/>
      <w:lvlText w:val="(%1)"/>
      <w:numFmt w:val="lowerLetter"/>
      <w:start w:val="1"/>
    </w:lvl>
  </w:abstractNum>
  <w:abstractNum w:abstractNumId="174">
    <w:nsid w:val="B13A31"/>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175">
    <w:nsid w:val="64429599"/>
    <w:multiLevelType w:val="hybridMultilevel"/>
    <w:lvl w:ilvl="0">
      <w:lvlJc w:val="left"/>
      <w:lvlText w:val="(%1)"/>
      <w:numFmt w:val="lowerRoman"/>
      <w:start w:val="1"/>
    </w:lvl>
  </w:abstractNum>
  <w:abstractNum w:abstractNumId="176">
    <w:nsid w:val="631F1690"/>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77">
    <w:nsid w:val="25973E32"/>
    <w:multiLevelType w:val="hybridMultilevel"/>
    <w:lvl w:ilvl="0">
      <w:lvlJc w:val="left"/>
      <w:lvlText w:val="%1"/>
      <w:numFmt w:val="lowerLetter"/>
      <w:start w:val="1"/>
    </w:lvl>
    <w:lvl w:ilvl="1">
      <w:lvlJc w:val="left"/>
      <w:lvlText w:val="(%2)"/>
      <w:numFmt w:val="decimal"/>
      <w:start w:val="2"/>
    </w:lvl>
  </w:abstractNum>
  <w:abstractNum w:abstractNumId="178">
    <w:nsid w:val="EAD6F57"/>
    <w:multiLevelType w:val="hybridMultilevel"/>
    <w:lvl w:ilvl="0">
      <w:lvlJc w:val="left"/>
      <w:lvlText w:val="(%1)"/>
      <w:numFmt w:val="lowerLetter"/>
      <w:start w:val="4"/>
    </w:lvl>
    <w:lvl w:ilvl="1">
      <w:lvlJc w:val="left"/>
      <w:lvlText w:val="(%2)"/>
      <w:numFmt w:val="decimal"/>
      <w:start w:val="1"/>
    </w:lvl>
  </w:abstractNum>
  <w:abstractNum w:abstractNumId="179">
    <w:nsid w:val="6EC9D844"/>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180">
    <w:nsid w:val="5C49EAEE"/>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181">
    <w:nsid w:val="64AF49B"/>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182">
    <w:nsid w:val="397C46BC"/>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183">
    <w:nsid w:val="7E448DE9"/>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84">
    <w:nsid w:val="5A9CC3E5"/>
    <w:multiLevelType w:val="hybridMultilevel"/>
    <w:lvl w:ilvl="0">
      <w:lvlJc w:val="left"/>
      <w:lvlText w:val="(%1)"/>
      <w:numFmt w:val="lowerRoman"/>
      <w:start w:val="1"/>
    </w:lvl>
  </w:abstractNum>
  <w:abstractNum w:abstractNumId="185">
    <w:nsid w:val="1AFE3625"/>
    <w:multiLevelType w:val="hybridMultilevel"/>
    <w:lvl w:ilvl="0">
      <w:lvlJc w:val="left"/>
      <w:lvlText w:val="%1"/>
      <w:numFmt w:val="decimal"/>
      <w:start w:val="1"/>
    </w:lvl>
    <w:lvl w:ilvl="1">
      <w:lvlJc w:val="left"/>
      <w:lvlText w:val="(%2)"/>
      <w:numFmt w:val="lowerRoman"/>
      <w:start w:val="2"/>
    </w:lvl>
  </w:abstractNum>
  <w:abstractNum w:abstractNumId="186">
    <w:nsid w:val="3CA88ECF"/>
    <w:multiLevelType w:val="hybridMultilevel"/>
    <w:lvl w:ilvl="0">
      <w:lvlJc w:val="left"/>
      <w:lvlText w:val="(%1)"/>
      <w:numFmt w:val="decimal"/>
      <w:start w:val="3"/>
    </w:lvl>
    <w:lvl w:ilvl="1">
      <w:lvlJc w:val="left"/>
      <w:lvlText w:val="%2"/>
      <w:numFmt w:val="lowerRoman"/>
      <w:start w:val="1"/>
    </w:lvl>
  </w:abstractNum>
  <w:abstractNum w:abstractNumId="187">
    <w:nsid w:val="6EBE4208"/>
    <w:multiLevelType w:val="hybridMultilevel"/>
    <w:lvl w:ilvl="0">
      <w:lvlJc w:val="left"/>
      <w:lvlText w:val="(%1)"/>
      <w:numFmt w:val="lowerLetter"/>
      <w:start w:val="1"/>
    </w:lvl>
    <w:lvl w:ilvl="1">
      <w:lvlJc w:val="left"/>
      <w:lvlText w:val="(%2)"/>
      <w:numFmt w:val="decimal"/>
      <w:start w:val="1"/>
    </w:lvl>
  </w:abstractNum>
  <w:abstractNum w:abstractNumId="188">
    <w:nsid w:val="C058DF5"/>
    <w:multiLevelType w:val="hybridMultilevel"/>
    <w:lvl w:ilvl="0">
      <w:lvlJc w:val="left"/>
      <w:lvlText w:val="(%1)"/>
      <w:numFmt w:val="lowerLetter"/>
      <w:start w:val="1"/>
    </w:lvl>
    <w:lvl w:ilvl="1">
      <w:lvlJc w:val="left"/>
      <w:lvlText w:val="(%2)"/>
      <w:numFmt w:val="decimal"/>
      <w:start w:val="1"/>
    </w:lvl>
  </w:abstractNum>
  <w:abstractNum w:abstractNumId="189">
    <w:nsid w:val="CBE5BE9"/>
    <w:multiLevelType w:val="hybridMultilevel"/>
    <w:lvl w:ilvl="0">
      <w:lvlJc w:val="left"/>
      <w:lvlText w:val="(%1)"/>
      <w:numFmt w:val="decimal"/>
      <w:start w:val="2"/>
    </w:lvl>
  </w:abstractNum>
  <w:abstractNum w:abstractNumId="190">
    <w:nsid w:val="3102BBE2"/>
    <w:multiLevelType w:val="hybridMultilevel"/>
    <w:lvl w:ilvl="0">
      <w:lvlJc w:val="left"/>
      <w:lvlText w:val="(%1)"/>
      <w:numFmt w:val="lowerLetter"/>
      <w:start w:val="2"/>
    </w:lvl>
  </w:abstractNum>
  <w:abstractNum w:abstractNumId="191">
    <w:nsid w:val="26A02C5E"/>
    <w:multiLevelType w:val="hybridMultilevel"/>
    <w:lvl w:ilvl="0">
      <w:lvlJc w:val="left"/>
      <w:lvlText w:val="(%1)"/>
      <w:numFmt w:val="lowerLetter"/>
      <w:start w:val="1"/>
    </w:lvl>
  </w:abstractNum>
  <w:abstractNum w:abstractNumId="192">
    <w:nsid w:val="541C815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93">
    <w:nsid w:val="67906F60"/>
    <w:multiLevelType w:val="hybridMultilevel"/>
    <w:lvl w:ilvl="0">
      <w:lvlJc w:val="left"/>
      <w:lvlText w:val="%1"/>
      <w:numFmt w:val="lowerLetter"/>
      <w:start w:val="1"/>
    </w:lvl>
    <w:lvl w:ilvl="1">
      <w:lvlJc w:val="left"/>
      <w:lvlText w:val="(%2)"/>
      <w:numFmt w:val="decimal"/>
      <w:start w:val="3"/>
    </w:lvl>
  </w:abstractNum>
  <w:abstractNum w:abstractNumId="194">
    <w:nsid w:val="10DB9DAA"/>
    <w:multiLevelType w:val="hybridMultilevel"/>
    <w:lvl w:ilvl="0">
      <w:lvlJc w:val="left"/>
      <w:lvlText w:val="(%1)"/>
      <w:numFmt w:val="lowerLetter"/>
      <w:start w:val="2"/>
    </w:lvl>
    <w:lvl w:ilvl="1">
      <w:lvlJc w:val="left"/>
      <w:lvlText w:val="%2"/>
      <w:numFmt w:val="decimal"/>
      <w:start w:val="1"/>
    </w:lvl>
  </w:abstractNum>
  <w:abstractNum w:abstractNumId="195">
    <w:nsid w:val="697D2D2"/>
    <w:multiLevelType w:val="hybridMultilevel"/>
    <w:lvl w:ilvl="0">
      <w:lvlJc w:val="left"/>
      <w:lvlText w:val="(%1)"/>
      <w:numFmt w:val="lowerLetter"/>
      <w:start w:val="1"/>
    </w:lvl>
    <w:lvl w:ilvl="1">
      <w:lvlJc w:val="left"/>
      <w:lvlText w:val="(%2)"/>
      <w:numFmt w:val="decimal"/>
      <w:start w:val="1"/>
    </w:lvl>
  </w:abstractNum>
  <w:abstractNum w:abstractNumId="196">
    <w:nsid w:val="6D68AB2"/>
    <w:multiLevelType w:val="hybridMultilevel"/>
    <w:lvl w:ilvl="0">
      <w:lvlJc w:val="left"/>
      <w:lvlText w:val="(%1)"/>
      <w:numFmt w:val="lowerLetter"/>
      <w:start w:val="10"/>
    </w:lvl>
  </w:abstractNum>
  <w:abstractNum w:abstractNumId="197">
    <w:nsid w:val="3A966CD0"/>
    <w:multiLevelType w:val="hybridMultilevel"/>
    <w:lvl w:ilvl="0">
      <w:lvlJc w:val="left"/>
      <w:lvlText w:val="©"/>
      <w:numFmt w:val="bullet"/>
      <w:start w:val="1"/>
    </w:lvl>
  </w:abstractNum>
  <w:abstractNum w:abstractNumId="198">
    <w:nsid w:val="63F37E85"/>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2022-04-07T08:05:00Z</dcterms:created>
  <dcterms:modified xsi:type="dcterms:W3CDTF">2022-04-07T08:05:00Z</dcterms:modified>
</cp:coreProperties>
</file>