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74"/>
        <w:gridCol w:w="153"/>
        <w:gridCol w:w="153"/>
        <w:gridCol w:w="153"/>
        <w:gridCol w:w="153"/>
        <w:gridCol w:w="153"/>
        <w:gridCol w:w="220"/>
        <w:gridCol w:w="220"/>
        <w:gridCol w:w="219"/>
        <w:gridCol w:w="624"/>
        <w:gridCol w:w="620"/>
        <w:gridCol w:w="611"/>
        <w:gridCol w:w="611"/>
        <w:gridCol w:w="611"/>
        <w:gridCol w:w="611"/>
        <w:gridCol w:w="611"/>
        <w:gridCol w:w="611"/>
        <w:gridCol w:w="611"/>
        <w:gridCol w:w="425"/>
        <w:gridCol w:w="425"/>
        <w:gridCol w:w="425"/>
        <w:gridCol w:w="425"/>
        <w:gridCol w:w="425"/>
        <w:gridCol w:w="425"/>
        <w:gridCol w:w="153"/>
        <w:gridCol w:w="153"/>
        <w:gridCol w:w="230"/>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UNITED STATES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Washington, D.C. 20549</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____________</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 11-K</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____________</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15(d) OF THE SECURITIES</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EXCHANGE ACT OF 1934</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w:t>
            </w:r>
          </w:p>
        </w:tc>
        <w:tc>
          <w:tcPr>
            <w:tcW w:w="860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15(d) OF THE SECURITIES </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EXCHANGE ACT OF 1934</w:t>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 to __________________</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0"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Commission file number</w:t>
            </w:r>
            <w:r>
              <w:rPr>
                <w:color w:val="000000"/>
              </w:rPr>
              <w:t xml:space="preserve"> </w:t>
            </w:r>
            <w:r>
              <w:rPr>
                <w:rFonts w:ascii="Times New Roman;serif" w:hAnsi="Times New Roman;serif"/>
                <w:b w:val="false"/>
                <w:color w:val="000000"/>
                <w:sz w:val="20"/>
              </w:rPr>
              <w:t>001-00368</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266" w:type="dxa"/>
            <w:gridSpan w:val="21"/>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Full title of the plan and the address of the plan, if different from that of the issuer named below:</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CHEVRON EMPLOYEE SAVINGS INVESTMENT PLAN</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266" w:type="dxa"/>
            <w:gridSpan w:val="21"/>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Name of issuer of the securities held pursuant to the plan and the address of its principal executive office: </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Chevron Corporation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1400 Smith Street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Houston, TX 77002</w:t>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PN:001</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EMPLOYEE SAVINGS INVESTMENT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 SUPPLEMENTAL SCHEDULE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TOGETHER WITH REPORT OF INDEPENDENT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REGISTERED PUBLIC ACCOUNTING FIRM</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DECEMBER 31, 2025 AND 2024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TABLE OF CONTENTS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27"/>
        <w:gridCol w:w="902"/>
        <w:gridCol w:w="902"/>
        <w:gridCol w:w="2183"/>
        <w:gridCol w:w="1718"/>
        <w:gridCol w:w="1733"/>
        <w:gridCol w:w="160"/>
        <w:gridCol w:w="160"/>
        <w:gridCol w:w="160"/>
        <w:gridCol w:w="366"/>
        <w:gridCol w:w="366"/>
        <w:gridCol w:w="528"/>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 No.</w:t>
            </w:r>
          </w:p>
        </w:tc>
      </w:tr>
      <w:tr>
        <w:trPr/>
        <w:tc>
          <w:tcPr>
            <w:tcW w:w="846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Report of Independent Registered Public Accounting Firm</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8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Statements</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Statements of Net Assets Available for Benefits</w:t>
            </w:r>
          </w:p>
          <w:p>
            <w:pPr>
              <w:pStyle w:val="TableContents"/>
              <w:bidi w:val="0"/>
              <w:spacing w:lineRule="auto" w:line="240" w:before="0" w:after="0"/>
              <w:ind w:left="0" w:right="0" w:hanging="360"/>
              <w:jc w:val="left"/>
              <w:rPr>
                <w:color w:val="000000"/>
              </w:rPr>
            </w:pPr>
            <w:r>
              <w:rPr>
                <w:color w:val="000000"/>
              </w:rPr>
              <w:t>       </w:t>
            </w:r>
            <w:r>
              <w:rPr>
                <w:rFonts w:ascii="Times New Roman;serif" w:hAnsi="Times New Roman;serif"/>
                <w:b w:val="false"/>
                <w:color w:val="000000"/>
                <w:sz w:val="24"/>
              </w:rPr>
              <w:t>as of December 31, 2025 and 2024</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 xml:space="preserve">Statement of Changes in Net Assets Available for Benefits </w:t>
            </w:r>
          </w:p>
          <w:p>
            <w:pPr>
              <w:pStyle w:val="TableContents"/>
              <w:bidi w:val="0"/>
              <w:spacing w:lineRule="auto" w:line="240" w:before="0" w:after="0"/>
              <w:ind w:left="0" w:right="0" w:hanging="360"/>
              <w:jc w:val="left"/>
              <w:rPr>
                <w:color w:val="000000"/>
              </w:rPr>
            </w:pPr>
            <w:r>
              <w:rPr>
                <w:color w:val="000000"/>
              </w:rPr>
              <w:t>       </w:t>
            </w:r>
            <w:r>
              <w:rPr>
                <w:rFonts w:ascii="Times New Roman;serif" w:hAnsi="Times New Roman;serif"/>
                <w:b w:val="false"/>
                <w:color w:val="000000"/>
                <w:sz w:val="24"/>
              </w:rPr>
              <w:t>for the Year Ended December 31, 2025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to Financial Statements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w:t>
            </w:r>
          </w:p>
        </w:tc>
      </w:tr>
      <w:tr>
        <w:trPr/>
        <w:tc>
          <w:tcPr>
            <w:tcW w:w="8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Supplemental Schedule*</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5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Schedule of Assets (Held at End of Year)</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as of December 31, 2025</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8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 Index</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8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Signature</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Other schedules required under Section 2520.103-10 of the Department of Labor’s Rules and Regulations for Reporting and Disclosure under the Employee Retirement Income Security Act of 1974, as amended, have been omitted because they are not applicable or not required.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57B8"/>
          <w:sz w:val="20"/>
        </w:rPr>
      </w:pPr>
      <w:r>
        <w:rPr>
          <w:rFonts w:ascii="Times New Roman;serif" w:hAnsi="Times New Roman;serif"/>
          <w:b/>
          <w:color w:val="0057B8"/>
          <w:sz w:val="20"/>
        </w:rPr>
        <w:t>Report of Independent Registered Public Accounting Firm</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To the Plan Administrator and Participants of Chevron Employee Savings Investment Plan</w:t>
      </w:r>
    </w:p>
    <w:p>
      <w:pPr>
        <w:pStyle w:val="TextBody"/>
        <w:bidi w:val="0"/>
        <w:spacing w:before="0" w:after="0"/>
        <w:jc w:val="left"/>
        <w:rPr/>
      </w:pPr>
      <w:r>
        <w:rPr/>
      </w:r>
    </w:p>
    <w:p>
      <w:pPr>
        <w:pStyle w:val="TextBody"/>
        <w:bidi w:val="0"/>
        <w:spacing w:lineRule="auto" w:line="264" w:before="0" w:after="60"/>
        <w:jc w:val="both"/>
        <w:rPr>
          <w:rFonts w:ascii="Times New Roman;serif" w:hAnsi="Times New Roman;serif"/>
          <w:b/>
          <w:color w:val="0057B8"/>
          <w:sz w:val="20"/>
        </w:rPr>
      </w:pPr>
      <w:r>
        <w:rPr>
          <w:rFonts w:ascii="Times New Roman;serif" w:hAnsi="Times New Roman;serif"/>
          <w:b/>
          <w:color w:val="0057B8"/>
          <w:sz w:val="20"/>
        </w:rPr>
        <w:t>Opinion on the Financial Statements</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statements of net assets available for benefits of Chevron Employee Savings Investment Plan (the “Plan”) as of December 31, 2025 and 2024, and the related statement of changes in net assets available for benefits for the year ended December 31, 2025,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pStyle w:val="TextBody"/>
        <w:bidi w:val="0"/>
        <w:spacing w:before="0" w:after="0"/>
        <w:jc w:val="left"/>
        <w:rPr/>
      </w:pPr>
      <w:r>
        <w:rPr/>
      </w:r>
    </w:p>
    <w:p>
      <w:pPr>
        <w:pStyle w:val="TextBody"/>
        <w:bidi w:val="0"/>
        <w:spacing w:lineRule="auto" w:line="264" w:before="0" w:after="60"/>
        <w:jc w:val="both"/>
        <w:rPr>
          <w:rFonts w:ascii="Times New Roman;serif" w:hAnsi="Times New Roman;serif"/>
          <w:b/>
          <w:color w:val="0057B8"/>
          <w:sz w:val="20"/>
        </w:rPr>
      </w:pPr>
      <w:r>
        <w:rPr>
          <w:rFonts w:ascii="Times New Roman;serif" w:hAnsi="Times New Roman;serif"/>
          <w:b/>
          <w:color w:val="0057B8"/>
          <w:sz w:val="20"/>
        </w:rPr>
        <w:t>Basis for Opinion</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 we are required to obtain an understanding of internal control over financial reporting, but not for the purposes of expressing an opinion on the effectiveness of the Plan’s internal control over financial reporting. Accordingly, we express no such opinion.</w:t>
      </w:r>
    </w:p>
    <w:p>
      <w:pPr>
        <w:pStyle w:val="TextBody"/>
        <w:bidi w:val="0"/>
        <w:spacing w:before="0" w:after="0"/>
        <w:jc w:val="left"/>
        <w:rPr/>
      </w:pPr>
      <w:r>
        <w:rPr/>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64" w:before="0" w:after="60"/>
        <w:jc w:val="both"/>
        <w:rPr>
          <w:rFonts w:ascii="Times New Roman;serif" w:hAnsi="Times New Roman;serif"/>
          <w:b/>
          <w:color w:val="0057B8"/>
          <w:sz w:val="20"/>
        </w:rPr>
      </w:pPr>
      <w:r>
        <w:rPr>
          <w:rFonts w:ascii="Times New Roman;serif" w:hAnsi="Times New Roman;serif"/>
          <w:b/>
          <w:color w:val="0057B8"/>
          <w:sz w:val="20"/>
        </w:rPr>
        <w:t>Supplemental Information</w:t>
      </w:r>
    </w:p>
    <w:p>
      <w:pPr>
        <w:pStyle w:val="TextBody"/>
        <w:bidi w:val="0"/>
        <w:spacing w:lineRule="auto" w:line="264" w:before="0" w:after="0"/>
        <w:jc w:val="both"/>
        <w:rPr>
          <w:rFonts w:ascii="Times New Roman;serif" w:hAnsi="Times New Roman;serif"/>
          <w:b w:val="false"/>
          <w:color w:val="000000"/>
          <w:sz w:val="20"/>
        </w:rPr>
      </w:pPr>
      <w:r>
        <w:rPr>
          <w:rFonts w:ascii="Times New Roman;serif" w:hAnsi="Times New Roman;serif"/>
          <w:b w:val="false"/>
          <w:color w:val="000000"/>
          <w:sz w:val="20"/>
        </w:rPr>
        <w:t>The supplemental information in the accompanying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in the accompanying schedule is fairly stated, in all material respects, in relation to the financial statements as a whole.</w:t>
      </w:r>
    </w:p>
    <w:p>
      <w:pPr>
        <w:pStyle w:val="TextBody"/>
        <w:bidi w:val="0"/>
        <w:spacing w:before="0" w:after="60"/>
        <w:jc w:val="both"/>
        <w:rPr/>
      </w:pPr>
      <w:r>
        <w:rPr/>
      </w:r>
    </w:p>
    <w:p>
      <w:pPr>
        <w:pStyle w:val="TextBody"/>
        <w:bidi w:val="0"/>
        <w:spacing w:lineRule="auto" w:line="268" w:before="0" w:after="60"/>
        <w:jc w:val="both"/>
        <w:rPr>
          <w:rFonts w:ascii="Times New Roman;serif" w:hAnsi="Times New Roman;serif"/>
          <w:b w:val="false"/>
          <w:color w:val="000000"/>
          <w:sz w:val="20"/>
        </w:rPr>
      </w:pPr>
      <w:r>
        <w:rPr>
          <w:rFonts w:ascii="Times New Roman;serif" w:hAnsi="Times New Roman;serif"/>
          <w:b w:val="false"/>
          <w:color w:val="000000"/>
          <w:sz w:val="20"/>
        </w:rPr>
        <w:t>/s/ WithumSmith+Brown, PC</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auditor of the Plan since 2025.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Whippany, New Jersey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June 24, 2026</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PCAOB ID Number 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STATEMENTS OF NET ASSETS AVAILABLE FOR BENEFITS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DECEMBER 31, 2025 AND 2024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(thousands of dollars)</w:t>
      </w:r>
    </w:p>
    <w:p>
      <w:pPr>
        <w:pStyle w:val="TextBody"/>
        <w:bidi w:val="0"/>
        <w:spacing w:before="0" w:after="0"/>
        <w:jc w:val="center"/>
        <w:rPr/>
      </w:pPr>
      <w:r>
        <w:rPr/>
      </w:r>
    </w:p>
    <w:p>
      <w:pPr>
        <w:pStyle w:val="TextBody"/>
        <w:bidi w:val="0"/>
        <w:spacing w:before="0" w:after="0"/>
        <w:jc w:val="center"/>
        <w:rPr/>
      </w:pPr>
      <w:r>
        <w:rPr/>
      </w:r>
    </w:p>
    <w:tbl>
      <w:tblPr>
        <w:tblW w:w="7449" w:type="dxa"/>
        <w:jc w:val="center"/>
        <w:tblInd w:w="0" w:type="dxa"/>
        <w:tblLayout w:type="fixed"/>
        <w:tblCellMar>
          <w:top w:w="28" w:type="dxa"/>
          <w:left w:w="28" w:type="dxa"/>
          <w:bottom w:w="28" w:type="dxa"/>
          <w:right w:w="28" w:type="dxa"/>
        </w:tblCellMar>
      </w:tblPr>
      <w:tblGrid>
        <w:gridCol w:w="124"/>
        <w:gridCol w:w="109"/>
        <w:gridCol w:w="109"/>
        <w:gridCol w:w="554"/>
        <w:gridCol w:w="554"/>
        <w:gridCol w:w="554"/>
        <w:gridCol w:w="554"/>
        <w:gridCol w:w="554"/>
        <w:gridCol w:w="557"/>
        <w:gridCol w:w="109"/>
        <w:gridCol w:w="109"/>
        <w:gridCol w:w="109"/>
        <w:gridCol w:w="473"/>
        <w:gridCol w:w="473"/>
        <w:gridCol w:w="396"/>
        <w:gridCol w:w="109"/>
        <w:gridCol w:w="109"/>
        <w:gridCol w:w="109"/>
        <w:gridCol w:w="109"/>
        <w:gridCol w:w="109"/>
        <w:gridCol w:w="109"/>
        <w:gridCol w:w="473"/>
        <w:gridCol w:w="473"/>
        <w:gridCol w:w="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Investments -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21,910,480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20,044,135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Investments - at contract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216,052 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210,966 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662"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receivable from brokers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receivable from participants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124,295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123,529</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Total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22,251,972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20,378,705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assets available for benefits</w:t>
            </w:r>
          </w:p>
        </w:tc>
        <w:tc>
          <w:tcPr>
            <w:tcW w:w="32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42"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22,251,972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5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20,378,705</w:t>
            </w:r>
          </w:p>
        </w:tc>
      </w:tr>
      <w:tr>
        <w:trPr/>
        <w:tc>
          <w:tcPr>
            <w:tcW w:w="744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financial statements.</w:t>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- 2 -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STATEMENT OF CHANGES IN NET ASSETS AVAILABLE FOR BENEFITS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YEAR ENDED DECEMBER 31, 2025</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(thousands of dollars)</w:t>
      </w:r>
    </w:p>
    <w:tbl>
      <w:tblPr>
        <w:tblW w:w="8648" w:type="dxa"/>
        <w:jc w:val="center"/>
        <w:tblInd w:w="0" w:type="dxa"/>
        <w:tblLayout w:type="fixed"/>
        <w:tblCellMar>
          <w:top w:w="28" w:type="dxa"/>
          <w:left w:w="28" w:type="dxa"/>
          <w:bottom w:w="28" w:type="dxa"/>
          <w:right w:w="28" w:type="dxa"/>
        </w:tblCellMar>
      </w:tblPr>
      <w:tblGrid>
        <w:gridCol w:w="124"/>
        <w:gridCol w:w="109"/>
        <w:gridCol w:w="109"/>
        <w:gridCol w:w="172"/>
        <w:gridCol w:w="172"/>
        <w:gridCol w:w="172"/>
        <w:gridCol w:w="418"/>
        <w:gridCol w:w="418"/>
        <w:gridCol w:w="418"/>
        <w:gridCol w:w="967"/>
        <w:gridCol w:w="967"/>
        <w:gridCol w:w="988"/>
        <w:gridCol w:w="130"/>
        <w:gridCol w:w="130"/>
        <w:gridCol w:w="130"/>
        <w:gridCol w:w="130"/>
        <w:gridCol w:w="130"/>
        <w:gridCol w:w="130"/>
        <w:gridCol w:w="130"/>
        <w:gridCol w:w="130"/>
        <w:gridCol w:w="130"/>
        <w:gridCol w:w="130"/>
        <w:gridCol w:w="130"/>
        <w:gridCol w:w="130"/>
        <w:gridCol w:w="109"/>
        <w:gridCol w:w="109"/>
        <w:gridCol w:w="109"/>
        <w:gridCol w:w="109"/>
        <w:gridCol w:w="109"/>
        <w:gridCol w:w="109"/>
        <w:gridCol w:w="623"/>
        <w:gridCol w:w="623"/>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Additions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Contributions: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Employer contributions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326,339 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Participant contributions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410,123 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Participant rollovers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93,930 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Total contributions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830,392 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Investment income:</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6"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appreciation in fair value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2,650,269 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Interest and dividends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242,520 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investment income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2,892,789 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additions:</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2"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income on notes receivable from participants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additions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3,731,590 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Deductions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Distribution to participants </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3,016,350 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Administrative fees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deductions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3,019,670 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Transfer from another plan</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2"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Transfer from Hess Corporation Employees´ Savings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1,161,347 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increase in net assets available for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1,873,267 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assets available for benefits:</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Beginning of year</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20,378,705 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End of year</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4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22,251,972 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6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this financial statement.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- 3 -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NOTE 1 - Description of the Plan</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description of the Chevron Employee Savings Investment Plan (ESIP or the Plan) provides only general information. Participants should refer to the Plan document or Summary Plan Description for a more complete description of the Plan’s provisions.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Plan is a defined contribution plan that is intended to be a qualified profit-sharing plan under Section 401(a) of the Internal Revenue Code (the Code), a qualified cash or deferred arrangement under Section 401(k) of the Code, and, effective December 1, 1989, to include a leveraged Employee Stock Ownership Plan (ESOP) qualified under Section 4975(e)(7) of the Code.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Plan Sponsor/Administrator.</w:t>
      </w:r>
      <w:r>
        <w:rPr>
          <w:color w:val="000000"/>
        </w:rPr>
        <w:t xml:space="preserve"> </w:t>
      </w:r>
      <w:r>
        <w:rPr>
          <w:rFonts w:ascii="Times New Roman;serif" w:hAnsi="Times New Roman;serif"/>
          <w:b w:val="false"/>
          <w:color w:val="000000"/>
          <w:sz w:val="24"/>
        </w:rPr>
        <w:t>Chevron Corporation (the Corporation) is the Plan Sponsor and the Plan Administrator of the ESIP. It has the authority to appoint one or more trustees to hold the assets of the Plan and to appoint a recordkeeper. In its capacity as fiduciary and administrator, the Corporation makes such rules, regulations and computations and takes whatever action is necessary to administer the Plan in accordance with provisions of the Code and the Employee Retirement Income Security Act of 1974, as amended (ERISA).</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 xml:space="preserve">Eligibility. </w:t>
      </w:r>
      <w:r>
        <w:rPr>
          <w:rFonts w:ascii="Times New Roman;serif" w:hAnsi="Times New Roman;serif"/>
          <w:b w:val="false"/>
          <w:color w:val="000000"/>
          <w:sz w:val="24"/>
        </w:rPr>
        <w:t>Employees of the Corporation and each other participating company (the Company) or employees who are represented by a labor organization that has bargained for and agreed to participation in the Plan, hired on to the U.S. payroll are eligible to join the Plan upon their first day of employment.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Contributions. </w:t>
      </w:r>
      <w:r>
        <w:rPr>
          <w:rFonts w:ascii="Times New Roman;serif" w:hAnsi="Times New Roman;serif"/>
          <w:b w:val="false"/>
          <w:color w:val="000000"/>
          <w:sz w:val="24"/>
        </w:rPr>
        <w:t>Participants may contribute up to 75 percent of regular pay each pay period as combined basic (1 or 2 percent) and supplemental (up to 73 percent) contributions. For 2025, the maximum contribution amount on a combined before-tax and Roth 401(k) basis was the annual Code limit of $23,500 for participants under age 50 and $31,000 for participants aged 50 and up. The Plan has a fixed match feature. The Company will match 4 percent of regular pay to participants making basic contributions of 1 percent to the Plan or 8 percent of regular pay to participants making basic contributions of 2 percent to the Plan. The Code limits the amount of compensation that can be taken into account when calculating participant and company matching contributions to the Plan; for the year 2025, company matching contributions ceased when a participant reached regular pay of $350,000.</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matching contribution is made in cash and allocated according to the participants’ current payroll elections. Participants may elect to receive dividends on shares in their Chevron Stock and Chevron ESOP accounts as a taxable distribution or reinvest the dividends into their Chevron Stock account.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Vesting.</w:t>
      </w:r>
      <w:r>
        <w:rPr>
          <w:color w:val="000000"/>
        </w:rPr>
        <w:t xml:space="preserve"> </w:t>
      </w:r>
      <w:r>
        <w:rPr>
          <w:rFonts w:ascii="Times New Roman;serif" w:hAnsi="Times New Roman;serif"/>
          <w:b w:val="false"/>
          <w:color w:val="000000"/>
          <w:sz w:val="24"/>
        </w:rPr>
        <w:t>Employees are always fully vested in all contributions to their accounts, as well as the investment income earned from all contributions to the Plan.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- 4 -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NOTE 1 - Description of the Plan (Continued)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Participant Accounts.</w:t>
      </w:r>
      <w:r>
        <w:rPr>
          <w:color w:val="000000"/>
        </w:rPr>
        <w:t xml:space="preserve"> </w:t>
      </w:r>
      <w:r>
        <w:rPr>
          <w:rFonts w:ascii="Times New Roman;serif" w:hAnsi="Times New Roman;serif"/>
          <w:b w:val="false"/>
          <w:color w:val="000000"/>
          <w:sz w:val="24"/>
        </w:rPr>
        <w:t xml:space="preserve">Contributions are invested in various investment options offered within the Plan. Employee contributions are comprised of basic and supplemental contributions and rollover contributions from other qualified retirement plans or from a rollover IRA, on a pre-tax, after-tax, and/or Roth 401(k) basis.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Trustee.</w:t>
      </w:r>
      <w:r>
        <w:rPr>
          <w:color w:val="000000"/>
        </w:rPr>
        <w:t xml:space="preserve"> </w:t>
      </w:r>
      <w:r>
        <w:rPr>
          <w:rFonts w:ascii="Times New Roman;serif" w:hAnsi="Times New Roman;serif"/>
          <w:b w:val="false"/>
          <w:color w:val="000000"/>
          <w:sz w:val="24"/>
        </w:rPr>
        <w:t xml:space="preserve">Fidelity Management Trust Company and Fidelity Workplace Services, LLC are the Plan’s trustee and the recordkeeper, respectively (collectively referred to herein as Fidelity). Fidelity also performs the custodial and administrator functions for the separate accounts. The trustee has the authority to manage the assets of the Plan in accordance with the terms of the service agreements.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Notes Receivable from Participants. </w:t>
      </w:r>
      <w:r>
        <w:rPr>
          <w:rFonts w:ascii="Times New Roman;serif" w:hAnsi="Times New Roman;serif"/>
          <w:b w:val="false"/>
          <w:color w:val="000000"/>
          <w:sz w:val="24"/>
        </w:rPr>
        <w:t>The Plan loan provision allows participants to borrow funds from their Plan account, subject to certain restrictions and limitations. Participants may borrow up to the lesser of $50,000 or 50% of their total account balance or the value of the account(s) used to fund the loan. The minimum loan is $1,000. The minimum term for repayment of any loan is 6 months and the maximum term is 5 years. However, the maximum term for repayment of a loan to purchase the participant’s principal residence is 25 years. Loans bear a reasonable fixed rate of interest. Interest rates charged during 2025 and 2024 on new and carried loans ranged from 2.23% to 10.25% with maturities extending to 2054. Most loan repayments are made through payroll deductions and the principal and interest paid by the participants are reinvested in the participants’ accounts. Notes receivable from participants totaled $124,294,748 and $123,529,117 as of December 31, 2025 and 2024, respectively.</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 xml:space="preserve">Plan Termination. </w:t>
      </w:r>
      <w:r>
        <w:rPr>
          <w:rFonts w:ascii="Times New Roman;serif" w:hAnsi="Times New Roman;serif"/>
          <w:b w:val="false"/>
          <w:color w:val="000000"/>
          <w:sz w:val="24"/>
        </w:rPr>
        <w:t xml:space="preserve">The Corporation expects to continue the ESIP indefinitely but has the authority to amend or terminate the ESIP at any time. In the event of Plan termination, the trust fund shall continue until any previously unallocated assets of the Plan are allocated to accounts and distributed to participants or beneficiaries in accordance with applicable law and pursuant to written rules and procedures adopted by the Corporation prior to such termination. In addition, upon Plan termination, neither the Corporation nor any other person shall have a liability or obligation to provide additional benefits. Participants or beneficiaries shall obtain benefits solely from the trust fund.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F0F0F"/>
          <w:sz w:val="24"/>
        </w:rPr>
        <w:t xml:space="preserve">Benefit Payment </w:t>
      </w:r>
      <w:r>
        <w:rPr>
          <w:rFonts w:ascii="Times New Roman;serif" w:hAnsi="Times New Roman;serif"/>
          <w:b w:val="false"/>
          <w:color w:val="0F0F0F"/>
          <w:sz w:val="24"/>
        </w:rPr>
        <w:t xml:space="preserve">/ </w:t>
      </w:r>
      <w:r>
        <w:rPr>
          <w:rFonts w:ascii="Times New Roman;serif" w:hAnsi="Times New Roman;serif"/>
          <w:b/>
          <w:color w:val="0F0F0F"/>
          <w:sz w:val="24"/>
        </w:rPr>
        <w:t xml:space="preserve">Distribution. </w:t>
      </w:r>
      <w:r>
        <w:rPr>
          <w:rFonts w:ascii="Times New Roman;serif" w:hAnsi="Times New Roman;serif"/>
          <w:b w:val="false"/>
          <w:color w:val="212121"/>
          <w:sz w:val="24"/>
        </w:rPr>
        <w:t xml:space="preserve">At </w:t>
      </w:r>
      <w:r>
        <w:rPr>
          <w:rFonts w:ascii="Times New Roman;serif" w:hAnsi="Times New Roman;serif"/>
          <w:b w:val="false"/>
          <w:color w:val="0F0F0F"/>
          <w:sz w:val="24"/>
        </w:rPr>
        <w:t xml:space="preserve">the request of the participant, distributions can be received in installment payments, partial distribution, or single lump-sum payment after termination of employment. While employed, a participant may make withdrawals from their employer or employee contribution accounts (as allowed under IRS regulations) subject to certain restrictions described in the Plan, which may be waived in the event a participant demonstrates a financial hardship. The Plan requires automatic cash outs of account balances less than $1,000 upon termination of employment. </w:t>
      </w:r>
      <w:r>
        <w:rPr>
          <w:rFonts w:ascii="Times New Roman;serif" w:hAnsi="Times New Roman;serif"/>
          <w:b w:val="false"/>
          <w:color w:val="000000"/>
          <w:sz w:val="24"/>
        </w:rPr>
        <w:t xml:space="preserve">Benefit payments to participants are recorded when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- 5 -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NOTE 1 - Description of the Plan (Continued)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Plan Expenses. </w:t>
      </w:r>
      <w:r>
        <w:rPr>
          <w:rFonts w:ascii="Times New Roman;serif" w:hAnsi="Times New Roman;serif"/>
          <w:b w:val="false"/>
          <w:color w:val="000000"/>
          <w:sz w:val="24"/>
        </w:rPr>
        <w:t>In accordance with the Department of Labor’s (DOL) rules under ERISA Section 408(b)(2), total all-in fees are disclosed by the service provider. In accordance with these DOL rules, recordkeeping and trustee fees are unbundled and paid by the participants. Other administrative expenses relating to the Plan, including audit fees and participant education retirement services are paid by the Plan to the extent Plan forfeiture funds or other suspense account funds are sufficient. If not, such fees are paid by the Corporation. Certain Chevron employee labor and administrative costs for Plan-related services are reimbursed to the Corporation by the Plan. As of December 31, 2025 and 2024, funds in the forfeiture account were $1,366,027 and $419,496, respectively. Amounts of forfeited account balances used to pay Plan expenses totaled $278,624 for the year ended December 31, 2025. As of December 31, 2025 and 2024, funds in all suspense accounts were $2,317,403 and $1,152,948, respectively. Amounts of suspense account balances used to pay Plan expenses totaled $1,557,764 for the year ended December 31, 2025.</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Diversification. </w:t>
      </w:r>
      <w:r>
        <w:rPr>
          <w:rFonts w:ascii="Times New Roman;serif" w:hAnsi="Times New Roman;serif"/>
          <w:b w:val="false"/>
          <w:color w:val="000000"/>
          <w:sz w:val="24"/>
        </w:rPr>
        <w:t>Each participant is permitted to direct any contributions made to their account to be invested in investment options available under the Plan. Participants are not subject to any restriction, holding periods or otherwise, when moving assets, other than those noted below under Stable Value Funds Equity Wash.</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4"/>
        </w:rPr>
        <w:t>Put Option.</w:t>
      </w:r>
      <w:r>
        <w:rPr>
          <w:color w:val="000000"/>
        </w:rPr>
        <w:t xml:space="preserve"> </w:t>
      </w:r>
      <w:r>
        <w:rPr>
          <w:rFonts w:ascii="Times New Roman;serif" w:hAnsi="Times New Roman;serif"/>
          <w:b w:val="false"/>
          <w:color w:val="000000"/>
          <w:sz w:val="24"/>
        </w:rPr>
        <w:t>For so long as the Corporation’s shares are readily tradable on an established market, the Corporation shall not be required to provide the participant or beneficiary with an option to put the shares to the Corporation, in accordance with Section 409(h) of the Code.</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color w:val="000000"/>
          <w:sz w:val="24"/>
        </w:rPr>
        <w:t xml:space="preserve">Plan Mergers. </w:t>
      </w:r>
      <w:r>
        <w:rPr>
          <w:rFonts w:ascii="Times New Roman;serif" w:hAnsi="Times New Roman;serif"/>
          <w:b w:val="false"/>
          <w:color w:val="000000"/>
          <w:sz w:val="24"/>
        </w:rPr>
        <w:t>Effective December 31, 2025, the assets and participant accounts of the Hess Corporation Employees' Savings Plan (Hess 401(k)) merged into the ESIP. The investments of $1,161,346,863 were transferred on December 31, 2025.</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Stable Value Fund Equity Wash.</w:t>
      </w:r>
      <w:r>
        <w:rPr>
          <w:color w:val="000000"/>
        </w:rPr>
        <w:t xml:space="preserve"> </w:t>
      </w:r>
      <w:r>
        <w:rPr>
          <w:rFonts w:ascii="Times New Roman;serif" w:hAnsi="Times New Roman;serif"/>
          <w:b w:val="false"/>
          <w:color w:val="000000"/>
          <w:sz w:val="24"/>
        </w:rPr>
        <w:t>Per agreement with the Plan’s stable value fund managers, to discourage market timing and other forms of speculative behavior, investors are restricted from moving assets from these funds directly into existing ESIP money market funds. All assets moving out of these stable value funds are to be moved to another non-money market ESIP investment for at least 90 days before moving to a money market investment. These provisions apply to the Chevron Stable Value Separate Account (Putnam).</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- 6 -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NOTE 2 - Summary of Significant Accounting Policies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are the significant accounting policies followed by the Plan: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Basis of Accounting. </w:t>
      </w:r>
      <w:r>
        <w:rPr>
          <w:rFonts w:ascii="Times New Roman;serif" w:hAnsi="Times New Roman;serif"/>
          <w:b w:val="false"/>
          <w:color w:val="000000"/>
          <w:sz w:val="24"/>
        </w:rPr>
        <w:t>The financial statements of the ESIP are presented on the accrual basis of accounting.</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Investment Valuation and Income Recognition. </w:t>
      </w:r>
      <w:r>
        <w:rPr>
          <w:rFonts w:ascii="Times New Roman;serif" w:hAnsi="Times New Roman;serif"/>
          <w:b w:val="false"/>
          <w:color w:val="000000"/>
          <w:sz w:val="24"/>
        </w:rPr>
        <w:t>Investments, with the exception of the Chevron Stable Value Separate Account (Putnam), are reported at fair value, which is the price that would be received to sell an asset or paid to transfer a liability in an orderly transaction between market participants at the measurement date. Investments in the core and supplemental options are valued on each business day on which the New York Stock Exchange is open for trading to reflect contributions, distributions, income, expenses, gains and losses. The difference between cost and market value represents unrealized appreciation or depreciation as of the reporting date. The valuation of the underlying securities in Fidelity Brokerage Link are determined by Fidelity Brokerage Service daily. The Putnam account is at contract value. Contract value is the relevant measure for the Plan’s fully benefit-responsive investment contracts, because contract value is the amount participants generally receive when executing transactions under the terms of the contract and plan provisions.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Net appreciation (depreciation) in fair value of investments includes realized gains (losses) and unrealized appreciation (depreciation).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Realized gains (losses) on investments are based on sales proceeds less average cost. Sales and purchases between participants are included in realized gains (losses). Security purchases and sales are recorded as of the trade date for such transactions.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Dividend income earned on investments held and interest income earned on funds pending investment are recorded on an accrual basis.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Notes Receivable from Participants. </w:t>
      </w:r>
      <w:r>
        <w:rPr>
          <w:rFonts w:ascii="Times New Roman;serif" w:hAnsi="Times New Roman;serif"/>
          <w:b w:val="false"/>
          <w:color w:val="000000"/>
          <w:sz w:val="24"/>
        </w:rPr>
        <w:t xml:space="preserve">Notes receivable from participants are measured at their unpaid principal balance plus any accrued but unpaid interest. Delinquent notes receivable from participants are reclassified as distributions based upon the terms of the Plan rules.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4"/>
        </w:rPr>
        <w:t xml:space="preserve">Use of Estimates. </w:t>
      </w:r>
      <w:r>
        <w:rPr>
          <w:rFonts w:ascii="Times New Roman;serif" w:hAnsi="Times New Roman;serif"/>
          <w:b w:val="false"/>
          <w:color w:val="000000"/>
          <w:sz w:val="24"/>
        </w:rPr>
        <w:t>The preparation of financial statements in conformity with U.S. generally accepted accounting principles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- 7 -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NOTE 3 - Fair Value Measurements </w:t>
      </w:r>
    </w:p>
    <w:p>
      <w:pPr>
        <w:pStyle w:val="TextBody"/>
        <w:bidi w:val="0"/>
        <w:spacing w:before="0" w:after="0"/>
        <w:ind w:left="0" w:right="0" w:hanging="90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pStyle w:val="TextBody"/>
        <w:bidi w:val="0"/>
        <w:spacing w:before="0" w:after="0"/>
        <w:jc w:val="both"/>
        <w:rPr/>
      </w:pPr>
      <w:r>
        <w:rPr/>
      </w:r>
    </w:p>
    <w:p>
      <w:pPr>
        <w:pStyle w:val="TextBody"/>
        <w:bidi w:val="0"/>
        <w:spacing w:lineRule="auto" w:line="268" w:before="0" w:after="0"/>
        <w:ind w:left="0" w:right="0" w:hanging="900"/>
        <w:jc w:val="both"/>
        <w:rPr>
          <w:rFonts w:ascii="Times New Roman;serif" w:hAnsi="Times New Roman;serif"/>
          <w:b w:val="false"/>
          <w:color w:val="000000"/>
          <w:sz w:val="24"/>
        </w:rPr>
      </w:pPr>
      <w:r>
        <w:rPr>
          <w:rFonts w:ascii="Times New Roman;serif" w:hAnsi="Times New Roman;serif"/>
          <w:b w:val="false"/>
          <w:color w:val="000000"/>
          <w:sz w:val="24"/>
        </w:rPr>
        <w:t>Level 1: Inputs to the valuation methodology are unadjusted quoted prices for identical assets or liabilities in active markets that the Plan has the ability to access.</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4"/>
        </w:rPr>
      </w:pPr>
      <w:r>
        <w:rPr>
          <w:rFonts w:ascii="Times New Roman;serif" w:hAnsi="Times New Roman;serif"/>
          <w:b w:val="false"/>
          <w:color w:val="000000"/>
          <w:sz w:val="24"/>
        </w:rPr>
        <w:t>Level 2:    Inputs to the valuation methodology include:</w:t>
      </w:r>
    </w:p>
    <w:p>
      <w:pPr>
        <w:pStyle w:val="TextBody"/>
        <w:bidi w:val="0"/>
        <w:spacing w:lineRule="auto" w:line="268" w:before="0" w:after="0"/>
        <w:ind w:left="0" w:right="0" w:hanging="270"/>
        <w:jc w:val="both"/>
        <w:rPr>
          <w:color w:val="000000"/>
        </w:rPr>
      </w:pPr>
      <w:r>
        <w:rPr>
          <w:color w:val="000000"/>
        </w:rPr>
        <w:t>•    </w:t>
      </w:r>
      <w:r>
        <w:rPr>
          <w:rFonts w:ascii="Times New Roman;serif" w:hAnsi="Times New Roman;serif"/>
          <w:b w:val="false"/>
          <w:color w:val="000000"/>
          <w:sz w:val="24"/>
        </w:rPr>
        <w:t>Quoted prices for similar assets or liabilities in active markets;</w:t>
      </w:r>
    </w:p>
    <w:p>
      <w:pPr>
        <w:pStyle w:val="TextBody"/>
        <w:bidi w:val="0"/>
        <w:spacing w:lineRule="auto" w:line="268" w:before="0" w:after="0"/>
        <w:ind w:left="0" w:right="0" w:hanging="270"/>
        <w:jc w:val="both"/>
        <w:rPr>
          <w:color w:val="000000"/>
        </w:rPr>
      </w:pPr>
      <w:r>
        <w:rPr>
          <w:color w:val="000000"/>
        </w:rPr>
        <w:t>•    </w:t>
      </w:r>
      <w:r>
        <w:rPr>
          <w:rFonts w:ascii="Times New Roman;serif" w:hAnsi="Times New Roman;serif"/>
          <w:b w:val="false"/>
          <w:color w:val="000000"/>
          <w:sz w:val="24"/>
        </w:rPr>
        <w:t>Quoted prices for identical or similar assets or liabilities in inactive markets;</w:t>
      </w:r>
    </w:p>
    <w:p>
      <w:pPr>
        <w:pStyle w:val="TextBody"/>
        <w:bidi w:val="0"/>
        <w:spacing w:lineRule="auto" w:line="268" w:before="0" w:after="0"/>
        <w:ind w:left="0" w:right="0" w:hanging="270"/>
        <w:jc w:val="both"/>
        <w:rPr>
          <w:color w:val="000000"/>
        </w:rPr>
      </w:pPr>
      <w:r>
        <w:rPr>
          <w:color w:val="000000"/>
        </w:rPr>
        <w:t>•    </w:t>
      </w:r>
      <w:r>
        <w:rPr>
          <w:rFonts w:ascii="Times New Roman;serif" w:hAnsi="Times New Roman;serif"/>
          <w:b w:val="false"/>
          <w:color w:val="000000"/>
          <w:sz w:val="24"/>
        </w:rPr>
        <w:t>Inputs other than quoted prices that are observable for the asset or liability; and</w:t>
      </w:r>
    </w:p>
    <w:p>
      <w:pPr>
        <w:pStyle w:val="TextBody"/>
        <w:bidi w:val="0"/>
        <w:spacing w:lineRule="auto" w:line="268" w:before="0" w:after="0"/>
        <w:ind w:left="0" w:right="0" w:hanging="270"/>
        <w:jc w:val="both"/>
        <w:rPr>
          <w:color w:val="000000"/>
        </w:rPr>
      </w:pPr>
      <w:r>
        <w:rPr>
          <w:color w:val="000000"/>
        </w:rPr>
        <w:t>•    </w:t>
      </w:r>
      <w:r>
        <w:rPr>
          <w:rFonts w:ascii="Times New Roman;serif" w:hAnsi="Times New Roman;serif"/>
          <w:b w:val="false"/>
          <w:color w:val="000000"/>
          <w:sz w:val="24"/>
        </w:rPr>
        <w:t>Inputs that are derived principally from or corroborated by observable market data by correlation or other means.</w:t>
      </w:r>
    </w:p>
    <w:p>
      <w:pPr>
        <w:pStyle w:val="TextBody"/>
        <w:bidi w:val="0"/>
        <w:spacing w:before="0" w:after="0"/>
        <w:ind w:left="0" w:right="0" w:hanging="900"/>
        <w:jc w:val="both"/>
        <w:rPr/>
      </w:pPr>
      <w:r>
        <w:rPr/>
      </w:r>
    </w:p>
    <w:p>
      <w:pPr>
        <w:pStyle w:val="TextBody"/>
        <w:bidi w:val="0"/>
        <w:spacing w:lineRule="auto" w:line="268" w:before="0" w:after="0"/>
        <w:ind w:left="0" w:right="0" w:hanging="900"/>
        <w:jc w:val="both"/>
        <w:rPr>
          <w:rFonts w:ascii="Times New Roman;serif" w:hAnsi="Times New Roman;serif"/>
          <w:b w:val="false"/>
          <w:color w:val="000000"/>
          <w:sz w:val="24"/>
        </w:rPr>
      </w:pPr>
      <w:r>
        <w:rPr>
          <w:rFonts w:ascii="Times New Roman;serif" w:hAnsi="Times New Roman;serif"/>
          <w:b w:val="false"/>
          <w:color w:val="000000"/>
          <w:sz w:val="24"/>
        </w:rPr>
        <w:t>Level 3: Inputs to the valuation methodology are unobservable and significant to the fair value measurement.</w:t>
      </w:r>
    </w:p>
    <w:p>
      <w:pPr>
        <w:pStyle w:val="TextBody"/>
        <w:bidi w:val="0"/>
        <w:spacing w:before="0" w:after="0"/>
        <w:ind w:left="0" w:right="0" w:hanging="90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Net Asset Value (NAV) as a practical expedient: Inputs to the valuation methodology are allowed as a practical expedient to measure certain investments at NAV provided: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The investment doesn't have a readily determinable fair value;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The investee is an investment company within the scope of ASC Topic 946, Financial Services - Investment Companies.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asset’s or liability’s fair value measurement level within the fair value hierarchy is based on the lowest level of any input that is significant to the fair value measurement. Valuation techniques used must maximize the use of observable inputs and minimize the use of unobservable inputs.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Following is a description of the valuation methodologies used for assets and liabilities measured at fair value. There have been no changes in the methodologies used at December 31, 2025 and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F0F0F"/>
          <w:sz w:val="24"/>
        </w:rPr>
        <w:t xml:space="preserve">Common stocks </w:t>
      </w:r>
      <w:r>
        <w:rPr>
          <w:rFonts w:ascii="Times New Roman;serif" w:hAnsi="Times New Roman;serif"/>
          <w:b w:val="false"/>
          <w:color w:val="1F1F1F"/>
          <w:sz w:val="24"/>
        </w:rPr>
        <w:t xml:space="preserve">are </w:t>
      </w:r>
      <w:r>
        <w:rPr>
          <w:rFonts w:ascii="Times New Roman;serif" w:hAnsi="Times New Roman;serif"/>
          <w:b w:val="false"/>
          <w:color w:val="0F0F0F"/>
          <w:sz w:val="24"/>
        </w:rPr>
        <w:t>valued at the closing price reported on the active market on which the individual securities are traded.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4"/>
        </w:rPr>
        <w:t>Preferred stock held in a separate account fund values are derived from both dealer-supplied valuations and pricing models at year-end.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F0F0F"/>
          <w:sz w:val="24"/>
        </w:rPr>
        <w:t>Shares of registered investment companies are valued at the closing price reported on the active market on which the individual securities are traded.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- 8 -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NOTE 3 - Fair Value Measurements (continued)</w:t>
      </w:r>
    </w:p>
    <w:p>
      <w:pPr>
        <w:pStyle w:val="TextBody"/>
        <w:bidi w:val="0"/>
        <w:spacing w:lineRule="auto" w:line="268" w:before="0" w:after="0"/>
        <w:ind w:left="0" w:right="0" w:hanging="360"/>
        <w:jc w:val="both"/>
        <w:rPr/>
      </w:pPr>
      <w:r>
        <w:rPr>
          <w:color w:val="0F0F0F"/>
        </w:rPr>
        <w:t>•</w:t>
      </w:r>
      <w:r>
        <w:rPr>
          <w:rFonts w:ascii="Times New Roman;serif" w:hAnsi="Times New Roman;serif"/>
          <w:b w:val="false"/>
          <w:color w:val="0F0F0F"/>
          <w:sz w:val="24"/>
        </w:rPr>
        <w:t>Corporate bonds held in a separate account fund values are derived from both dealer-supplied valuations and pricing models at year-end.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E0E0E"/>
          <w:sz w:val="24"/>
        </w:rPr>
        <w:t xml:space="preserve">Other collective investment fund values are given the market value of underlying investments and are therefore classified as Level 2. </w:t>
      </w:r>
    </w:p>
    <w:p>
      <w:pPr>
        <w:pStyle w:val="TextBody"/>
        <w:bidi w:val="0"/>
        <w:spacing w:lineRule="auto" w:line="268" w:before="0" w:after="0"/>
        <w:ind w:left="0" w:right="0" w:hanging="360"/>
        <w:jc w:val="both"/>
        <w:rPr/>
      </w:pPr>
      <w:r>
        <w:rPr>
          <w:color w:val="0E0E0E"/>
        </w:rPr>
        <w:t>•</w:t>
      </w:r>
      <w:r>
        <w:rPr>
          <w:rFonts w:ascii="Times New Roman;serif" w:hAnsi="Times New Roman;serif"/>
          <w:b w:val="false"/>
          <w:color w:val="0F0F0F"/>
          <w:sz w:val="24"/>
        </w:rPr>
        <w:t>Mortgage backed securities held in a separate account fund are valued on the basis of their future principal and interest payments discounted at prevailing interest rates for similar investments.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F0F0F"/>
          <w:sz w:val="24"/>
        </w:rPr>
        <w:t>U.S. government securities held in a separate account fund values are derived from both dealer supplied valuations and pricing models at year-end.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F0F0F"/>
          <w:sz w:val="24"/>
        </w:rPr>
        <w:t>Asset backed securities are priced based on a compilation of primarily observable market information.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F0F0F"/>
          <w:sz w:val="24"/>
        </w:rPr>
        <w:t>Cash equivalents are valued at cost, which approximates fair value.</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F0F0F"/>
          <w:sz w:val="24"/>
        </w:rPr>
        <w:t>Investments in Fidelity BrokerageLink hold shares of registered investment companies and are valued at the closing price reported on the active market on which the individual securities are traded.</w:t>
      </w:r>
    </w:p>
    <w:p>
      <w:pPr>
        <w:pStyle w:val="TextBody"/>
        <w:bidi w:val="0"/>
        <w:spacing w:lineRule="auto" w:line="268" w:before="0" w:after="0"/>
        <w:ind w:left="0" w:right="0" w:hanging="360"/>
        <w:jc w:val="both"/>
        <w:rPr/>
      </w:pPr>
      <w:r>
        <w:rPr>
          <w:color w:val="0F0F0F"/>
        </w:rPr>
        <w:t>•</w:t>
      </w:r>
      <w:r>
        <w:rPr>
          <w:rFonts w:ascii="Times New Roman;serif" w:hAnsi="Times New Roman;serif"/>
          <w:b w:val="false"/>
          <w:color w:val="000000"/>
          <w:sz w:val="24"/>
        </w:rPr>
        <w:t xml:space="preserve">Stable value collective trusts are stated at fair value based on the NAV of the underlying investments, as reported to the Plan by the contract issuer. The NAV, as provided by Fidelity Management Trust Company, is used as a practical expedient to estimate fair value.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following tables set forth by level, within the fair value hierarchy, the Plan’s investments at fair value as of December 31,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- 9 -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NOTE 3 - Fair Value Measurements (Continued)</w:t>
      </w:r>
    </w:p>
    <w:p>
      <w:pPr>
        <w:pStyle w:val="TextBody"/>
        <w:bidi w:val="0"/>
        <w:spacing w:before="0" w:after="0"/>
        <w:jc w:val="both"/>
        <w:rPr/>
      </w:pPr>
      <w:r>
        <w:rPr/>
      </w:r>
    </w:p>
    <w:tbl>
      <w:tblPr>
        <w:tblW w:w="9569" w:type="dxa"/>
        <w:jc w:val="left"/>
        <w:tblInd w:w="0" w:type="dxa"/>
        <w:tblLayout w:type="fixed"/>
        <w:tblCellMar>
          <w:top w:w="28" w:type="dxa"/>
          <w:left w:w="28" w:type="dxa"/>
          <w:bottom w:w="28" w:type="dxa"/>
          <w:right w:w="28" w:type="dxa"/>
        </w:tblCellMar>
      </w:tblPr>
      <w:tblGrid>
        <w:gridCol w:w="1340"/>
        <w:gridCol w:w="1178"/>
        <w:gridCol w:w="1186"/>
        <w:gridCol w:w="213"/>
        <w:gridCol w:w="988"/>
        <w:gridCol w:w="110"/>
        <w:gridCol w:w="109"/>
        <w:gridCol w:w="109"/>
        <w:gridCol w:w="109"/>
        <w:gridCol w:w="211"/>
        <w:gridCol w:w="1081"/>
        <w:gridCol w:w="109"/>
        <w:gridCol w:w="109"/>
        <w:gridCol w:w="109"/>
        <w:gridCol w:w="109"/>
        <w:gridCol w:w="211"/>
        <w:gridCol w:w="406"/>
        <w:gridCol w:w="109"/>
        <w:gridCol w:w="109"/>
        <w:gridCol w:w="109"/>
        <w:gridCol w:w="109"/>
        <w:gridCol w:w="211"/>
        <w:gridCol w:w="108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Investments at Fair Value (in thousands) as of December 31, 2025</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w:t>
            </w:r>
          </w:p>
        </w:tc>
        <w:tc>
          <w:tcPr>
            <w:tcW w:w="21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4,739,578 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4,739,578 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investment companies</w:t>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BrokerageLink</w:t>
            </w:r>
          </w:p>
        </w:tc>
        <w:tc>
          <w:tcPr>
            <w:tcW w:w="1201"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689,002 </w:t>
            </w:r>
          </w:p>
        </w:tc>
        <w:tc>
          <w:tcPr>
            <w:tcW w:w="11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689,002 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collective investment funds</w:t>
            </w:r>
          </w:p>
        </w:tc>
        <w:tc>
          <w:tcPr>
            <w:tcW w:w="12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15,811,760 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15,811,760 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Separate account (Dodge &amp; Cox):</w:t>
            </w:r>
          </w:p>
        </w:tc>
        <w:tc>
          <w:tcPr>
            <w:tcW w:w="131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Preferred stock</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bonds</w:t>
            </w:r>
          </w:p>
        </w:tc>
        <w:tc>
          <w:tcPr>
            <w:tcW w:w="120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200,527 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200,527 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Mortgage backed securities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Government securities</w:t>
            </w:r>
          </w:p>
        </w:tc>
        <w:tc>
          <w:tcPr>
            <w:tcW w:w="120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104,105 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backed securities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equivalents</w:t>
            </w:r>
          </w:p>
        </w:tc>
        <w:tc>
          <w:tcPr>
            <w:tcW w:w="120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Unsettled sales &amp; purchases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Chevron Stable Value Separate Account (Putnam):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equivalents</w:t>
            </w:r>
          </w:p>
        </w:tc>
        <w:tc>
          <w:tcPr>
            <w:tcW w:w="120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Unsettled sales &amp; purchases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the fair value hierarchy</w:t>
            </w:r>
          </w:p>
        </w:tc>
        <w:tc>
          <w:tcPr>
            <w:tcW w:w="21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5,428,580 </w:t>
            </w:r>
          </w:p>
        </w:tc>
        <w:tc>
          <w:tcPr>
            <w:tcW w:w="11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16,481,900 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21,910,480 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21,910,480 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TextBody"/>
        <w:bidi w:val="0"/>
        <w:spacing w:before="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- 10 -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color w:val="000000"/>
          <w:sz w:val="24"/>
        </w:rPr>
      </w:pPr>
      <w:r>
        <w:rPr>
          <w:rFonts w:ascii="Times New Roman;serif" w:hAnsi="Times New Roman;serif"/>
          <w:b/>
          <w:color w:val="000000"/>
          <w:sz w:val="24"/>
        </w:rPr>
        <w:t>NOTE 3 - Fair Value Measurements (Continued)</w:t>
      </w:r>
    </w:p>
    <w:p>
      <w:pPr>
        <w:pStyle w:val="TextBody"/>
        <w:bidi w:val="0"/>
        <w:spacing w:before="0" w:after="120"/>
        <w:jc w:val="both"/>
        <w:rPr/>
      </w:pPr>
      <w:r>
        <w:rPr/>
      </w:r>
    </w:p>
    <w:tbl>
      <w:tblPr>
        <w:tblW w:w="9569" w:type="dxa"/>
        <w:jc w:val="left"/>
        <w:tblInd w:w="0" w:type="dxa"/>
        <w:tblLayout w:type="fixed"/>
        <w:tblCellMar>
          <w:top w:w="28" w:type="dxa"/>
          <w:left w:w="28" w:type="dxa"/>
          <w:bottom w:w="28" w:type="dxa"/>
          <w:right w:w="28" w:type="dxa"/>
        </w:tblCellMar>
      </w:tblPr>
      <w:tblGrid>
        <w:gridCol w:w="1340"/>
        <w:gridCol w:w="1178"/>
        <w:gridCol w:w="1186"/>
        <w:gridCol w:w="213"/>
        <w:gridCol w:w="988"/>
        <w:gridCol w:w="110"/>
        <w:gridCol w:w="109"/>
        <w:gridCol w:w="109"/>
        <w:gridCol w:w="109"/>
        <w:gridCol w:w="211"/>
        <w:gridCol w:w="1081"/>
        <w:gridCol w:w="109"/>
        <w:gridCol w:w="109"/>
        <w:gridCol w:w="109"/>
        <w:gridCol w:w="109"/>
        <w:gridCol w:w="211"/>
        <w:gridCol w:w="406"/>
        <w:gridCol w:w="109"/>
        <w:gridCol w:w="109"/>
        <w:gridCol w:w="109"/>
        <w:gridCol w:w="109"/>
        <w:gridCol w:w="211"/>
        <w:gridCol w:w="1081"/>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Investments at Fair Value (in thousands) as of December 31, 2024</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stocks</w:t>
            </w:r>
          </w:p>
        </w:tc>
        <w:tc>
          <w:tcPr>
            <w:tcW w:w="213"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4,807,816 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4,807,816 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Registered investment companies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Fidelity BrokerageLink</w:t>
            </w:r>
          </w:p>
        </w:tc>
        <w:tc>
          <w:tcPr>
            <w:tcW w:w="1201"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583,833 </w:t>
            </w:r>
          </w:p>
        </w:tc>
        <w:tc>
          <w:tcPr>
            <w:tcW w:w="11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583,833 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collective investment funds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14,018,594 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14,018,594 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Separate account (Dodge &amp; Cox):</w:t>
            </w:r>
          </w:p>
        </w:tc>
        <w:tc>
          <w:tcPr>
            <w:tcW w:w="131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Preferred stock</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Corporate bonds</w:t>
            </w:r>
          </w:p>
        </w:tc>
        <w:tc>
          <w:tcPr>
            <w:tcW w:w="120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180,702 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Mortgage backed securities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Government securities</w:t>
            </w:r>
          </w:p>
        </w:tc>
        <w:tc>
          <w:tcPr>
            <w:tcW w:w="120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111,532 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111,532 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backed securities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equivalents</w:t>
            </w:r>
          </w:p>
        </w:tc>
        <w:tc>
          <w:tcPr>
            <w:tcW w:w="120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Unsettled sales &amp; purchases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Chevron Stable Value Separate Account (Putnam):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equivalents</w:t>
            </w:r>
          </w:p>
        </w:tc>
        <w:tc>
          <w:tcPr>
            <w:tcW w:w="1201"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Unsettled sales &amp; purchases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in the fair value hierarchy</w:t>
            </w:r>
          </w:p>
        </w:tc>
        <w:tc>
          <w:tcPr>
            <w:tcW w:w="21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5,391,865 </w:t>
            </w:r>
          </w:p>
        </w:tc>
        <w:tc>
          <w:tcPr>
            <w:tcW w:w="11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14,651,586 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20,043,451 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Investments at NAV </w:t>
            </w:r>
            <w:r>
              <w:rPr>
                <w:rFonts w:ascii="Times New Roman;serif" w:hAnsi="Times New Roman;serif"/>
                <w:b w:val="false"/>
                <w:color w:val="000000"/>
                <w:sz w:val="13"/>
              </w:rPr>
              <w:t>(a)</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131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20,044,135 </w:t>
            </w:r>
          </w:p>
        </w:tc>
        <w:tc>
          <w:tcPr>
            <w:tcW w:w="154"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In accordance with Topic 820, certain investments that were measured at net asset value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- 11 -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68" w:before="0" w:after="120"/>
        <w:jc w:val="both"/>
        <w:rPr>
          <w:rFonts w:ascii="Times New Roman;serif" w:hAnsi="Times New Roman;serif"/>
          <w:b/>
          <w:color w:val="000000"/>
          <w:sz w:val="24"/>
        </w:rPr>
      </w:pPr>
      <w:r>
        <w:rPr>
          <w:rFonts w:ascii="Times New Roman;serif" w:hAnsi="Times New Roman;serif"/>
          <w:b/>
          <w:color w:val="000000"/>
          <w:sz w:val="24"/>
        </w:rPr>
        <w:t>NOTE 3 - Fair Value Measurements (Continued)</w:t>
      </w:r>
    </w:p>
    <w:p>
      <w:pPr>
        <w:pStyle w:val="TextBody"/>
        <w:bidi w:val="0"/>
        <w:spacing w:lineRule="auto" w:line="268" w:before="0" w:after="120"/>
        <w:jc w:val="both"/>
        <w:rPr>
          <w:rFonts w:ascii="Times New Roman;serif" w:hAnsi="Times New Roman;serif"/>
          <w:b w:val="false"/>
          <w:color w:val="000000"/>
          <w:sz w:val="24"/>
        </w:rPr>
      </w:pPr>
      <w:r>
        <w:rPr>
          <w:rFonts w:ascii="Times New Roman;serif" w:hAnsi="Times New Roman;serif"/>
          <w:b w:val="false"/>
          <w:color w:val="000000"/>
          <w:sz w:val="24"/>
        </w:rPr>
        <w:t xml:space="preserve">The following table summarizes investments for which fair value is measured using NAV per share practical expedient as of December 31, 2024. Redemption restrictions are reported above in Note 1, Stable Value Fund Equity Wash; the redemption notice period is applicable only to the Plan.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7"/>
        <w:gridCol w:w="639"/>
        <w:gridCol w:w="641"/>
        <w:gridCol w:w="567"/>
        <w:gridCol w:w="1255"/>
        <w:gridCol w:w="298"/>
        <w:gridCol w:w="109"/>
        <w:gridCol w:w="109"/>
        <w:gridCol w:w="109"/>
        <w:gridCol w:w="569"/>
        <w:gridCol w:w="569"/>
        <w:gridCol w:w="571"/>
        <w:gridCol w:w="109"/>
        <w:gridCol w:w="109"/>
        <w:gridCol w:w="109"/>
        <w:gridCol w:w="532"/>
        <w:gridCol w:w="532"/>
        <w:gridCol w:w="534"/>
        <w:gridCol w:w="109"/>
        <w:gridCol w:w="109"/>
        <w:gridCol w:w="109"/>
        <w:gridCol w:w="521"/>
        <w:gridCol w:w="521"/>
        <w:gridCol w:w="748"/>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December 31, 2024 Fair Value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Unfunded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Redemption Notice Period</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7" w:type="dxa"/>
            <w:gridSpan w:val="6"/>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Stable value collective investment funds:</w:t>
            </w:r>
          </w:p>
        </w:tc>
        <w:tc>
          <w:tcPr>
            <w:tcW w:w="2036" w:type="dxa"/>
            <w:gridSpan w:val="6"/>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6"/>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6"/>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Associated Benefits Corporation</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w:t>
            </w:r>
          </w:p>
        </w:tc>
      </w:tr>
      <w:tr>
        <w:trPr/>
        <w:tc>
          <w:tcPr>
            <w:tcW w:w="2007"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Associated Benefits Corporation</w:t>
            </w:r>
          </w:p>
        </w:tc>
        <w:tc>
          <w:tcPr>
            <w:tcW w:w="567" w:type="dxa"/>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29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Daily</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NOTE 4 -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 December 31, 2025, the following broad range of investment options were utilized by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Target Date Retirement Funds</w:t>
      </w:r>
    </w:p>
    <w:tbl>
      <w:tblPr>
        <w:tblW w:w="6010" w:type="dxa"/>
        <w:jc w:val="center"/>
        <w:tblInd w:w="0" w:type="dxa"/>
        <w:tblLayout w:type="fixed"/>
        <w:tblCellMar>
          <w:top w:w="28" w:type="dxa"/>
          <w:left w:w="28" w:type="dxa"/>
          <w:bottom w:w="28" w:type="dxa"/>
          <w:right w:w="28" w:type="dxa"/>
        </w:tblCellMar>
      </w:tblPr>
      <w:tblGrid>
        <w:gridCol w:w="1682"/>
        <w:gridCol w:w="1475"/>
        <w:gridCol w:w="1492"/>
        <w:gridCol w:w="109"/>
        <w:gridCol w:w="109"/>
        <w:gridCol w:w="109"/>
        <w:gridCol w:w="302"/>
        <w:gridCol w:w="302"/>
        <w:gridCol w:w="430"/>
      </w:tblGrid>
      <w:tr>
        <w:trPr/>
        <w:tc>
          <w:tcPr>
            <w:tcW w:w="16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Type</w:t>
            </w:r>
          </w:p>
        </w:tc>
      </w:tr>
      <w:tr>
        <w:trPr/>
        <w:tc>
          <w:tcPr>
            <w:tcW w:w="464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Retirement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2030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BlackRock LifePath Index 2035 Retirement Account 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2040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2045 Retirement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2050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2055 Retirement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2060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2065 Retirement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2070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bl>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- 12 -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NOTE 4 - Investments (Continued)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Core Funds</w:t>
      </w:r>
    </w:p>
    <w:tbl>
      <w:tblPr>
        <w:tblW w:w="7481" w:type="dxa"/>
        <w:jc w:val="center"/>
        <w:tblInd w:w="0" w:type="dxa"/>
        <w:tblLayout w:type="fixed"/>
        <w:tblCellMar>
          <w:top w:w="28" w:type="dxa"/>
          <w:left w:w="28" w:type="dxa"/>
          <w:bottom w:w="28" w:type="dxa"/>
          <w:right w:w="28" w:type="dxa"/>
        </w:tblCellMar>
      </w:tblPr>
      <w:tblGrid>
        <w:gridCol w:w="1596"/>
        <w:gridCol w:w="1398"/>
        <w:gridCol w:w="1416"/>
        <w:gridCol w:w="109"/>
        <w:gridCol w:w="109"/>
        <w:gridCol w:w="109"/>
        <w:gridCol w:w="801"/>
        <w:gridCol w:w="801"/>
        <w:gridCol w:w="1142"/>
      </w:tblGrid>
      <w:tr>
        <w:trPr/>
        <w:tc>
          <w:tcPr>
            <w:tcW w:w="1596"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Type</w:t>
            </w:r>
          </w:p>
        </w:tc>
      </w:tr>
      <w:tr>
        <w:trPr/>
        <w:tc>
          <w:tcPr>
            <w:tcW w:w="441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U.S. Debt Index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Fixed Income</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Equity Index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Large-Cap Stock</w:t>
            </w:r>
          </w:p>
        </w:tc>
      </w:tr>
      <w:tr>
        <w:trPr/>
        <w:tc>
          <w:tcPr>
            <w:tcW w:w="44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Extended Equity Market Fund M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 &amp; Mid-Cap Growth Stock</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MSCI ACWI ex-U.S. Index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International Stock</w:t>
            </w:r>
          </w:p>
        </w:tc>
      </w:tr>
      <w:tr>
        <w:trPr/>
        <w:tc>
          <w:tcPr>
            <w:tcW w:w="44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Gov’t Short-Term Investment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Money Market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Chevron Stable Value Separate Account (Putnam)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Fixed Income</w:t>
            </w:r>
          </w:p>
        </w:tc>
      </w:tr>
      <w:tr>
        <w:trPr/>
        <w:tc>
          <w:tcPr>
            <w:tcW w:w="44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Principal Diversified Real Asset CIT Tier 3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Real Assets</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EARNEST Partners Smid Cap Core Fund Class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 &amp; Midcap Stock</w:t>
            </w:r>
          </w:p>
        </w:tc>
      </w:tr>
      <w:tr>
        <w:trPr/>
        <w:tc>
          <w:tcPr>
            <w:tcW w:w="4410"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Separate Account (Dodge &amp; Cox)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Fixed Income</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Capital Group EuroPacific Growth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International Stock</w:t>
            </w:r>
          </w:p>
        </w:tc>
      </w:tr>
      <w:tr>
        <w:trPr/>
        <w:tc>
          <w:tcPr>
            <w:tcW w:w="4410" w:type="dxa"/>
            <w:gridSpan w:val="3"/>
            <w:tcBorders/>
            <w:shd w:fill="BFE4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Associated Benefits Corporation Stable Value Fund </w:t>
            </w:r>
            <w:r>
              <w:rPr>
                <w:rFonts w:ascii="Times New Roman;serif" w:hAnsi="Times New Roman;serif"/>
                <w:b w:val="false"/>
                <w:color w:val="000000"/>
                <w:sz w:val="12"/>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r>
    </w:tbl>
    <w:p>
      <w:pPr>
        <w:pStyle w:val="TextBody"/>
        <w:bidi w:val="0"/>
        <w:spacing w:before="0" w:after="0"/>
        <w:jc w:val="center"/>
        <w:rPr/>
      </w:pPr>
      <w:r>
        <w:rPr/>
      </w:r>
    </w:p>
    <w:p>
      <w:pPr>
        <w:pStyle w:val="TextBody"/>
        <w:bidi w:val="0"/>
        <w:spacing w:lineRule="auto" w:line="247" w:before="0" w:after="0"/>
        <w:ind w:left="0" w:right="0" w:hanging="72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Residual values; no longer available for participant investment.</w:t>
      </w:r>
    </w:p>
    <w:p>
      <w:pPr>
        <w:pStyle w:val="TextBody"/>
        <w:bidi w:val="0"/>
        <w:spacing w:before="0" w:after="0"/>
        <w:jc w:val="left"/>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Chevron Stock</w:t>
      </w:r>
    </w:p>
    <w:tbl>
      <w:tblPr>
        <w:tblW w:w="4017" w:type="dxa"/>
        <w:jc w:val="center"/>
        <w:tblInd w:w="0" w:type="dxa"/>
        <w:tblLayout w:type="fixed"/>
        <w:tblCellMar>
          <w:top w:w="28" w:type="dxa"/>
          <w:left w:w="28" w:type="dxa"/>
          <w:bottom w:w="28" w:type="dxa"/>
          <w:right w:w="28" w:type="dxa"/>
        </w:tblCellMar>
      </w:tblPr>
      <w:tblGrid>
        <w:gridCol w:w="809"/>
        <w:gridCol w:w="709"/>
        <w:gridCol w:w="717"/>
        <w:gridCol w:w="109"/>
        <w:gridCol w:w="109"/>
        <w:gridCol w:w="109"/>
        <w:gridCol w:w="425"/>
        <w:gridCol w:w="425"/>
        <w:gridCol w:w="605"/>
      </w:tblGrid>
      <w:tr>
        <w:trPr/>
        <w:tc>
          <w:tcPr>
            <w:tcW w:w="8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Type</w:t>
            </w:r>
          </w:p>
        </w:tc>
      </w:tr>
      <w:tr>
        <w:trPr/>
        <w:tc>
          <w:tcPr>
            <w:tcW w:w="223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Chevron Leveraged ESOP</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Company Stock</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Chevron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Company Stock</w:t>
            </w:r>
          </w:p>
        </w:tc>
      </w:tr>
    </w:tbl>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- 13 -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lineRule="auto" w:line="247"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NOTE 4 - Investments (Continued)</w:t>
      </w:r>
    </w:p>
    <w:p>
      <w:pPr>
        <w:pStyle w:val="TextBody"/>
        <w:bidi w:val="0"/>
        <w:spacing w:before="0" w:after="0"/>
        <w:jc w:val="both"/>
        <w:rPr/>
      </w:pPr>
      <w:r>
        <w:rPr/>
      </w:r>
    </w:p>
    <w:p>
      <w:pPr>
        <w:pStyle w:val="TextBody"/>
        <w:bidi w:val="0"/>
        <w:spacing w:lineRule="auto" w:line="247" w:before="0" w:after="0"/>
        <w:jc w:val="left"/>
        <w:rPr>
          <w:rFonts w:ascii="Times New Roman;serif" w:hAnsi="Times New Roman;serif"/>
          <w:b w:val="false"/>
          <w:color w:val="000000"/>
          <w:sz w:val="24"/>
        </w:rPr>
      </w:pPr>
      <w:r>
        <w:rPr>
          <w:rFonts w:ascii="Times New Roman;serif" w:hAnsi="Times New Roman;serif"/>
          <w:b w:val="false"/>
          <w:color w:val="000000"/>
          <w:sz w:val="24"/>
        </w:rPr>
        <w:t>At December 31, 2024, the following broad range of investment options were utilized by the Plan: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 xml:space="preserve">Target Date Retirement Funds </w:t>
      </w:r>
    </w:p>
    <w:tbl>
      <w:tblPr>
        <w:tblW w:w="6010" w:type="dxa"/>
        <w:jc w:val="center"/>
        <w:tblInd w:w="0" w:type="dxa"/>
        <w:tblLayout w:type="fixed"/>
        <w:tblCellMar>
          <w:top w:w="28" w:type="dxa"/>
          <w:left w:w="28" w:type="dxa"/>
          <w:bottom w:w="28" w:type="dxa"/>
          <w:right w:w="28" w:type="dxa"/>
        </w:tblCellMar>
      </w:tblPr>
      <w:tblGrid>
        <w:gridCol w:w="1682"/>
        <w:gridCol w:w="1475"/>
        <w:gridCol w:w="1492"/>
        <w:gridCol w:w="109"/>
        <w:gridCol w:w="109"/>
        <w:gridCol w:w="109"/>
        <w:gridCol w:w="302"/>
        <w:gridCol w:w="302"/>
        <w:gridCol w:w="430"/>
      </w:tblGrid>
      <w:tr>
        <w:trPr/>
        <w:tc>
          <w:tcPr>
            <w:tcW w:w="1682"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Type</w:t>
            </w:r>
          </w:p>
        </w:tc>
      </w:tr>
      <w:tr>
        <w:trPr/>
        <w:tc>
          <w:tcPr>
            <w:tcW w:w="464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Retirement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2030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BlackRock LifePath Index 2035 Retirement Account C</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2040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2045 Retirement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2050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2055 Retirement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2060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2065 Retirement Account C </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LifePath Index 2070 Retirement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Balanced</w:t>
            </w:r>
          </w:p>
        </w:tc>
      </w:tr>
    </w:tbl>
    <w:p>
      <w:pPr>
        <w:pStyle w:val="TextBody"/>
        <w:bidi w:val="0"/>
        <w:spacing w:before="0" w:after="0"/>
        <w:jc w:val="left"/>
        <w:rPr/>
      </w:pPr>
      <w:r>
        <w:rPr/>
      </w:r>
    </w:p>
    <w:p>
      <w:pPr>
        <w:pStyle w:val="TextBody"/>
        <w:bidi w:val="0"/>
        <w:spacing w:before="0" w:after="0"/>
        <w:ind w:left="0" w:right="0" w:hanging="720"/>
        <w:jc w:val="both"/>
        <w:rPr/>
      </w:pPr>
      <w:r>
        <w:rPr/>
      </w:r>
    </w:p>
    <w:p>
      <w:pPr>
        <w:pStyle w:val="TextBody"/>
        <w:bidi w:val="0"/>
        <w:spacing w:before="0" w:after="0"/>
        <w:jc w:val="both"/>
        <w:rPr/>
      </w:pPr>
      <w:r>
        <w:rPr/>
      </w:r>
    </w:p>
    <w:p>
      <w:pPr>
        <w:pStyle w:val="TextBody"/>
        <w:bidi w:val="0"/>
        <w:spacing w:lineRule="auto" w:line="288" w:before="0" w:after="0"/>
        <w:ind w:left="0" w:right="0" w:hanging="720"/>
        <w:jc w:val="left"/>
        <w:rPr>
          <w:rFonts w:ascii="Times New Roman;serif" w:hAnsi="Times New Roman;serif"/>
          <w:b/>
          <w:color w:val="000000"/>
          <w:sz w:val="24"/>
        </w:rPr>
      </w:pPr>
      <w:r>
        <w:rPr>
          <w:rFonts w:ascii="Times New Roman;serif" w:hAnsi="Times New Roman;serif"/>
          <w:b/>
          <w:color w:val="000000"/>
          <w:sz w:val="24"/>
        </w:rPr>
        <w:t>Core Funds</w:t>
      </w:r>
    </w:p>
    <w:tbl>
      <w:tblPr>
        <w:tblW w:w="7481" w:type="dxa"/>
        <w:jc w:val="center"/>
        <w:tblInd w:w="0" w:type="dxa"/>
        <w:tblLayout w:type="fixed"/>
        <w:tblCellMar>
          <w:top w:w="28" w:type="dxa"/>
          <w:left w:w="28" w:type="dxa"/>
          <w:bottom w:w="28" w:type="dxa"/>
          <w:right w:w="28" w:type="dxa"/>
        </w:tblCellMar>
      </w:tblPr>
      <w:tblGrid>
        <w:gridCol w:w="1596"/>
        <w:gridCol w:w="1399"/>
        <w:gridCol w:w="1415"/>
        <w:gridCol w:w="109"/>
        <w:gridCol w:w="109"/>
        <w:gridCol w:w="109"/>
        <w:gridCol w:w="801"/>
        <w:gridCol w:w="801"/>
        <w:gridCol w:w="1142"/>
      </w:tblGrid>
      <w:tr>
        <w:trPr/>
        <w:tc>
          <w:tcPr>
            <w:tcW w:w="1596"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Type</w:t>
            </w:r>
          </w:p>
        </w:tc>
      </w:tr>
      <w:tr>
        <w:trPr/>
        <w:tc>
          <w:tcPr>
            <w:tcW w:w="4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BlackRock U.S. Debt Index Account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Fixed Income</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Equity Index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Large-Cap Stock</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Extended Equity Market Fund M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 &amp; Mid-Cap Growth Stock</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MSCI ACWI ex-U.S. Index Account 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International Stock</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BlackRock Gov’t Short-Term Investment Account 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Money Market</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Chevron Stable Value Separate Account (Putnam)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Fixed Income</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Principal Diversified Real Asset CIT Tier 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Real Assets</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EARNEST Partners Smid Cap Core Fund Class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Small &amp; Midcap Stock</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Separate Account (Dodge &amp; Cox)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Fixed Income</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Capital Group EuroPacific Growth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International Stock</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Associated Benefits Corporation Stable Value Fund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Fixed Income</w:t>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Vanguard Federal Money Market Fund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Money Market</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Fidelity Managed Income Portfolio (MIP CL2)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Fixed Income</w:t>
            </w:r>
          </w:p>
        </w:tc>
      </w:tr>
    </w:tbl>
    <w:p>
      <w:pPr>
        <w:pStyle w:val="TextBody"/>
        <w:bidi w:val="0"/>
        <w:spacing w:before="0" w:after="0"/>
        <w:ind w:left="0" w:right="0" w:hanging="720"/>
        <w:jc w:val="center"/>
        <w:rPr/>
      </w:pPr>
      <w:r>
        <w:rPr/>
      </w:r>
    </w:p>
    <w:p>
      <w:pPr>
        <w:pStyle w:val="TextBody"/>
        <w:bidi w:val="0"/>
        <w:spacing w:lineRule="auto" w:line="26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 xml:space="preserve">Residual values; no longer available for participant investment. </w:t>
      </w:r>
    </w:p>
    <w:p>
      <w:pPr>
        <w:pStyle w:val="TextBody"/>
        <w:bidi w:val="0"/>
        <w:spacing w:lineRule="auto" w:line="244" w:before="0" w:after="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Fund transferred to the Chevron ESIP from PDC Energy on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- 14 -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NOTE 4 - Investments (Continued)</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Chevron Stock</w:t>
      </w:r>
    </w:p>
    <w:tbl>
      <w:tblPr>
        <w:tblW w:w="4017" w:type="dxa"/>
        <w:jc w:val="center"/>
        <w:tblInd w:w="0" w:type="dxa"/>
        <w:tblLayout w:type="fixed"/>
        <w:tblCellMar>
          <w:top w:w="28" w:type="dxa"/>
          <w:left w:w="28" w:type="dxa"/>
          <w:bottom w:w="28" w:type="dxa"/>
          <w:right w:w="28" w:type="dxa"/>
        </w:tblCellMar>
      </w:tblPr>
      <w:tblGrid>
        <w:gridCol w:w="809"/>
        <w:gridCol w:w="709"/>
        <w:gridCol w:w="717"/>
        <w:gridCol w:w="109"/>
        <w:gridCol w:w="109"/>
        <w:gridCol w:w="109"/>
        <w:gridCol w:w="425"/>
        <w:gridCol w:w="425"/>
        <w:gridCol w:w="605"/>
      </w:tblGrid>
      <w:tr>
        <w:trPr/>
        <w:tc>
          <w:tcPr>
            <w:tcW w:w="8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 Type</w:t>
            </w:r>
          </w:p>
        </w:tc>
      </w:tr>
      <w:tr>
        <w:trPr/>
        <w:tc>
          <w:tcPr>
            <w:tcW w:w="223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Chevron Leveraged ESOP</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Company Stock</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Chevron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Company Stock</w:t>
            </w:r>
          </w:p>
        </w:tc>
      </w:tr>
    </w:tbl>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Fidelity BrokerageLink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Through the Fidelity Brokerage Services, LLC, a participant may choose from approximately 10,000 mutual funds from Fidelity and other companies, and Exchange-Traded Funds that are not included in the core or supplemental investment funds. There is no annual fee charged to participants who use this option. Within each fund offered in the Fidelity BrokerageLink, additional fees may be charged, either accrued within a fund’s pooled price or charged directly on deposits or withdrawals depending upon the investment.</w:t>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Chevron Stable Value Separate Account (Putnam)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investments that make up the Chevron Stable Value Separate Account (Putnam) are held by the Plan in a separate account with the Plan’s recordkeeper. These investments are primarily high-quality guaranteed investment contracts (GICs) and security-backed investment contracts (SBICs) also referred to as a synthetic GIC. GICs are issued by insurance companies which guarantee the return of principal and a stated rate of interest (Contract Value). SBICs are comprised of two components: investment contracts issued by a financial institution and underlying portfolios of fixed income securities whose market prices fluctuate. The investment contract component of the SBIC is designed to allow participants to transact at Contract Value without reference to the price fluctuations of the underlying fixed income securities. Therefore, GICs and SBICs are normally valued at Contract Value.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key difference between a synthetic investment contract and a traditional investment contract is that the Plan owns the underlying assets of the synthetic investment contract. A synthetic investment contract includes a wrapper contract, which is an agreement for the wrap issuer, such as a bank or insurance company, to make payments to the Plan in certain circumstances. The wrapper contract typically includes certain conditions and limitations on the underlying assets owned by the Plan. With traditional investment contracts, the Plan owns only the contract itself. Synthetic and traditional investment contracts are designed to accrue interest based on crediting rates established by the contract issuers.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- 15 -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68" w:before="0" w:after="0"/>
        <w:ind w:left="0" w:right="0" w:hanging="720"/>
        <w:jc w:val="both"/>
        <w:rPr>
          <w:rFonts w:ascii="Times New Roman;serif" w:hAnsi="Times New Roman;serif"/>
          <w:b/>
          <w:color w:val="000000"/>
          <w:sz w:val="24"/>
        </w:rPr>
      </w:pPr>
      <w:r>
        <w:rPr>
          <w:rFonts w:ascii="Times New Roman;serif" w:hAnsi="Times New Roman;serif"/>
          <w:b/>
          <w:color w:val="000000"/>
          <w:sz w:val="24"/>
        </w:rPr>
        <w:t>NOTE 4 - Investments (Continued)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synthetic investment contracts held by the Plan include wrapper contracts that provide a guarantee that the credit rate will not fall below 0 percent. Cash flow volatility (for example, timing of benefit payments) as well as asset underperformance can be passed through to the Plan through adjustments to future contract crediting rates. Formulas are provided in each contract that adjusts renewal crediting rates to recognize the difference between the fair value and the book value of the underlying assets. Crediting rates are reviewed monthly for resetting.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Both the contracts that back GICs and SBICs are not tradable on any secondary market; however, they are fully benefit-responsive to Plan-permitted transactions, which allows participants to initiate withdrawals, loans or transfers to other funds within the Plan at Contract Value. Franklin Templeton, on behalf of the Plan, negotiates both GIC and SBIC contracts with certain employer-initiated transaction provisions (e.g., allowances for targeted layoffs and reorganizations) that make it unlikely that any event would occur that would limit a participant’s ability to transact at Contract Value. There currently are no events that limit the ability to transact at contract value.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only events or circumstances that would allow issuers to immediately terminate one of the Plan’s GICs or SBICs at an amount different from Contract Value would be if they were provided with willfully fraudulent information about the Plan. Issuers, in some cases, have provisions that allow them to terminate at book value over a specified period of time.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Total Contract Value for GICs and SBICs held directly by the Plan is as follows (in thousands):</w:t>
      </w:r>
    </w:p>
    <w:tbl>
      <w:tblPr>
        <w:tblW w:w="7495" w:type="dxa"/>
        <w:jc w:val="left"/>
        <w:tblInd w:w="0" w:type="dxa"/>
        <w:tblLayout w:type="fixed"/>
        <w:tblCellMar>
          <w:top w:w="28" w:type="dxa"/>
          <w:left w:w="28" w:type="dxa"/>
          <w:bottom w:w="28" w:type="dxa"/>
          <w:right w:w="28" w:type="dxa"/>
        </w:tblCellMar>
      </w:tblPr>
      <w:tblGrid>
        <w:gridCol w:w="1914"/>
        <w:gridCol w:w="1677"/>
        <w:gridCol w:w="1688"/>
        <w:gridCol w:w="293"/>
        <w:gridCol w:w="293"/>
        <w:gridCol w:w="300"/>
        <w:gridCol w:w="133"/>
        <w:gridCol w:w="133"/>
        <w:gridCol w:w="133"/>
        <w:gridCol w:w="271"/>
        <w:gridCol w:w="271"/>
        <w:gridCol w:w="389"/>
      </w:tblGrid>
      <w:tr>
        <w:trPr/>
        <w:tc>
          <w:tcPr>
            <w:tcW w:w="1914"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2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Investment Contracts (GICs)</w:t>
            </w:r>
          </w:p>
        </w:tc>
        <w:tc>
          <w:tcPr>
            <w:tcW w:w="88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$56,314</w:t>
            </w:r>
          </w:p>
        </w:tc>
        <w:tc>
          <w:tcPr>
            <w:tcW w:w="39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$59,825</w:t>
            </w:r>
          </w:p>
        </w:tc>
      </w:tr>
      <w:tr>
        <w:trPr/>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Security-Backed Investment Contracts (SBICs) (synthetic GICs)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159,738</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151,141</w:t>
            </w:r>
          </w:p>
        </w:tc>
      </w:tr>
      <w:tr>
        <w:trPr/>
        <w:tc>
          <w:tcPr>
            <w:tcW w:w="5279"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Contracts</w:t>
            </w:r>
          </w:p>
        </w:tc>
        <w:tc>
          <w:tcPr>
            <w:tcW w:w="886" w:type="dxa"/>
            <w:gridSpan w:val="3"/>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$216,052</w:t>
            </w:r>
          </w:p>
        </w:tc>
        <w:tc>
          <w:tcPr>
            <w:tcW w:w="39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$210,966</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Chevron Stable Value Separate Account (Putnam) includes cash and cash equivalents as noted on the fair value tables in Note 3, above.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- 16 -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NOTE 5 - Income Taxes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Plan received a determination letter dated October 23, 2013 from the Internal Revenue Service (IRS) stating that the Plan is qualified with the applicable requirements of the Code. Once qualified, the Plan is required to operate in conformity with the Code to maintain its qualification. Subsequent to this issuance of the determination letter, the Plan was restated and amended. The Corporation believes the Plan is being operated in compliance with the applicable requirements of the Code and, therefore, believes that the Plan, as restated and amended, is qualified and the related trust is tax exempt.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Corporation has reviewed the Plan’s administrative procedures and is of the opinion that they are in accordance with technical compliance requirements of ERISA.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U.S. GAAP requires Plan management to evaluate tax positions taken by the Plan and recognize a tax liability (or asset) if the Plan has taken an uncertain tax position that would not meet the more likely than not standard and be-sustained upon examination by the IRS. The Plan administrator has analyzed the tax positions taken by the Plan, and has concluded that as of December 31, 2025 and December 31, 2024, there are no uncertain tax positions taken or expected to be taken that would require recognition of a liability (or asset) or disclosure in the financial statements. The Plan is subject to routine audits by taxing jurisdictions.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NOTE 6 - Risks and Uncertainties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Plan invests in various investment securities. Investment securities are exposed to various risks such as interest rate, market, and credit risks. Due to the level of risk associated with certain investment securities, it is at least reasonably possible that changes, both positive and negative, in the values of investment securities will occur in the near term and that such changes could materially affect participants’ account balances and the amounts reported in the statement of net assets available for benefits.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NOTE 7 - Related Party Transactions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Plan investments include a Separate Account managed by Fidelity and shares of common stock of the Corporation. Transactions with Fidelity, as the trustee and recordkeeper and the Corporation as the Plan Sponsor and Plan Administrator, qualify as party-in-interest transactions. Certain internal and external administrative costs are reimbursed by the Plan to Chevron. In 2025, $358,277 was reimbursed.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As of December 31, 2025 and 2024, the Plan held 31,097,309 and 33,193,767 shares Chevron Corporation common stock, respectively, with a fair value of $4,739,578,577 and $4,807,815,608, respectively. In 2025, $217,223,544 in dividends of Chevron common stock were paid to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- 17 -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CHEVRON EMPLOYEE SAVINGS INVESTMENT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NOTES TO FINANCIAL STATEMENTS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DECEMBER 31, 2025 AND 2024</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NOTE 8 - Subsequent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The Plan has evaluated subsequent events through June 24, 2026, the date the financial statements were available to be issued.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- 18 -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0" w:after="0"/>
        <w:jc w:val="center"/>
        <w:rPr/>
      </w:pPr>
      <w:r>
        <w:rPr/>
      </w:r>
    </w:p>
    <w:p>
      <w:pPr>
        <w:pStyle w:val="TextBody"/>
        <w:bidi w:val="0"/>
        <w:spacing w:before="0" w:after="0"/>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6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21"/>
        <w:gridCol w:w="221"/>
        <w:gridCol w:w="221"/>
        <w:gridCol w:w="745"/>
        <w:gridCol w:w="745"/>
        <w:gridCol w:w="775"/>
        <w:gridCol w:w="109"/>
        <w:gridCol w:w="109"/>
        <w:gridCol w:w="109"/>
        <w:gridCol w:w="179"/>
        <w:gridCol w:w="179"/>
        <w:gridCol w:w="181"/>
        <w:gridCol w:w="379"/>
        <w:gridCol w:w="379"/>
        <w:gridCol w:w="381"/>
        <w:gridCol w:w="109"/>
        <w:gridCol w:w="109"/>
        <w:gridCol w:w="109"/>
        <w:gridCol w:w="487"/>
        <w:gridCol w:w="489"/>
        <w:gridCol w:w="109"/>
        <w:gridCol w:w="109"/>
        <w:gridCol w:w="109"/>
        <w:gridCol w:w="109"/>
        <w:gridCol w:w="109"/>
        <w:gridCol w:w="109"/>
        <w:gridCol w:w="109"/>
        <w:gridCol w:w="109"/>
        <w:gridCol w:w="109"/>
        <w:gridCol w:w="109"/>
        <w:gridCol w:w="181"/>
        <w:gridCol w:w="7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Chevron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31,097,309 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4,739,578 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4,739,578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FIDELITY BROKERAGELINK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689,002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STABLE VALUE COLLECTIVE INVESTMENT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Associated Benefits Corporation Stable Value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STABLE VALUE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COLLECTIVE INVESTMENT FUNDS</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EARNEST Partners Small Midcap Core Fund Class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3,095,333 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Diversified Real Asset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8,593,361 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Retirement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42,632,968 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2030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32,270,938 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438,097 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2035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35,952,620 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509,945 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2040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33,294,821 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2045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35,226,326 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2050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28,106,244 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445,554 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2055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18,366,778 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2060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9,909,466 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2065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5,106,299 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LifePath Index 2070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MSCI ACWI ex-U.S. Index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86,008,705 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Equity Index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438,308,968 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7,439,769 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Extended Equity Market Fund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126,836,508 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1,518,601 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Government Short-Term Invstmnt Acct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1,008,801,986 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BlackRock U.S. Debt Index Account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45,294,033 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Capital Group EuropPacific Growth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17,723,765 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OTHER COLLECTIVE INVESTMENT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15,811,760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SEPARATE ACCOUNT (DODGE &amp; COX)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CITIGROUP CAP XIII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7.875%</w:t>
            </w:r>
          </w:p>
        </w:tc>
        <w:tc>
          <w:tcPr>
            <w:tcW w:w="14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PFD PAR=25</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AT&amp;T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2.55%</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12/01/2033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ELEVANCE HEALTH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5.15%</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06/15/2029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ELEVANCE HEALTH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4.75%</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BAT CAPITAL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6.421%</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08/02/2033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BAT CAPITAL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2.726%</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03/25/2031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BAT CAPITAL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4.742%</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03/16/2032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BNP PARIBAS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4.375%</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05/12/2026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BNP PARIBAS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4.625%</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03/13/2027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BANK OF AMERICA 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4.25%</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BANK OF AMERICA 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3.593%</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07/21/2028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BANK OF AMERICA 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2.496%</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02/13/2031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BANK OF AMERICA 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3.846%</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03/08/2037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BANK OF AMERICA 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4.948%</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07/22/2028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BANK OF AMERICA CORPORATION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4.623%</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05/09/2029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BARCLAYS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4.836%</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05/09/2028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BARCLAYS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5.09%</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06/20/2030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BARCLAYS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5.501%</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08/09/2028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BARCLAYS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7.437%</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11/02/2033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BARCLAYS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5.829%</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05/09/2027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65480"/>
                <wp:effectExtent l="0" t="0" r="0" b="0"/>
                <wp:wrapNone/>
                <wp:docPr id="22" name="Frame22"/>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- 19 -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- 19 -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100" w:after="283"/>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16"/>
        <w:gridCol w:w="1313"/>
        <w:gridCol w:w="1315"/>
        <w:gridCol w:w="109"/>
        <w:gridCol w:w="109"/>
        <w:gridCol w:w="109"/>
        <w:gridCol w:w="178"/>
        <w:gridCol w:w="178"/>
        <w:gridCol w:w="180"/>
        <w:gridCol w:w="473"/>
        <w:gridCol w:w="473"/>
        <w:gridCol w:w="476"/>
        <w:gridCol w:w="109"/>
        <w:gridCol w:w="109"/>
        <w:gridCol w:w="109"/>
        <w:gridCol w:w="360"/>
        <w:gridCol w:w="361"/>
        <w:gridCol w:w="109"/>
        <w:gridCol w:w="109"/>
        <w:gridCol w:w="109"/>
        <w:gridCol w:w="109"/>
        <w:gridCol w:w="109"/>
        <w:gridCol w:w="109"/>
        <w:gridCol w:w="109"/>
        <w:gridCol w:w="109"/>
        <w:gridCol w:w="109"/>
        <w:gridCol w:w="109"/>
        <w:gridCol w:w="232"/>
        <w:gridCol w:w="234"/>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BARCLAYS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6.49%</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09/13/2029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BAYER US FIN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6.25%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01/21/2029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BAYER US FIN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6.375%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11/21/2030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BAYER US FIN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11/21/2033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BAYER US FIN II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12/15/2028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BNP PARIBAS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2.588%</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08/12/2035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BNP PARIBAS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5.786%</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01/13/2033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BNP PARIBAS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5.085%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05/09/2031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BOSTON PROPERTIES LP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3.65%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BOSTON PROPERTIES LP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BOSTON PROPERTIES LP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3.4%</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06/21/2029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BOSTON PROPERTIES LP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01/15/2034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CCO HLDGS LLC/CAP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06/01/2033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CCO HLDGS LLC/CAP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05/01/2032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CIGNA GROUP (THE)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10/15/2028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CIGNA GROUP (THE)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7.875%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05/15/2027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CIGNA GROUP (THE)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2.4%</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CVS HEALTH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4.78%</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03/25/2038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CVS HEALTH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5.05%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03/25/2048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CVS HEALTH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CVS HEALTH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5.125%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02/21/2030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CVS HEALTH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12/10/2054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CVS HEALTH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03/10/2055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4"/>
              </w:rPr>
            </w:pPr>
            <w:r>
              <w:rPr>
                <w:rFonts w:ascii="Times New Roman;serif" w:hAnsi="Times New Roman;serif"/>
                <w:b w:val="false"/>
                <w:color w:val="000000"/>
                <w:sz w:val="14"/>
              </w:rPr>
              <w:t xml:space="preserve">CAPITAL ONE FIN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4.927%</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05/10/2028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CAPITAL ONE FIN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7.624%</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10/30/2031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CAPITAL ONE FIN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5.7%</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02/01/2030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CEMEX SAB DE CV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5.45%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11/19/2029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CEMEX SAB DE CV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09/17/2030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CEMEX SAB DE CV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3.875%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07/11/2031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CHARTER COMMUNICATIONS OPERATING LLC / CHARTER 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CHARTER COMMUNICATIONS OPERATING LLC / CHARTER 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CHARTER COMMUNICATIONS OPERATING LLC / CHARTER 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COMCAST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05/15/2032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COX COMMUNICATIONS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09/15/2026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COX COMMUNICATIONS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08/15/2027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COX COMMUNICATIONS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1.8%</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10/01/2030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COX COMMUNICATIONS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5.45%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09/15/2028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COX COMMUNICATIONS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5.7%</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06/15/2033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UBS GROUP AG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6.327%</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12/22/2027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UBS GROUP AG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6.246%</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09/22/2029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UBS GROUP AG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6.301%</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09/22/2034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DILLARDS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DILLARDS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05/15/2027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DILLARDS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DOMINION ENERGY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6/15/2030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ELANCO ANIMAL HEALTH INC VAR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08/28/2028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ENEL FINANCE INTL NV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10/07/2039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ENEL FINANCE INTL NV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06/15/2032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META PLATFORMS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11/15/2032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META PLATFORMS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4.875%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11/15/2035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FORD MOTOR CREDIT CO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2.7%</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08/10/2026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FORD MOTOR CREDIT CO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7.35%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11/04/2027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FORD MOTOR CREDIT CO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6.8%</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05/12/2028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FORD MOTOR CREDIT CO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6.798%</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FORD MOTOR CREDIT CO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4.542%</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08/01/2026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GE HEALTHCARE TECHNOLOGIES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08/14/2029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GE HEALTHCARE TECHNOLOGIES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5.905%</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11/22/2032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GOLDMAN SACHS GROUP INC (THE)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5.727%</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04/25/2030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GOLDMAN SACHS GROUP INC (THE)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4.937%</w:t>
            </w:r>
          </w:p>
        </w:tc>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04/23/2028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65480"/>
                <wp:effectExtent l="0" t="0" r="0" b="0"/>
                <wp:wrapNone/>
                <wp:docPr id="23" name="Frame23"/>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- 20 -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100" w:after="283"/>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34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89"/>
        <w:gridCol w:w="789"/>
        <w:gridCol w:w="792"/>
        <w:gridCol w:w="109"/>
        <w:gridCol w:w="109"/>
        <w:gridCol w:w="109"/>
        <w:gridCol w:w="179"/>
        <w:gridCol w:w="179"/>
        <w:gridCol w:w="181"/>
        <w:gridCol w:w="379"/>
        <w:gridCol w:w="379"/>
        <w:gridCol w:w="382"/>
        <w:gridCol w:w="109"/>
        <w:gridCol w:w="109"/>
        <w:gridCol w:w="109"/>
        <w:gridCol w:w="360"/>
        <w:gridCol w:w="361"/>
        <w:gridCol w:w="109"/>
        <w:gridCol w:w="109"/>
        <w:gridCol w:w="109"/>
        <w:gridCol w:w="109"/>
        <w:gridCol w:w="109"/>
        <w:gridCol w:w="109"/>
        <w:gridCol w:w="109"/>
        <w:gridCol w:w="109"/>
        <w:gridCol w:w="109"/>
        <w:gridCol w:w="109"/>
        <w:gridCol w:w="232"/>
        <w:gridCol w:w="23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GOLDMAN SACHS GROUP INC (THE)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5.218%</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04/23/2031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GOLDMAN SACHS GROUP INC (THE)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3.615%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03/15/2028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HCA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3.375%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03/15/2029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HCA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HSBC HOLDINGS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05/02/2036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HSBC HOLDINGS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09/15/2037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HSBC HOLDINGS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2.357%</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08/18/2031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HSBC HOLDINGS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4.762%</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03/29/2033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HSBC HOLDINGS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4.755%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06/09/2028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HSBC HOLDINGS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8.113%</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11/03/2033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HSBC HOLDINGS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6.254%</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03/09/2034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HSBC HOLDINGS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5.24%</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05/13/2031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IMPERIAL BRANDS FINANCE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07/26/2026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IMPERIAL BRANDS FINANCE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3.875%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07/26/2029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IMPERIAL BRANDS FINANCE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6.125%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07/27/2027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IMPERIAL BRANDS FINANCE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02/01/2030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IMPERIAL BRANDS FINANCE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5.875%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07/01/2034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IMPERIAL BRANDS FINANCE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06/30/2028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JPMORGAN CHASE &amp; CO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2.739%</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10/15/2030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JPMORGAN CHASE &amp; CO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2.522%</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04/22/2031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JPMORGAN CHASE &amp; CO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2.956%</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05/13/2031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5,770,000 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JPMORGAN CHASE &amp; CO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5.717%</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09/14/2033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JAPAN TOBACCO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05/15/2028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JAPAN TOBACCO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5.21%</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06/15/2030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JAPAN TOBACCO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5.856%</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06/15/2035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KINDER MORGAN ENERGY PTNRS LP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6.95%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01/15/2038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KINDER MORGAN ENERGY PTNRS LP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09/01/2039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KINDER MORGAN INC DEL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LLOYDS BANKING GROUP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7.953%</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11/15/2033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LLOYDS BANKING GROUP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4.818%</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06/13/2029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LLOYDS BANKING GROUP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03/24/2026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MARS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4.45%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03/01/2027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MARS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03/01/2028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MARS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03/01/2030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PROSUS NV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07/06/2027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NATWEST GROUP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1.642%</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06/14/2027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NATWEST GROUP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6.016%</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03/02/2034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NATWEST GROUP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6.475%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06/01/2034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NEXTERA ENERGY CAP HLDGS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4.625%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07/15/2027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NEXTERA ENERGY CAP HLDGS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4.90%</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3/15/2029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NEXTERA ENERGY CAP HLDGS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02/04/2028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NEXTERA ENERGY CAP HLDGS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5.05%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NORDSTROM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6.95%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FIBERCOP SPA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7.2%</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07/18/2036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FIBERCOP SPA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7.721%</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06/04/2038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859,000 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ORACLE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4.2%</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09/27/2029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ORACLE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08/03/2028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PETROLEOS MEXICANOS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6.625%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06/15/2035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PETROLEOS MEXICANOS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6.7%</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02/16/2032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PETROLEOS MEXICANOS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6.75%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09/21/2047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PETROLEOS MEXICANOS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7.69%</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01/23/2050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PHILIP MORRIS INTL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5.125%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PHILIP MORRIS INTL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5.375%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02/15/2033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PHILIP MORRIS INTL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4.875%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02/13/2029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PHILIP MORRIS INTL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5.125%</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02/13/2031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PROSUS NV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3.68%</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01/21/2030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PROSUS NV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3.832%</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02/08/2051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PROSUS NV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3.061%</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07/13/2031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PROSUS NV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4.193%</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01/19/2032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65480"/>
                <wp:effectExtent l="0" t="0" r="0" b="0"/>
                <wp:wrapNone/>
                <wp:docPr id="24" name="Frame24"/>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- 21 -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- 21 -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100" w:after="283"/>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0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23"/>
        <w:gridCol w:w="723"/>
        <w:gridCol w:w="728"/>
        <w:gridCol w:w="109"/>
        <w:gridCol w:w="109"/>
        <w:gridCol w:w="109"/>
        <w:gridCol w:w="179"/>
        <w:gridCol w:w="179"/>
        <w:gridCol w:w="181"/>
        <w:gridCol w:w="479"/>
        <w:gridCol w:w="479"/>
        <w:gridCol w:w="482"/>
        <w:gridCol w:w="109"/>
        <w:gridCol w:w="109"/>
        <w:gridCol w:w="109"/>
        <w:gridCol w:w="360"/>
        <w:gridCol w:w="361"/>
        <w:gridCol w:w="109"/>
        <w:gridCol w:w="109"/>
        <w:gridCol w:w="109"/>
        <w:gridCol w:w="109"/>
        <w:gridCol w:w="109"/>
        <w:gridCol w:w="109"/>
        <w:gridCol w:w="109"/>
        <w:gridCol w:w="109"/>
        <w:gridCol w:w="109"/>
        <w:gridCol w:w="109"/>
        <w:gridCol w:w="308"/>
        <w:gridCol w:w="30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PROSUS NV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4.987%</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01/19/2052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UNUM GROUP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7.25%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RTX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RTX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6.1%</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03/15/2034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RIO OIL FINANCE TRUST SERIES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9.75%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01/06/20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367,999 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RIO OIL FINANCE TR SER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8.2%</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04/06/2028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NATWEST GROUP PLC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4.892%</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05/18/2029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SCHWAB CHARLES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5.643%</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05/19/2029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SCHWAB CHARLES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5.853%</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05/19/2034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SCHWAB CHARLES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6.136%</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08/24/2034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SCHWAB CHARLES CORP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6.196%</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11/17/2029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SOUTHERN COMPANY STEP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08/01/2027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SOUTHERN COMPANY 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5Y+NA 01/15/2051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SOUTHERN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3.75%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09/15/2051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SOUTHERN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06/15/2028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SYNOPSYS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SYNOPSYS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SYNOPSYS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T-MOBILE USA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4.375%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04/15/2040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T-MOBILE USA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3.875%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04/15/2030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T-MOBILE USA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3.375%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04/15/2029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T-MOBILE USA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04/15/2031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T-MOBILE USA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T-MOBILE USA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3.4%</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10/15/2052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TIME WARNER CABLE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7.3%</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TRANSCANADA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5.875%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08/15/2076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TRANSCANADA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5.3%</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03/15/2077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TRANSCANADA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09/15/2079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UBS GROUP AG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5.959%</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01/12/2034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UNUM GROUP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6.75%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12/15/2028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ULTRAPAR INTERNATIONL SA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10/06/2026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ULTRAPAR INTERNATIONL SA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06/06/2029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UNICREDIT SPA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7.296%</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04/02/2034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UNICREDIT SPA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5.459%</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06/30/2035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UNION PAC RR CO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5.866%</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07/02/2030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VERIZON COMMUNICATIONS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1.75%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01/20/2031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VODAFONE GROUP PLC USSW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5+NA 04/04/2079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WELLS FARGO &amp; CO NEW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4.1%</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06/03/2026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WELLS FARGO &amp; CO NEW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2.393%</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06/02/2028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WELLS FARGO &amp; CO NEW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3.35%</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03/02/2033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WELLS FARGO &amp; CO NEW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4.897%</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07/25/2033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WELLS FARGO &amp; CO NEW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5.389%</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04/24/2034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WELLS FARGO &amp; CO NEW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5.198%</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01/23/2030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WELLS FARGO &amp; CO NEW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VAR 01/24/2028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Corporate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Mortgage 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1/35 #G01749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12/32 #G01767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2/35 #G01777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3/34 #G01665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2.37%</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12/01/2050#841677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1,383,046 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2.322%</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05/01/2052#841408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1,704,919 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3.307%</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06/01/2052#841422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3,331,280 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10/26 #G30305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3.326%</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9/33 #1B1150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2.74%</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4/36 #847671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65480"/>
                <wp:effectExtent l="0" t="0" r="0" b="0"/>
                <wp:wrapNone/>
                <wp:docPr id="25" name="Frame25"/>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- 22 -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- 22 -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100" w:after="283"/>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06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86"/>
        <w:gridCol w:w="886"/>
        <w:gridCol w:w="912"/>
        <w:gridCol w:w="109"/>
        <w:gridCol w:w="109"/>
        <w:gridCol w:w="109"/>
        <w:gridCol w:w="179"/>
        <w:gridCol w:w="179"/>
        <w:gridCol w:w="181"/>
        <w:gridCol w:w="464"/>
        <w:gridCol w:w="464"/>
        <w:gridCol w:w="467"/>
        <w:gridCol w:w="109"/>
        <w:gridCol w:w="109"/>
        <w:gridCol w:w="109"/>
        <w:gridCol w:w="396"/>
        <w:gridCol w:w="400"/>
        <w:gridCol w:w="109"/>
        <w:gridCol w:w="109"/>
        <w:gridCol w:w="109"/>
        <w:gridCol w:w="109"/>
        <w:gridCol w:w="109"/>
        <w:gridCol w:w="109"/>
        <w:gridCol w:w="109"/>
        <w:gridCol w:w="109"/>
        <w:gridCol w:w="109"/>
        <w:gridCol w:w="109"/>
        <w:gridCol w:w="268"/>
        <w:gridCol w:w="27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7.00%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11/38 #G05603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1/38 #G06238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2/39 #G06570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1/39 #G06932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1/40 #G07074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09/01/2041#G07568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11/01/2043#G07596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11/01/2035#C91857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10/01/2035#C91853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2.37%</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1/36 #1H2581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2.60%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3/37 #1G2667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5.31%</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7/37 #1G2080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5.23%</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2/38 #1Q0479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4.93%</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6/38 #1Q0556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4.91%</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4/38 #1Q0557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5.09%</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4/38 #1Q0558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07/38#1Q1400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9/37 #H09070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6/38 #H09203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5.43%</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10/38 #848349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2.54%</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01/01/2042#849254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01/45#849625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05/44#2B2591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2.896%</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02/01/45#2B3797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06/01/2034#SB0019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714,352 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04/01/2052#SD1000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9,860,843 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05/01/2052#SD1080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1,341,401 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01/01/2054#SD6706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12,098,746 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02/01/2054#SD7485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2,940,925 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11/01/2050#SD7530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3,559,914 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1,379,554 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06/52#SD8221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15,093,244 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07/01/2052#SD8227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9,956,387 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05/01/2052#SD8214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10,377,767 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10/01/2052#SD8256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6,704,013 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09/01/2052#SD8244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31,412,096 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12/01/2052#SD8274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3,749,188 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12/01/2052#SD8275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6,914,150 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03/47#V83108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06/01/2047#Q48869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308,665 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02/45#G60034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03/47#G61080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1,279,982 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06/01/2052#QE3344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1,900,064 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10/01/2052#QF1212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2,134,153 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11/01/2051#RA6337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10,274,558 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07/01/2052#RA7656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8,394,005 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01/01/2042#RB5141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2,189,905 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08/46#840380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05/45#840402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2.37%</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2/34 #781274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09/36#782735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NAT MTG ASN GTD REM 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12/25/42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1,623,975 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FEDERAL NAT MTG ASN GTD REM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30A+63.448 12/25/43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147,345 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7.00%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11/37 #256985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2/38 #310048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VAR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12/15/2043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2.50%</w:t>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01/15/2044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10,452,951 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VAR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03/15/2044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65480"/>
                <wp:effectExtent l="0" t="0" r="0" b="0"/>
                <wp:wrapNone/>
                <wp:docPr id="26" name="Frame26"/>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- 23 -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- 23 -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100" w:after="283"/>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6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14"/>
        <w:gridCol w:w="914"/>
        <w:gridCol w:w="917"/>
        <w:gridCol w:w="109"/>
        <w:gridCol w:w="109"/>
        <w:gridCol w:w="109"/>
        <w:gridCol w:w="179"/>
        <w:gridCol w:w="179"/>
        <w:gridCol w:w="181"/>
        <w:gridCol w:w="735"/>
        <w:gridCol w:w="735"/>
        <w:gridCol w:w="735"/>
        <w:gridCol w:w="109"/>
        <w:gridCol w:w="109"/>
        <w:gridCol w:w="109"/>
        <w:gridCol w:w="397"/>
        <w:gridCol w:w="399"/>
        <w:gridCol w:w="109"/>
        <w:gridCol w:w="109"/>
        <w:gridCol w:w="109"/>
        <w:gridCol w:w="109"/>
        <w:gridCol w:w="109"/>
        <w:gridCol w:w="109"/>
        <w:gridCol w:w="109"/>
        <w:gridCol w:w="109"/>
        <w:gridCol w:w="109"/>
        <w:gridCol w:w="109"/>
        <w:gridCol w:w="233"/>
        <w:gridCol w:w="2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12/15/20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1,293,250 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VAR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VAR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03/15/2047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2,985,223 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FEDERAL HOME LN MTG MLT CTF 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2,459,930 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FEDERAL HOME LN MTG MLT CTF 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2,121,998 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CSTR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7/25/2027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5,685,139 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08/15/2048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1,688,315 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FEDERAL HOME LN MTG MLT CTF GT 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090 X1 VAR 02/25/29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15,881,433 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FEDERAL HOME LN MTG MLT CTF GT 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CSTR 01/25/2030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7,157,393 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07/25/2041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2,221,842 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HOME LN MTG MLT CTF GT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04/25/2050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884,082 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3/33 #555285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5.79%</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11/37 #AL0144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5.125 10/38 #AL1043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#AL4165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02/44#AL4831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2.99%</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02/01/2044#AL4980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2.569%</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04/01/2044#AL5129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#AL5441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07/01/2042#AL5749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2.719%</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10/01/2044#AL5968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12/01/2029#AL7205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70,357 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09/42#AL7306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09/45#AL7384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02/46#AL9781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02/01/2031#AL9063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226,880 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02/01/2046#AL9128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#AL9407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11/01/2046#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07/46#AL8816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4.031%</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58,887 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FNMA ARM RFT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1Y+156.5 565 03/01/2043#AR6900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2.907%</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09/01/2044#AT7040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05/44#AW4688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2.764%</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12/01/2044#AX2197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10/45#AZ4765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1,450,379 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2/33 #677709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07/25/2042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03/25/2044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06/25/2044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2005-W1 1A3 7 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NAT MTG ASN GTD REM 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5.00%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05/25/2037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2007-W10 1A CSTR 8/47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FNW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2007-W10 2A CSTR 8/47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3312 AB 6.5 6/32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2008-24 GD 6.5 3/37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2009-40 TB 6 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11/25/2040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FEDERAL NAT MTG ASN GTD REM PA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12/25/2030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2/34 #725206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3/34 #725228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3/34 #725330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12/32 #735415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4.83%</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8/35 #735869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2.53%</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1/36 #745303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6/35 #745398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4/34 #745942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2.20%</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8/35 #832257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65480"/>
                <wp:effectExtent l="0" t="0" r="0" b="0"/>
                <wp:wrapNone/>
                <wp:docPr id="27" name="Frame27"/>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- 24 -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- 24 -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100" w:after="283"/>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1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782"/>
        <w:gridCol w:w="782"/>
        <w:gridCol w:w="791"/>
        <w:gridCol w:w="109"/>
        <w:gridCol w:w="109"/>
        <w:gridCol w:w="109"/>
        <w:gridCol w:w="179"/>
        <w:gridCol w:w="179"/>
        <w:gridCol w:w="181"/>
        <w:gridCol w:w="524"/>
        <w:gridCol w:w="524"/>
        <w:gridCol w:w="526"/>
        <w:gridCol w:w="109"/>
        <w:gridCol w:w="109"/>
        <w:gridCol w:w="109"/>
        <w:gridCol w:w="397"/>
        <w:gridCol w:w="399"/>
        <w:gridCol w:w="109"/>
        <w:gridCol w:w="109"/>
        <w:gridCol w:w="109"/>
        <w:gridCol w:w="109"/>
        <w:gridCol w:w="109"/>
        <w:gridCol w:w="109"/>
        <w:gridCol w:w="109"/>
        <w:gridCol w:w="109"/>
        <w:gridCol w:w="109"/>
        <w:gridCol w:w="109"/>
        <w:gridCol w:w="270"/>
        <w:gridCol w:w="2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02/01/2041#BF0199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1,251,647 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10/47#BH9347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06/01/2048#BJ9262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478,526 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01/43#BM1357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3.331%</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03/01/2048#BM3572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02/01/2047#BM3386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681,444 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3.359%</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10/01/2049#BM6149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05/01/2052#BV5583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11/01/2048#CA2643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259,477 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07/01/2050#CA6271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3,658,415 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07/01/2050#CA6329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4,465,709 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07/01/2050#CA6398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2,457,272 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10/01/2052#CB4852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2,246,832 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01/01/2051#FM7599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1,955,151 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03/01/2051#FM8215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3,248,469 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11/01/2051#FM9719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9,447,168 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04/01/2052#FS1443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5,051,513 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09/01/2042#FS3743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2,234,446 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02/01/2054#FS9443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4,538,698 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11/37 #888891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3/36 #888956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12/37 #889886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2.979%</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2/37 #907860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8/37 #995487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9/36 #995575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5.29%</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10/38 #995005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5/36 #995212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12/38 #995694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9/36 #995788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11/1/30 #AB1763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03/01/2034#MA1814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377,953 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09/01/2034 #MA2055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01/01/2035#MA2141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07/01/2035#MA2366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199,857 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04/37#MA2962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337,975 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03/01/2049#MA3617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4.00%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9/31 #MA3894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90,617 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06/01/2052#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1,288,226 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06/01/2052#MA4626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1,732,062 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05/01/2052#MA4600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6,268,366 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07/01/2052#MA4654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5,384,967 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08/01/2052#MA4701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1,869,867 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09/01/2052#MA4732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19,841,875 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09/01/2052#MA4733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5,567,352 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04/01/2053#MA4977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07/01/2053#MA5070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855,258 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12/01/2054#MA5551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5,129,933 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9/38 #AD0198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4/37 #AD0249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12/39 #AD0494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9/39 #AD0650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6/36 #AD0663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7/35 #AD0931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9/38 #AE0012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FNMA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6.50%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1/39 #AE0442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04/01/2053#SL1300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1,644,295 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FHLM ARM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01/01/2053#8C6022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6,501,845 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NAT MTG ASSN HECM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12M+86.513 12/20/1967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972,104 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65480"/>
                <wp:effectExtent l="0" t="0" r="0" b="0"/>
                <wp:wrapNone/>
                <wp:docPr id="28" name="Frame28"/>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- 25 -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- 25 -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100" w:after="283"/>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913"/>
        <w:gridCol w:w="913"/>
        <w:gridCol w:w="915"/>
        <w:gridCol w:w="109"/>
        <w:gridCol w:w="109"/>
        <w:gridCol w:w="109"/>
        <w:gridCol w:w="178"/>
        <w:gridCol w:w="178"/>
        <w:gridCol w:w="180"/>
        <w:gridCol w:w="799"/>
        <w:gridCol w:w="799"/>
        <w:gridCol w:w="802"/>
        <w:gridCol w:w="109"/>
        <w:gridCol w:w="109"/>
        <w:gridCol w:w="109"/>
        <w:gridCol w:w="397"/>
        <w:gridCol w:w="399"/>
        <w:gridCol w:w="109"/>
        <w:gridCol w:w="109"/>
        <w:gridCol w:w="109"/>
        <w:gridCol w:w="109"/>
        <w:gridCol w:w="109"/>
        <w:gridCol w:w="109"/>
        <w:gridCol w:w="109"/>
        <w:gridCol w:w="109"/>
        <w:gridCol w:w="109"/>
        <w:gridCol w:w="109"/>
        <w:gridCol w:w="306"/>
        <w:gridCol w:w="310"/>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GOVERNMENT NAT MTG ASSN HECM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2018-H02 FM TSFR12M+8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968,922 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NAT MTG ASSN HECM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12M+98.513 9/20/1967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662,676 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GNR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2018-H05 FE TSFR12M+78.513 02/68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1,398,189 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GOVERNMENT NAT MTG ASSN HECM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2018-H09 FA TSFR12M+1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802,466 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NAT MTG ASSN HECM TSFR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1M+71.448 12/20/2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2,112,147 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GOVERNMENT NAT MTG ASSN HECM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2019-H04 FA TSFR12M+1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867,169 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NAT MTG ASSN HECM TSFR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12M+106.513 05/20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NAT MTG ASSN HECM TSFR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12M+116.513 05/20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3,498,054 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NAT MTG ASSN HECM TSFR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1M+76.448 01/20/2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1,224,629 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GNR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2022-H09 FA SOFR30A+67 04/20/2072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2,747,424 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NAT MTG AS REMIC PT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30A+97 05/20/20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1,189,415 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SBAP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5.32%</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2007-20D 1 4/27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US DEPT VETS AFF GTD REMI PASS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7.50%</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6/15/2027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Mortgage 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282,332 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Government Securities (Municipal Bonds &amp; U.S. Govt &amp; Foreign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CA 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7.55%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04/01/2039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CA 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10/01/2039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CA 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7.35%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11/01/2039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CA 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7.625%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03/01/2040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IL ST TAXMUNI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5.1%</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06/01/2033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4,602,696 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NEW JERSEY ST TPK AUTH TPK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01/01/2041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USTPRIN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08/15/2053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43,165,000 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USTPRIN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11/15/2055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UNITED STATES TREASURY BOND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2.875%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05/15/2052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6,345,000 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UNITED STATES TREASURY BOND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08/15/2052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USTN TII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02/15/2053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UNITED STATES TREASURY BOND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3.625%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05/15/2053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UNITED STATES TREASURY BOND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4.125%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08/15/2053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20,838,000 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UNITED STATES TREASURY BOND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02/15/2054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15,504,000 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USTN TII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2.125%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02/15/2054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UNITED STATES TREASURY BOND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11/15/2054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10,506,000 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UNITED STATES TREASURY BOND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02/15/2055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USTN TII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2.375%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02/15/2055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UNITED STATES TREASURY BOND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05/15/2055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UST NOTES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08/15/2035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12,149,000 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UST NOTES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11/15/2035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9,612,000 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COLOMBIA REPUBLIC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3.125%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04/15/2031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COLOMBIA REPUBLIC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11/07/2036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COLOMBIA REPUBLIC OF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7.375%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04/25/2030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Government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Asset-Backed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ECMC GROUP STUDENT LN TR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2017-1A A SOFR30A+131.448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2,489,830 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FORD CRDT AUTO OWNER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5.09%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 12/15/2028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2,576,135 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FORD CREDIT AUTO OWNER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4.52%</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2025-A 02/15/2031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FORD CREDIT AUTO OWNER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4.88%</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2024-D 09/15/2030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1,876,000 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HONDA AUTO RECEIVABLES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4.57%</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09/21/2029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HONDA AUTO RECEIVABLES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4.64%</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05/21/2031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HYUNDAI AUTO RECEIVABLES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4.41%</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2024-C A3 05/15/29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NAVIENT STUDENT LOAN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2016-5A A SOFR30A+136.4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4,139,018 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NAVIENT STUDENT LOAN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2017-2 SOFR30A+116.448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9,117,280 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NISSAN AUTO RECEIVABLES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4.34%</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2024-B OWNER TRUST 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SLC STUDENT LN TR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90A+41.161 02/15/2045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4,463,808 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SLC STUDENT LN TR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2007 1 A5 SOFR90A+35.161 05/15/2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1,430,855 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SLM STUDENT LN TR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90A+43.161 07/25/2040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5,204,615 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65480"/>
                <wp:effectExtent l="0" t="0" r="0" b="0"/>
                <wp:wrapNone/>
                <wp:docPr id="29" name="Frame29"/>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- 26 -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- 26 -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100" w:after="283"/>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4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854"/>
        <w:gridCol w:w="854"/>
        <w:gridCol w:w="857"/>
        <w:gridCol w:w="109"/>
        <w:gridCol w:w="109"/>
        <w:gridCol w:w="109"/>
        <w:gridCol w:w="179"/>
        <w:gridCol w:w="179"/>
        <w:gridCol w:w="181"/>
        <w:gridCol w:w="769"/>
        <w:gridCol w:w="769"/>
        <w:gridCol w:w="772"/>
        <w:gridCol w:w="109"/>
        <w:gridCol w:w="109"/>
        <w:gridCol w:w="109"/>
        <w:gridCol w:w="397"/>
        <w:gridCol w:w="399"/>
        <w:gridCol w:w="109"/>
        <w:gridCol w:w="109"/>
        <w:gridCol w:w="109"/>
        <w:gridCol w:w="109"/>
        <w:gridCol w:w="109"/>
        <w:gridCol w:w="109"/>
        <w:gridCol w:w="109"/>
        <w:gridCol w:w="109"/>
        <w:gridCol w:w="109"/>
        <w:gridCol w:w="109"/>
        <w:gridCol w:w="411"/>
        <w:gridCol w:w="41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SLM STUDENT LN TR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2006 8 SOFR90A+42.161 01/25/2041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1,779,910 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SMB PRIVATE ED LN TR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4.99%</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2023-B A1A 10/16/2056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1,956,140 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SBAP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2006-20A 1 5.21 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SBAP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2006-20C 1 5.57 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SBAP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6.07%</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2006-20G 1 7/26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SBAP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2007-20A 1 5.32 1/27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SBAP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2007-20C 1 5.23 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SBAP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2007-20G 1 5.82 7/27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SMB PRIVATE EDUCATION LOAN TRUST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5.24%</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2024-A A1A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2,455,570 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SMB PRIVATE ED LN TR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5.13%</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2025-A 04/15/2054 144A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1,439,385 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TOYOTA AUTO RECEIVABLES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4.64%</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2025-A OWNER TRUST 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UNION PAC RR CO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6.176%</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2007 3 PT TR 01/02/2031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64,931 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 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&amp;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State Street Bank &amp; Trust Co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Short Term Investment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7,933,704 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4"/>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Unsettled Sales &amp;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SEPARATE ACCOUNT (DODGE &amp; COX)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668,430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CHEVRON STABLE VALUE SEPARATE ACCOUNT (PUTNAM)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Guaranteed Investment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Life Insurance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5.86%</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11,514,730 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Lincoln National Life Insurance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5.87%</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11,555,284 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Lincoln National Life Insurance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5.93%</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12/31/2027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5,766,798 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Minnesota Life Insurance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5.60%</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11,461,910 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Metropolitan Life Insurance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5.65%</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1/30/2026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5,747,264 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Athene Annuity and Life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4.84%</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3/31/2028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5,133,843 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United of Omaha Insurance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4.82%</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6/30/2028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5,134,219 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Guaranteed Investment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Security-Backed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Putnam Short Duration Government Corporate Trust:</w:t>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Prudential Insurance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5.45%</w:t>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20,847,334 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American General Life Insurance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5.77%</w:t>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25,837,432 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Massachusetts Mutual Insurance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5.77%</w:t>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25,838,041 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Pacific Life Insurance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5.44%</w:t>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20,849,271 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New York Life Insurance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5.77%</w:t>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24,667,201 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Citibank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5.44%</w:t>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20,848,782 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American United Life Insurance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5.45%</w:t>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20,850,271 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Security-Backed Investment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&amp;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Fidelity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Short Term Investment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2,181,015 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Unsettled Sales &amp; Purchases</w:t>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8"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CHEVRON STABLE VALUE SEPARATE ACCOUNT (PUTNAM)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217,762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INVESTMENTS PER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22,126,532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65480"/>
                <wp:effectExtent l="0" t="0" r="0" b="0"/>
                <wp:wrapNone/>
                <wp:docPr id="30" name="Frame30"/>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- 27 -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- 27 -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CHEVRON EMPLOYEE SAVINGS INVESTMENT PLAN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EIN 94-0890210 PLAN NO. 001</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SCHEDULE H - PART IV, LINE 4(i) - SCHEDULE OF ASSETS HELD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DECEMBER 31, 2025</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(thousands of dollars)</w:t>
      </w:r>
    </w:p>
    <w:p>
      <w:pPr>
        <w:pStyle w:val="TextBody"/>
        <w:bidi w:val="0"/>
        <w:spacing w:before="100" w:after="283"/>
        <w:jc w:val="center"/>
        <w:rPr/>
      </w:pPr>
      <w:r>
        <w:rPr/>
      </w:r>
    </w:p>
    <w:tbl>
      <w:tblPr>
        <w:tblW w:w="903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7"/>
        <w:gridCol w:w="277"/>
        <w:gridCol w:w="277"/>
        <w:gridCol w:w="277"/>
        <w:gridCol w:w="277"/>
        <w:gridCol w:w="277"/>
        <w:gridCol w:w="109"/>
        <w:gridCol w:w="109"/>
        <w:gridCol w:w="109"/>
        <w:gridCol w:w="324"/>
        <w:gridCol w:w="324"/>
        <w:gridCol w:w="326"/>
        <w:gridCol w:w="734"/>
        <w:gridCol w:w="734"/>
        <w:gridCol w:w="737"/>
        <w:gridCol w:w="109"/>
        <w:gridCol w:w="109"/>
        <w:gridCol w:w="109"/>
        <w:gridCol w:w="299"/>
        <w:gridCol w:w="299"/>
        <w:gridCol w:w="302"/>
        <w:gridCol w:w="109"/>
        <w:gridCol w:w="109"/>
        <w:gridCol w:w="109"/>
        <w:gridCol w:w="125"/>
        <w:gridCol w:w="125"/>
        <w:gridCol w:w="126"/>
        <w:gridCol w:w="109"/>
        <w:gridCol w:w="109"/>
        <w:gridCol w:w="109"/>
        <w:gridCol w:w="276"/>
        <w:gridCol w:w="276"/>
        <w:gridCol w:w="3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Description of Investment Including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Identity of Issue, Borrower,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Rate of Interest</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Lessor, or Similar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Collateral, or Maturity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 /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Current Value</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38"/>
        <w:gridCol w:w="238"/>
        <w:gridCol w:w="238"/>
        <w:gridCol w:w="807"/>
        <w:gridCol w:w="807"/>
        <w:gridCol w:w="829"/>
        <w:gridCol w:w="109"/>
        <w:gridCol w:w="109"/>
        <w:gridCol w:w="109"/>
        <w:gridCol w:w="109"/>
        <w:gridCol w:w="109"/>
        <w:gridCol w:w="109"/>
        <w:gridCol w:w="583"/>
        <w:gridCol w:w="575"/>
        <w:gridCol w:w="565"/>
        <w:gridCol w:w="273"/>
        <w:gridCol w:w="273"/>
        <w:gridCol w:w="273"/>
        <w:gridCol w:w="273"/>
        <w:gridCol w:w="273"/>
        <w:gridCol w:w="273"/>
        <w:gridCol w:w="109"/>
        <w:gridCol w:w="109"/>
        <w:gridCol w:w="109"/>
        <w:gridCol w:w="109"/>
        <w:gridCol w:w="109"/>
        <w:gridCol w:w="109"/>
        <w:gridCol w:w="109"/>
        <w:gridCol w:w="109"/>
        <w:gridCol w:w="109"/>
        <w:gridCol w:w="181"/>
        <w:gridCol w:w="82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PARTICIPANT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Interest rates ranging from 2.23% to 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124,295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Maturity dates extend to 2054</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TOTAL INVESTMENTS PER FORM 5500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4"/>
              </w:rPr>
              <w:t>22,250,827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Party-in-interest as defined by ERISA.</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03"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Participant directed investment cost not required to be included</w:t>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2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65480"/>
                <wp:effectExtent l="0" t="0" r="0" b="0"/>
                <wp:wrapNone/>
                <wp:docPr id="31" name="Frame31"/>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- 28 -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- 28 -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EXHIBIT INDEX</w:t>
      </w:r>
    </w:p>
    <w:p>
      <w:pPr>
        <w:pStyle w:val="TextBody"/>
        <w:bidi w:val="0"/>
        <w:spacing w:before="0" w:after="0"/>
        <w:jc w:val="center"/>
        <w:rPr/>
      </w:pPr>
      <w:r>
        <w:rPr/>
      </w:r>
    </w:p>
    <w:tbl>
      <w:tblPr>
        <w:tblW w:w="8263" w:type="dxa"/>
        <w:jc w:val="center"/>
        <w:tblInd w:w="0" w:type="dxa"/>
        <w:tblLayout w:type="fixed"/>
        <w:tblCellMar>
          <w:top w:w="28" w:type="dxa"/>
          <w:left w:w="28" w:type="dxa"/>
          <w:bottom w:w="28" w:type="dxa"/>
          <w:right w:w="28" w:type="dxa"/>
        </w:tblCellMar>
      </w:tblPr>
      <w:tblGrid>
        <w:gridCol w:w="277"/>
        <w:gridCol w:w="244"/>
        <w:gridCol w:w="245"/>
        <w:gridCol w:w="109"/>
        <w:gridCol w:w="109"/>
        <w:gridCol w:w="109"/>
        <w:gridCol w:w="2099"/>
        <w:gridCol w:w="2099"/>
        <w:gridCol w:w="297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Exhibit</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11-kex231consentchevr.htm">
              <w:r>
                <w:rPr>
                  <w:rStyle w:val="InternetLink"/>
                  <w:rFonts w:ascii="Times New Roman;serif" w:hAnsi="Times New Roman;serif"/>
                  <w:b w:val="false"/>
                  <w:color w:val="0000FF"/>
                  <w:sz w:val="20"/>
                  <w:u w:val="single"/>
                </w:rPr>
                <w:t>Consent of WithumSmith+Brown, PC Independent Registered Public Accounting Firm</w:t>
              </w:r>
            </w:hyperlink>
          </w:p>
        </w:tc>
      </w:tr>
      <w:tr>
        <w:trPr/>
        <w:tc>
          <w:tcPr>
            <w:tcW w:w="82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65480"/>
                <wp:effectExtent l="0" t="0" r="0" b="0"/>
                <wp:wrapNone/>
                <wp:docPr id="32" name="Frame32"/>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- 29 -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- 29 -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The Plan.</w:t>
      </w:r>
      <w:r>
        <w:rPr>
          <w:color w:val="000000"/>
        </w:rPr>
        <w:t xml:space="preserve"> </w:t>
      </w:r>
      <w:r>
        <w:rPr>
          <w:rFonts w:ascii="Times New Roman;serif" w:hAnsi="Times New Roman;serif"/>
          <w:b w:val="false"/>
          <w:color w:val="000000"/>
          <w:sz w:val="20"/>
        </w:rPr>
        <w:t>Pursuant to the requirements of the Securities Exchange Act of 1934, the trustees (or other persons who administer the employee benefit plan) have duly caused this annual report to be signed on its behalf by the undersigned hereunto duly authorized.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June 24, 2026</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                    </w:t>
      </w:r>
    </w:p>
    <w:tbl>
      <w:tblPr>
        <w:tblW w:w="6483" w:type="dxa"/>
        <w:jc w:val="left"/>
        <w:tblInd w:w="0" w:type="dxa"/>
        <w:tblLayout w:type="fixed"/>
        <w:tblCellMar>
          <w:top w:w="28" w:type="dxa"/>
          <w:left w:w="28" w:type="dxa"/>
          <w:bottom w:w="28" w:type="dxa"/>
          <w:right w:w="28" w:type="dxa"/>
        </w:tblCellMar>
      </w:tblPr>
      <w:tblGrid>
        <w:gridCol w:w="124"/>
        <w:gridCol w:w="109"/>
        <w:gridCol w:w="109"/>
        <w:gridCol w:w="802"/>
        <w:gridCol w:w="802"/>
        <w:gridCol w:w="802"/>
        <w:gridCol w:w="1094"/>
        <w:gridCol w:w="1094"/>
        <w:gridCol w:w="15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CHEVRON EMPLOYEE SAVINGS INVESTMENT PLAN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Chevron Corporation, Plan Administrator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Rose Z. Pierson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Rose Z. Pierson</w:t>
              <w:br/>
              <w:t>Assistant Secretary, Chevron Corporation</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65480"/>
                <wp:effectExtent l="0" t="0" r="0" b="0"/>
                <wp:wrapNone/>
                <wp:docPr id="33" name="Frame33"/>
                <a:graphic xmlns:a="http://schemas.openxmlformats.org/drawingml/2006/main">
                  <a:graphicData uri="http://schemas.microsoft.com/office/word/2010/wordprocessingShape">
                    <wps:wsp>
                      <wps:cNvSpPr txBox="1"/>
                      <wps:spPr>
                        <a:xfrm>
                          <a:off x="0" y="0"/>
                          <a:ext cx="6480175" cy="66548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- 30 -</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- 30 -</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23.1</w:t>
      </w:r>
    </w:p>
    <w:p>
      <w:pPr>
        <w:pStyle w:val="TextBody"/>
        <w:bidi w:val="0"/>
        <w:spacing w:before="120" w:after="120"/>
        <w:jc w:val="right"/>
        <w:rPr/>
      </w:pPr>
      <w:r>
        <w:rPr/>
      </w:r>
    </w:p>
    <w:p>
      <w:pPr>
        <w:pStyle w:val="TextBody"/>
        <w:bidi w:val="0"/>
        <w:spacing w:before="120" w:after="12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We consent to the incorporation by reference in Registration Statement No. 333-202203 on Form S-8 of our report dated June 24, 2026, appearing in this Annual Report on Form 11-K of the Chevron Employee Savings Investment Plan for the year ended December 31, 2025.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/s/ WithumSmith+Brown, PC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Whippany, New Jersey</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June 24, 2026</w:t>
      </w:r>
    </w:p>
    <w:p>
      <w:pPr>
        <w:pStyle w:val="TextBody"/>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10520</Words>
  <Characters>56961</Characters>
  <CharactersWithSpaces>66043</CharactersWithSpaces>
  <Paragraphs>3636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