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GUSTAVSON JEFF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SMITH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CHEVRON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New Energies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04"/>
        <w:gridCol w:w="928"/>
        <w:gridCol w:w="797"/>
        <w:gridCol w:w="616"/>
        <w:gridCol w:w="343"/>
        <w:gridCol w:w="966"/>
        <w:gridCol w:w="424"/>
        <w:gridCol w:w="1102"/>
        <w:gridCol w:w="1124"/>
        <w:gridCol w:w="973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117.24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125.35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3,786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113.01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3,786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194.9492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3,786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117.24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125.35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4,633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01/31/2028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113.01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4,561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01/30/2029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8,839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does not have a pecuniary interest and disclaims beneficial ownership of these shares. These shares have been omitted from the total reported in Column 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number includes the acquisition of stock resulting from the reinvestment of dividends on vested restricted stock units (70) issued under the Chevron Corporation 2022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$194.89 to $195.02. The price reported in Column 4 reflects the weighted-average sale price. The reporting person hereby undertakes to provide upon request to the SEC staff, the issuer or a security holder of the issuer full information regarding the number of shares sold at each separate price within the range provided.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Option granted 1/25/2017. One-third of the shares subject to the option vested on January 31, 2018, January 31, 2019 and January 31, 2020, respectively.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Option granted 1/31/2018. One-third of the shares subject to the option vested on January 31, 2019, January 31, 2020 and January 31, 2021, respectively.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reporting person disclaims beneficial ownership of all shares underlying these securities. Such disclaimed amounts were inadvertently underreported in the reporting person's Form 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Option granted 1/30/2019. One-third of the shares subject to the option vested on January 31, 2020, January 31, 2021 and January 31, 2022, respectively.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 Z. Pierson, Attorney-in-Fact for Jeff B. Gustavson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0732" TargetMode="External"/><Relationship Id="rId5" Type="http://schemas.openxmlformats.org/officeDocument/2006/relationships/hyperlink" Target="http://www.sec.gov/cgi-bin/browse-edgar?action=getcompany&amp;CIK=00000934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876</Words>
  <Characters>4744</Characters>
  <CharactersWithSpaces>5483</CharactersWithSpaces>
  <Paragraphs>165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