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0"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SECURITIES AND EXCHANGE COMMISSION </w:t>
      </w:r>
    </w:p>
    <w:p>
      <w:pPr>
        <w:pStyle w:val="TextBody"/>
        <w:bidi w:val="0"/>
        <w:spacing w:lineRule="auto" w:line="288" w:before="0" w:after="0"/>
        <w:jc w:val="center"/>
        <w:rPr/>
      </w:pPr>
      <w:r>
        <w:rPr>
          <w:rFonts w:ascii="Times New Roman;serif" w:hAnsi="Times New Roman;serif"/>
          <w:b/>
          <w:color w:val="000000"/>
          <w:sz w:val="20"/>
        </w:rPr>
        <w:t>Washington, D.C. 20549</w:t>
      </w:r>
      <w:r>
        <w:rPr>
          <w:color w:val="000000"/>
        </w:rPr>
        <w:t xml:space="preserve"> </w:t>
      </w:r>
    </w:p>
    <w:p>
      <w:pPr>
        <w:pStyle w:val="TextBody"/>
        <w:bidi w:val="0"/>
        <w:spacing w:lineRule="auto" w:line="288" w:before="120" w:after="283"/>
        <w:jc w:val="center"/>
        <w:rPr/>
      </w:pPr>
      <w:r>
        <w:rPr>
          <w:rFonts w:ascii="Times New Roman;serif" w:hAnsi="Times New Roman;serif"/>
          <w:b/>
          <w:color w:val="000000"/>
          <w:sz w:val="28"/>
        </w:rPr>
        <w:t>Form 8-K</w:t>
      </w:r>
      <w:r>
        <w:rPr>
          <w:color w:val="000000"/>
        </w:rPr>
        <w:t xml:space="preserve">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July 31, 2026</w:t>
      </w:r>
    </w:p>
    <w:tbl>
      <w:tblPr>
        <w:tblW w:w="4940" w:type="dxa"/>
        <w:jc w:val="center"/>
        <w:tblInd w:w="0" w:type="dxa"/>
        <w:tblLayout w:type="fixed"/>
        <w:tblCellMar>
          <w:top w:w="28" w:type="dxa"/>
          <w:left w:w="28" w:type="dxa"/>
          <w:bottom w:w="28" w:type="dxa"/>
          <w:right w:w="28" w:type="dxa"/>
        </w:tblCellMar>
      </w:tblPr>
      <w:tblGrid>
        <w:gridCol w:w="124"/>
        <w:gridCol w:w="109"/>
        <w:gridCol w:w="109"/>
        <w:gridCol w:w="112"/>
        <w:gridCol w:w="112"/>
        <w:gridCol w:w="112"/>
        <w:gridCol w:w="1184"/>
        <w:gridCol w:w="1184"/>
        <w:gridCol w:w="1186"/>
        <w:gridCol w:w="112"/>
        <w:gridCol w:w="112"/>
        <w:gridCol w:w="11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5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36"/>
              </w:rPr>
            </w:pPr>
            <w:r>
              <w:rPr>
                <w:rFonts w:ascii="Times New Roman;serif" w:hAnsi="Times New Roman;serif"/>
                <w:b/>
                <w:color w:val="000000"/>
                <w:sz w:val="36"/>
              </w:rPr>
              <w:t>Chevron Corporation</w:t>
            </w:r>
          </w:p>
        </w:tc>
        <w:tc>
          <w:tcPr>
            <w:tcW w:w="3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tbl>
      <w:tblPr>
        <w:tblW w:w="6846" w:type="dxa"/>
        <w:jc w:val="left"/>
        <w:tblInd w:w="0" w:type="dxa"/>
        <w:tblLayout w:type="fixed"/>
        <w:tblCellMar>
          <w:top w:w="28" w:type="dxa"/>
          <w:left w:w="28" w:type="dxa"/>
          <w:bottom w:w="28" w:type="dxa"/>
          <w:right w:w="28" w:type="dxa"/>
        </w:tblCellMar>
      </w:tblPr>
      <w:tblGrid>
        <w:gridCol w:w="813"/>
        <w:gridCol w:w="714"/>
        <w:gridCol w:w="722"/>
        <w:gridCol w:w="109"/>
        <w:gridCol w:w="109"/>
        <w:gridCol w:w="109"/>
        <w:gridCol w:w="762"/>
        <w:gridCol w:w="762"/>
        <w:gridCol w:w="770"/>
        <w:gridCol w:w="109"/>
        <w:gridCol w:w="109"/>
        <w:gridCol w:w="109"/>
        <w:gridCol w:w="481"/>
        <w:gridCol w:w="481"/>
        <w:gridCol w:w="687"/>
      </w:tblGrid>
      <w:tr>
        <w:trPr/>
        <w:tc>
          <w:tcPr>
            <w:tcW w:w="813"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001-00368</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94-0890210</w:t>
            </w:r>
          </w:p>
        </w:tc>
      </w:tr>
      <w:tr>
        <w:trPr/>
        <w:tc>
          <w:tcPr>
            <w:tcW w:w="22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br/>
              <w:t>of incorporation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br/>
              <w:t>Identification No.)</w:t>
            </w:r>
          </w:p>
        </w:tc>
      </w:tr>
    </w:tbl>
    <w:p>
      <w:pPr>
        <w:pStyle w:val="TextBody"/>
        <w:bidi w:val="0"/>
        <w:spacing w:lineRule="auto" w:line="288" w:before="0" w:after="0"/>
        <w:jc w:val="left"/>
        <w:rPr>
          <w:color w:val="000000"/>
        </w:rPr>
      </w:pPr>
      <w:r>
        <w:rPr>
          <w:color w:val="000000"/>
        </w:rPr>
        <w:t> </w:t>
      </w:r>
    </w:p>
    <w:tbl>
      <w:tblPr>
        <w:tblW w:w="4720" w:type="dxa"/>
        <w:jc w:val="left"/>
        <w:tblInd w:w="0" w:type="dxa"/>
        <w:tblLayout w:type="fixed"/>
        <w:tblCellMar>
          <w:top w:w="28" w:type="dxa"/>
          <w:left w:w="28" w:type="dxa"/>
          <w:bottom w:w="28" w:type="dxa"/>
          <w:right w:w="28" w:type="dxa"/>
        </w:tblCellMar>
      </w:tblPr>
      <w:tblGrid>
        <w:gridCol w:w="691"/>
        <w:gridCol w:w="607"/>
        <w:gridCol w:w="611"/>
        <w:gridCol w:w="335"/>
        <w:gridCol w:w="335"/>
        <w:gridCol w:w="337"/>
        <w:gridCol w:w="147"/>
        <w:gridCol w:w="147"/>
        <w:gridCol w:w="148"/>
        <w:gridCol w:w="109"/>
        <w:gridCol w:w="109"/>
        <w:gridCol w:w="109"/>
        <w:gridCol w:w="303"/>
        <w:gridCol w:w="303"/>
        <w:gridCol w:w="429"/>
      </w:tblGrid>
      <w:tr>
        <w:trPr/>
        <w:tc>
          <w:tcPr>
            <w:tcW w:w="691"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1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1400 Smith Street</w:t>
            </w:r>
          </w:p>
        </w:tc>
        <w:tc>
          <w:tcPr>
            <w:tcW w:w="100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Houston,</w:t>
            </w:r>
          </w:p>
        </w:tc>
        <w:tc>
          <w:tcPr>
            <w:tcW w:w="44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TX</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77002</w:t>
            </w:r>
          </w:p>
        </w:tc>
      </w:tr>
      <w:tr>
        <w:trPr/>
        <w:tc>
          <w:tcPr>
            <w:tcW w:w="3358"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80" w:after="283"/>
        <w:jc w:val="center"/>
        <w:rPr/>
      </w:pPr>
      <w:r>
        <w:rPr>
          <w:rFonts w:ascii="Times New Roman;serif" w:hAnsi="Times New Roman;serif"/>
          <w:b w:val="false"/>
          <w:color w:val="000000"/>
          <w:sz w:val="20"/>
        </w:rPr>
        <w:t>Registrant’s telephone number, including area code:</w:t>
      </w:r>
      <w:r>
        <w:rPr>
          <w:color w:val="000000"/>
          <w:u w:val="single"/>
        </w:rPr>
        <w:t xml:space="preserve"> </w:t>
      </w:r>
      <w:r>
        <w:rPr>
          <w:rFonts w:ascii="Times New Roman;serif" w:hAnsi="Times New Roman;serif"/>
          <w:b/>
          <w:color w:val="000000"/>
          <w:sz w:val="20"/>
          <w:u w:val="single"/>
        </w:rPr>
        <w:t xml:space="preserve">(832) 854-1000 </w:t>
      </w:r>
    </w:p>
    <w:p>
      <w:pPr>
        <w:pStyle w:val="TextBody"/>
        <w:bidi w:val="0"/>
        <w:spacing w:lineRule="auto" w:line="288" w:before="0" w:after="0"/>
        <w:jc w:val="left"/>
        <w:rPr>
          <w:color w:val="000000"/>
        </w:rPr>
      </w:pPr>
      <w:r>
        <w:rPr>
          <w:color w:val="000000"/>
        </w:rPr>
        <w:t> </w:t>
      </w:r>
    </w:p>
    <w:tbl>
      <w:tblPr>
        <w:tblW w:w="5678" w:type="dxa"/>
        <w:jc w:val="left"/>
        <w:tblInd w:w="0" w:type="dxa"/>
        <w:tblLayout w:type="fixed"/>
        <w:tblCellMar>
          <w:top w:w="28" w:type="dxa"/>
          <w:left w:w="28" w:type="dxa"/>
          <w:bottom w:w="28" w:type="dxa"/>
          <w:right w:w="28" w:type="dxa"/>
        </w:tblCellMar>
      </w:tblPr>
      <w:tblGrid>
        <w:gridCol w:w="124"/>
        <w:gridCol w:w="109"/>
        <w:gridCol w:w="109"/>
        <w:gridCol w:w="1654"/>
        <w:gridCol w:w="1654"/>
        <w:gridCol w:w="165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4" w:type="dxa"/>
            <w:tcBorders/>
            <w:vAlign w:val="center"/>
          </w:tcPr>
          <w:p>
            <w:pPr>
              <w:pStyle w:val="TableContents"/>
              <w:bidi w:val="0"/>
              <w:spacing w:before="0" w:after="283"/>
              <w:jc w:val="left"/>
              <w:rPr>
                <w:sz w:val="4"/>
                <w:szCs w:val="4"/>
              </w:rPr>
            </w:pPr>
            <w:r>
              <w:rPr>
                <w:sz w:val="4"/>
                <w:szCs w:val="4"/>
              </w:rPr>
            </w:r>
          </w:p>
        </w:tc>
        <w:tc>
          <w:tcPr>
            <w:tcW w:w="1654" w:type="dxa"/>
            <w:tcBorders/>
            <w:vAlign w:val="center"/>
          </w:tcPr>
          <w:p>
            <w:pPr>
              <w:pStyle w:val="TableContents"/>
              <w:bidi w:val="0"/>
              <w:spacing w:before="0" w:after="283"/>
              <w:jc w:val="left"/>
              <w:rPr>
                <w:sz w:val="4"/>
                <w:szCs w:val="4"/>
              </w:rPr>
            </w:pPr>
            <w:r>
              <w:rPr>
                <w:sz w:val="4"/>
                <w:szCs w:val="4"/>
              </w:rPr>
            </w:r>
          </w:p>
        </w:tc>
        <w:tc>
          <w:tcPr>
            <w:tcW w:w="1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18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obligations of the registrant under any of the following provisions:</w:t>
      </w:r>
    </w:p>
    <w:p>
      <w:pPr>
        <w:pStyle w:val="TextBody"/>
        <w:bidi w:val="0"/>
        <w:spacing w:lineRule="auto" w:line="288" w:before="60" w:after="283"/>
        <w:jc w:val="left"/>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60" w:after="283"/>
        <w:jc w:val="left"/>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60" w:after="283"/>
        <w:jc w:val="left"/>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60" w:after="283"/>
        <w:jc w:val="left"/>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before="0" w:after="0"/>
        <w:jc w:val="left"/>
        <w:rPr/>
      </w:pPr>
      <w:r>
        <w:rPr/>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139" w:type="dxa"/>
        <w:jc w:val="left"/>
        <w:tblInd w:w="0" w:type="dxa"/>
        <w:tblLayout w:type="fixed"/>
        <w:tblCellMar>
          <w:top w:w="28" w:type="dxa"/>
          <w:left w:w="28" w:type="dxa"/>
          <w:bottom w:w="28" w:type="dxa"/>
          <w:right w:w="28" w:type="dxa"/>
        </w:tblCellMar>
      </w:tblPr>
      <w:tblGrid>
        <w:gridCol w:w="1217"/>
        <w:gridCol w:w="1065"/>
        <w:gridCol w:w="1078"/>
        <w:gridCol w:w="109"/>
        <w:gridCol w:w="109"/>
        <w:gridCol w:w="109"/>
        <w:gridCol w:w="474"/>
        <w:gridCol w:w="474"/>
        <w:gridCol w:w="476"/>
        <w:gridCol w:w="109"/>
        <w:gridCol w:w="109"/>
        <w:gridCol w:w="109"/>
        <w:gridCol w:w="575"/>
        <w:gridCol w:w="575"/>
        <w:gridCol w:w="575"/>
        <w:gridCol w:w="575"/>
        <w:gridCol w:w="575"/>
        <w:gridCol w:w="826"/>
      </w:tblGrid>
      <w:tr>
        <w:trPr/>
        <w:tc>
          <w:tcPr>
            <w:tcW w:w="1217"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1"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3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$.75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CVX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1"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tbl>
      <w:tblPr>
        <w:tblW w:w="10205" w:type="dxa"/>
        <w:jc w:val="left"/>
        <w:tblInd w:w="0" w:type="dxa"/>
        <w:tblLayout w:type="fixed"/>
        <w:tblCellMar>
          <w:top w:w="28" w:type="dxa"/>
          <w:left w:w="28" w:type="dxa"/>
          <w:bottom w:w="28" w:type="dxa"/>
          <w:right w:w="28" w:type="dxa"/>
        </w:tblCellMar>
      </w:tblPr>
      <w:tblGrid>
        <w:gridCol w:w="3568"/>
        <w:gridCol w:w="3127"/>
        <w:gridCol w:w="3136"/>
        <w:gridCol w:w="109"/>
        <w:gridCol w:w="109"/>
        <w:gridCol w:w="156"/>
      </w:tblGrid>
      <w:tr>
        <w:trPr/>
        <w:tc>
          <w:tcPr>
            <w:tcW w:w="3568" w:type="dxa"/>
            <w:tcBorders/>
            <w:vAlign w:val="center"/>
          </w:tcPr>
          <w:p>
            <w:pPr>
              <w:pStyle w:val="TableContents"/>
              <w:bidi w:val="0"/>
              <w:spacing w:before="0" w:after="283"/>
              <w:jc w:val="left"/>
              <w:rPr>
                <w:sz w:val="4"/>
                <w:szCs w:val="4"/>
              </w:rPr>
            </w:pPr>
            <w:r>
              <w:rPr>
                <w:sz w:val="4"/>
                <w:szCs w:val="4"/>
              </w:rPr>
            </w:r>
          </w:p>
        </w:tc>
        <w:tc>
          <w:tcPr>
            <w:tcW w:w="3127" w:type="dxa"/>
            <w:tcBorders/>
            <w:vAlign w:val="center"/>
          </w:tcPr>
          <w:p>
            <w:pPr>
              <w:pStyle w:val="TableContents"/>
              <w:bidi w:val="0"/>
              <w:spacing w:before="0" w:after="283"/>
              <w:jc w:val="left"/>
              <w:rPr>
                <w:sz w:val="4"/>
                <w:szCs w:val="4"/>
              </w:rPr>
            </w:pPr>
            <w:r>
              <w:rPr>
                <w:sz w:val="4"/>
                <w:szCs w:val="4"/>
              </w:rPr>
            </w:r>
          </w:p>
        </w:tc>
        <w:tc>
          <w:tcPr>
            <w:tcW w:w="3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83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Indicate by check mark whether the registrant is an emerging growth company as defined in Rule 405 of the Securities Act of 1933 (</w:t>
            </w:r>
            <w:r>
              <w:rPr>
                <w:rFonts w:ascii="Times New Roman;serif" w:hAnsi="Times New Roman;serif"/>
                <w:b w:val="false"/>
                <w:color w:val="211D1E"/>
                <w:sz w:val="20"/>
              </w:rPr>
              <w:t>§230.405 of this chapter) or Rule 12b-2 of the Securities Exchange Act of 1934 (§240.12b-2 of this chapter</w:t>
            </w:r>
            <w:r>
              <w:rPr>
                <w:rFonts w:ascii="Times New Roman;serif" w:hAnsi="Times New Roman;serif"/>
                <w:b w:val="false"/>
                <w:color w:val="000000"/>
                <w:sz w:val="20"/>
              </w:rPr>
              <w:t>).</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p>
        </w:tc>
        <w:tc>
          <w:tcPr>
            <w:tcW w:w="3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20"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On July 31, 2026, Chevron Corporation (the “Company”) issued a news release announcing unaudited second quarter 2026 earnings of $12.1 billion. The news release is attached hereto as Exhibit 99.1 and incorporated herein by reference.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information included herein and in Exhibit 99.1 shall not be deemed “filed” for purposes of Section 18 of the Securities Exchange Act of 1934, nor shall it be deemed incorporated by reference in any filing under the Securities Act of 1933, as amended.</w:t>
      </w:r>
    </w:p>
    <w:p>
      <w:pPr>
        <w:pStyle w:val="TextBody"/>
        <w:bidi w:val="0"/>
        <w:spacing w:before="100" w:after="283"/>
        <w:jc w:val="left"/>
        <w:rPr/>
      </w:pPr>
      <w:r>
        <w:rPr/>
      </w:r>
    </w:p>
    <w:p>
      <w:pPr>
        <w:pStyle w:val="TextBody"/>
        <w:bidi w:val="0"/>
        <w:spacing w:lineRule="auto" w:line="288" w:before="0" w:after="0"/>
        <w:ind w:left="0" w:right="0" w:hanging="45"/>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100" w:after="283"/>
        <w:ind w:left="0" w:right="0" w:hanging="45"/>
        <w:jc w:val="left"/>
        <w:rPr/>
      </w:pPr>
      <w:r>
        <w:rPr>
          <w:rFonts w:ascii="Times New Roman;serif" w:hAnsi="Times New Roman;serif"/>
          <w:b/>
          <w:color w:val="000000"/>
          <w:sz w:val="20"/>
        </w:rPr>
        <w:t>(d)</w:t>
      </w:r>
      <w:r>
        <w:rPr>
          <w:color w:val="000000"/>
        </w:rPr>
        <w:t>    </w:t>
      </w:r>
      <w:r>
        <w:rPr>
          <w:rFonts w:ascii="Times New Roman;serif" w:hAnsi="Times New Roman;serif"/>
          <w:b/>
          <w:color w:val="000000"/>
          <w:sz w:val="20"/>
          <w:u w:val="single"/>
        </w:rPr>
        <w:t>Exhibits</w:t>
      </w:r>
      <w:r>
        <w:rPr>
          <w:rFonts w:ascii="Times New Roman;serif" w:hAnsi="Times New Roman;serif"/>
          <w:b/>
          <w:color w:val="000000"/>
          <w:sz w:val="20"/>
        </w:rPr>
        <w:t>.</w:t>
      </w:r>
      <w:r>
        <w:rPr>
          <w:color w:val="000000"/>
        </w:rPr>
        <w:t xml:space="preserve">     </w:t>
      </w:r>
    </w:p>
    <w:p>
      <w:pPr>
        <w:pStyle w:val="TextBody"/>
        <w:bidi w:val="0"/>
        <w:spacing w:before="9" w:after="283"/>
        <w:jc w:val="left"/>
        <w:rPr/>
      </w:pPr>
      <w:r>
        <w:rPr/>
      </w:r>
    </w:p>
    <w:tbl>
      <w:tblPr>
        <w:tblW w:w="7330" w:type="dxa"/>
        <w:jc w:val="left"/>
        <w:tblInd w:w="0" w:type="dxa"/>
        <w:tblLayout w:type="fixed"/>
        <w:tblCellMar>
          <w:top w:w="28" w:type="dxa"/>
          <w:left w:w="28" w:type="dxa"/>
          <w:bottom w:w="28" w:type="dxa"/>
          <w:right w:w="28" w:type="dxa"/>
        </w:tblCellMar>
      </w:tblPr>
      <w:tblGrid>
        <w:gridCol w:w="538"/>
        <w:gridCol w:w="472"/>
        <w:gridCol w:w="474"/>
        <w:gridCol w:w="109"/>
        <w:gridCol w:w="109"/>
        <w:gridCol w:w="109"/>
        <w:gridCol w:w="1610"/>
        <w:gridCol w:w="1610"/>
        <w:gridCol w:w="2299"/>
      </w:tblGrid>
      <w:tr>
        <w:trPr/>
        <w:tc>
          <w:tcPr>
            <w:tcW w:w="53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c>
          <w:tcPr>
            <w:tcW w:w="2299"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Description </w:t>
            </w:r>
          </w:p>
        </w:tc>
      </w:tr>
      <w:tr>
        <w:trPr/>
        <w:tc>
          <w:tcPr>
            <w:tcW w:w="14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pPr>
            <w:hyperlink w:anchor="a06302026ex9918-k.htm">
              <w:r>
                <w:rPr>
                  <w:rStyle w:val="InternetLink"/>
                  <w:rFonts w:ascii="Times New Roman;serif" w:hAnsi="Times New Roman;serif"/>
                  <w:b w:val="false"/>
                  <w:color w:val="000080"/>
                  <w:sz w:val="20"/>
                  <w:u w:val="single"/>
                </w:rPr>
                <w:t xml:space="preserve">News release issued by Chevron Corporation, dated </w:t>
              </w:r>
            </w:hyperlink>
            <w:hyperlink w:anchor="a06302026ex9918-k.htm">
              <w:r>
                <w:rPr>
                  <w:rStyle w:val="InternetLink"/>
                  <w:rFonts w:ascii="Times New Roman;serif" w:hAnsi="Times New Roman;serif"/>
                  <w:b w:val="false"/>
                  <w:color w:val="000080"/>
                  <w:sz w:val="20"/>
                  <w:u w:val="single"/>
                </w:rPr>
                <w:t>July</w:t>
              </w:r>
            </w:hyperlink>
            <w:hyperlink w:anchor="a06302026ex9918-k.htm">
              <w:r>
                <w:rPr>
                  <w:rStyle w:val="InternetLink"/>
                  <w:rFonts w:ascii="Times New Roman;serif" w:hAnsi="Times New Roman;serif"/>
                  <w:b w:val="false"/>
                  <w:color w:val="000080"/>
                  <w:sz w:val="20"/>
                  <w:u w:val="single"/>
                </w:rPr>
                <w:t xml:space="preserve"> 3</w:t>
              </w:r>
            </w:hyperlink>
            <w:hyperlink w:anchor="a06302026ex9918-k.htm">
              <w:r>
                <w:rPr>
                  <w:rStyle w:val="InternetLink"/>
                  <w:rFonts w:ascii="Times New Roman;serif" w:hAnsi="Times New Roman;serif"/>
                  <w:b w:val="false"/>
                  <w:color w:val="000080"/>
                  <w:sz w:val="20"/>
                  <w:u w:val="single"/>
                </w:rPr>
                <w:t>1, 2026.</w:t>
              </w:r>
            </w:hyperlink>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(contained in Exhibit 101)</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2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Dated: July 31, 2026 </w:t>
      </w:r>
    </w:p>
    <w:p>
      <w:pPr>
        <w:pStyle w:val="TextBody"/>
        <w:bidi w:val="0"/>
        <w:spacing w:lineRule="auto" w:line="288" w:before="0" w:after="0"/>
        <w:jc w:val="left"/>
        <w:rPr>
          <w:color w:val="000000"/>
        </w:rPr>
      </w:pPr>
      <w:r>
        <w:rPr>
          <w:color w:val="000000"/>
        </w:rPr>
        <w:t> </w:t>
      </w:r>
    </w:p>
    <w:tbl>
      <w:tblPr>
        <w:tblW w:w="4476" w:type="dxa"/>
        <w:jc w:val="right"/>
        <w:tblInd w:w="0" w:type="dxa"/>
        <w:tblLayout w:type="fixed"/>
        <w:tblCellMar>
          <w:top w:w="28" w:type="dxa"/>
          <w:left w:w="28" w:type="dxa"/>
          <w:bottom w:w="28" w:type="dxa"/>
          <w:right w:w="28" w:type="dxa"/>
        </w:tblCellMar>
      </w:tblPr>
      <w:tblGrid>
        <w:gridCol w:w="455"/>
        <w:gridCol w:w="400"/>
        <w:gridCol w:w="400"/>
        <w:gridCol w:w="948"/>
        <w:gridCol w:w="948"/>
        <w:gridCol w:w="953"/>
        <w:gridCol w:w="109"/>
        <w:gridCol w:w="109"/>
        <w:gridCol w:w="154"/>
      </w:tblGrid>
      <w:tr>
        <w:trPr/>
        <w:tc>
          <w:tcPr>
            <w:tcW w:w="455"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CHEVRON CORPORATION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Amit R. Ghai</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Amit R. Ghai</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Controller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Accounting Officer and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Duly Authorized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3039" w:type="dxa"/>
        <w:jc w:val="left"/>
        <w:tblInd w:w="0" w:type="dxa"/>
        <w:tblLayout w:type="fixed"/>
        <w:tblCellMar>
          <w:top w:w="28" w:type="dxa"/>
          <w:left w:w="28" w:type="dxa"/>
          <w:bottom w:w="28" w:type="dxa"/>
          <w:right w:w="28" w:type="dxa"/>
        </w:tblCellMar>
      </w:tblPr>
      <w:tblGrid>
        <w:gridCol w:w="124"/>
        <w:gridCol w:w="109"/>
        <w:gridCol w:w="109"/>
        <w:gridCol w:w="774"/>
        <w:gridCol w:w="774"/>
        <w:gridCol w:w="77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33450" cy="78105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933450" cy="78105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9DD9"/>
                <w:sz w:val="36"/>
              </w:rPr>
            </w:pPr>
            <w:r>
              <w:rPr>
                <w:rFonts w:ascii="Arial;sans-serif" w:hAnsi="Arial;sans-serif"/>
                <w:b/>
                <w:color w:val="009DD9"/>
                <w:sz w:val="36"/>
              </w:rPr>
              <w:t>news release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4860" w:type="dxa"/>
        <w:jc w:val="left"/>
        <w:tblInd w:w="0" w:type="dxa"/>
        <w:tblLayout w:type="fixed"/>
        <w:tblCellMar>
          <w:top w:w="28" w:type="dxa"/>
          <w:left w:w="28" w:type="dxa"/>
          <w:bottom w:w="28" w:type="dxa"/>
          <w:right w:w="28" w:type="dxa"/>
        </w:tblCellMar>
      </w:tblPr>
      <w:tblGrid>
        <w:gridCol w:w="1213"/>
        <w:gridCol w:w="1063"/>
        <w:gridCol w:w="1069"/>
        <w:gridCol w:w="443"/>
        <w:gridCol w:w="443"/>
        <w:gridCol w:w="629"/>
      </w:tblGrid>
      <w:tr>
        <w:trPr/>
        <w:tc>
          <w:tcPr>
            <w:tcW w:w="1213"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2"/>
              </w:rPr>
            </w:pPr>
            <w:r>
              <w:rPr>
                <w:rFonts w:ascii="Arial;sans-serif" w:hAnsi="Arial;sans-serif"/>
                <w:b/>
                <w:color w:val="000000"/>
                <w:sz w:val="22"/>
              </w:rPr>
              <w:t>FOR RELEASE AT 5:15 AM CT</w:t>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2"/>
              </w:rPr>
            </w:pPr>
            <w:r>
              <w:rPr>
                <w:rFonts w:ascii="Arial;sans-serif" w:hAnsi="Arial;sans-serif"/>
                <w:b/>
                <w:color w:val="000000"/>
                <w:sz w:val="22"/>
              </w:rPr>
              <w:t>EXHIBIT 99.1</w:t>
            </w:r>
          </w:p>
        </w:tc>
      </w:tr>
      <w:tr>
        <w:trPr/>
        <w:tc>
          <w:tcPr>
            <w:tcW w:w="33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2"/>
              </w:rPr>
            </w:pPr>
            <w:r>
              <w:rPr>
                <w:rFonts w:ascii="Arial;sans-serif" w:hAnsi="Arial;sans-serif"/>
                <w:b/>
                <w:color w:val="000000"/>
                <w:sz w:val="22"/>
              </w:rPr>
              <w:t>JULY 31, 2026</w:t>
            </w:r>
          </w:p>
        </w:tc>
        <w:tc>
          <w:tcPr>
            <w:tcW w:w="151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180" w:after="60"/>
        <w:jc w:val="center"/>
        <w:rPr>
          <w:rFonts w:ascii="Arial;sans-serif" w:hAnsi="Arial;sans-serif"/>
          <w:b/>
          <w:color w:val="009DD9"/>
          <w:sz w:val="28"/>
        </w:rPr>
      </w:pPr>
      <w:r>
        <w:rPr>
          <w:rFonts w:ascii="Arial;sans-serif" w:hAnsi="Arial;sans-serif"/>
          <w:b/>
          <w:color w:val="009DD9"/>
          <w:sz w:val="28"/>
        </w:rPr>
        <w:t>Chevron Reports Second Quarter 2026 Results</w:t>
      </w:r>
    </w:p>
    <w:p>
      <w:pPr>
        <w:pStyle w:val="TextBody"/>
        <w:bidi w:val="0"/>
        <w:spacing w:lineRule="auto" w:line="288" w:before="120" w:after="20"/>
        <w:ind w:left="0" w:right="0" w:hanging="270"/>
        <w:jc w:val="both"/>
        <w:rPr/>
      </w:pPr>
      <w:r>
        <w:rPr>
          <w:color w:val="009DD9"/>
        </w:rPr>
        <w:t>•</w:t>
      </w:r>
      <w:r>
        <w:rPr>
          <w:rFonts w:ascii="Arial;sans-serif" w:hAnsi="Arial;sans-serif"/>
          <w:b w:val="false"/>
          <w:color w:val="009DD9"/>
          <w:sz w:val="24"/>
        </w:rPr>
        <w:t xml:space="preserve">Reported earnings of $12.1 billion; return on capital employed of 21 percent </w:t>
      </w:r>
    </w:p>
    <w:p>
      <w:pPr>
        <w:pStyle w:val="TextBody"/>
        <w:bidi w:val="0"/>
        <w:spacing w:lineRule="auto" w:line="288" w:before="0" w:after="20"/>
        <w:ind w:left="0" w:right="0" w:hanging="270"/>
        <w:jc w:val="both"/>
        <w:rPr/>
      </w:pPr>
      <w:r>
        <w:rPr>
          <w:color w:val="009DD9"/>
        </w:rPr>
        <w:t>•</w:t>
      </w:r>
      <w:r>
        <w:rPr>
          <w:rFonts w:ascii="Arial;sans-serif" w:hAnsi="Arial;sans-serif"/>
          <w:b w:val="false"/>
          <w:color w:val="009DD9"/>
          <w:sz w:val="24"/>
        </w:rPr>
        <w:t>Record U.S. production; worldwide production increased 20 percent from last year</w:t>
      </w:r>
    </w:p>
    <w:p>
      <w:pPr>
        <w:pStyle w:val="TextBody"/>
        <w:bidi w:val="0"/>
        <w:spacing w:lineRule="auto" w:line="288" w:before="0" w:after="20"/>
        <w:ind w:left="0" w:right="0" w:hanging="270"/>
        <w:jc w:val="both"/>
        <w:rPr/>
      </w:pPr>
      <w:r>
        <w:rPr>
          <w:color w:val="009DD9"/>
        </w:rPr>
        <w:t>•</w:t>
      </w:r>
      <w:r>
        <w:rPr>
          <w:rFonts w:ascii="Arial;sans-serif" w:hAnsi="Arial;sans-serif"/>
          <w:b w:val="false"/>
          <w:color w:val="009DD9"/>
          <w:sz w:val="24"/>
        </w:rPr>
        <w:t>Record crude unit throughput at U.S. refineries; crude unit utilization at 97 percent</w:t>
      </w:r>
    </w:p>
    <w:p>
      <w:pPr>
        <w:pStyle w:val="TextBody"/>
        <w:bidi w:val="0"/>
        <w:spacing w:lineRule="auto" w:line="288" w:before="0" w:after="20"/>
        <w:ind w:left="0" w:right="0" w:hanging="270"/>
        <w:jc w:val="both"/>
        <w:rPr/>
      </w:pPr>
      <w:r>
        <w:rPr>
          <w:color w:val="009DD9"/>
        </w:rPr>
        <w:t>•</w:t>
      </w:r>
      <w:r>
        <w:rPr>
          <w:rFonts w:ascii="Arial;sans-serif" w:hAnsi="Arial;sans-serif"/>
          <w:b w:val="false"/>
          <w:color w:val="009DD9"/>
          <w:sz w:val="24"/>
        </w:rPr>
        <w:t>Signed 20-year power agreement with Microsoft for West Texas data center</w:t>
      </w:r>
    </w:p>
    <w:p>
      <w:pPr>
        <w:pStyle w:val="TextBody"/>
        <w:bidi w:val="0"/>
        <w:spacing w:lineRule="auto" w:line="288" w:before="240" w:after="240"/>
        <w:jc w:val="both"/>
        <w:rPr/>
      </w:pPr>
      <w:r>
        <w:rPr>
          <w:rFonts w:ascii="Arial;sans-serif" w:hAnsi="Arial;sans-serif"/>
          <w:b/>
          <w:color w:val="000000"/>
          <w:sz w:val="22"/>
        </w:rPr>
        <w:t>HOUSTON, July 31, 2026</w:t>
      </w:r>
      <w:r>
        <w:rPr>
          <w:color w:val="000000"/>
        </w:rPr>
        <w:t xml:space="preserve"> – </w:t>
      </w:r>
      <w:r>
        <w:rPr>
          <w:rFonts w:ascii="Arial;sans-serif" w:hAnsi="Arial;sans-serif"/>
          <w:b w:val="false"/>
          <w:color w:val="000000"/>
          <w:sz w:val="22"/>
        </w:rPr>
        <w:t>Chevron Corporation (NYSE: CVX) reported earnings of $12.1 billion ($6.11 per share - diluted) for second quarter 2026. Included in the quarter were an asset sale gain of $230 million and pension settlement costs of $86 million. Foreign currency effects decreased earnings by $49 million. Adjusted earnings were $12.0 billion ($6.06 per share - diluted) for second quarter 2026. See Attachment 4 for a reconciliation of adjusted earnings.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40" w:after="283"/>
        <w:jc w:val="center"/>
        <w:rPr>
          <w:rFonts w:ascii="Arial;sans-serif" w:hAnsi="Arial;sans-serif"/>
          <w:b/>
          <w:color w:val="000000"/>
          <w:sz w:val="22"/>
        </w:rPr>
      </w:pPr>
      <w:r>
        <w:rPr>
          <w:rFonts w:ascii="Arial;sans-serif" w:hAnsi="Arial;sans-serif"/>
          <w:b/>
          <w:color w:val="000000"/>
          <w:sz w:val="22"/>
        </w:rPr>
        <w:t>Earnings &amp; Cash Flow Summary</w:t>
      </w:r>
    </w:p>
    <w:tbl>
      <w:tblPr>
        <w:tblW w:w="9180" w:type="dxa"/>
        <w:jc w:val="center"/>
        <w:tblInd w:w="0" w:type="dxa"/>
        <w:tblLayout w:type="fixed"/>
        <w:tblCellMar>
          <w:top w:w="28" w:type="dxa"/>
          <w:left w:w="28" w:type="dxa"/>
          <w:bottom w:w="28" w:type="dxa"/>
          <w:right w:w="28" w:type="dxa"/>
        </w:tblCellMar>
      </w:tblPr>
      <w:tblGrid>
        <w:gridCol w:w="1239"/>
        <w:gridCol w:w="1086"/>
        <w:gridCol w:w="1094"/>
        <w:gridCol w:w="248"/>
        <w:gridCol w:w="248"/>
        <w:gridCol w:w="255"/>
        <w:gridCol w:w="211"/>
        <w:gridCol w:w="721"/>
        <w:gridCol w:w="109"/>
        <w:gridCol w:w="211"/>
        <w:gridCol w:w="616"/>
        <w:gridCol w:w="109"/>
        <w:gridCol w:w="211"/>
        <w:gridCol w:w="616"/>
        <w:gridCol w:w="109"/>
        <w:gridCol w:w="211"/>
        <w:gridCol w:w="721"/>
        <w:gridCol w:w="109"/>
        <w:gridCol w:w="211"/>
        <w:gridCol w:w="691"/>
        <w:gridCol w:w="154"/>
      </w:tblGrid>
      <w:tr>
        <w:trPr/>
        <w:tc>
          <w:tcPr>
            <w:tcW w:w="1239"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Unit</w:t>
            </w:r>
          </w:p>
        </w:tc>
        <w:tc>
          <w:tcPr>
            <w:tcW w:w="1041" w:type="dxa"/>
            <w:gridSpan w:val="3"/>
            <w:tcBorders>
              <w:top w:val="single" w:sz="8" w:space="0" w:color="000000"/>
              <w:left w:val="single" w:sz="8" w:space="0" w:color="000000"/>
            </w:tcBorders>
            <w:shd w:fill="DBDBDB" w:val="clear"/>
            <w:tcMar>
              <w:top w:w="52"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2Q 2026</w:t>
            </w:r>
          </w:p>
        </w:tc>
        <w:tc>
          <w:tcPr>
            <w:tcW w:w="936"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1Q 2026</w:t>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2Q 2025</w:t>
            </w:r>
          </w:p>
        </w:tc>
        <w:tc>
          <w:tcPr>
            <w:tcW w:w="1041" w:type="dxa"/>
            <w:gridSpan w:val="3"/>
            <w:tcBorders>
              <w:top w:val="single" w:sz="8" w:space="0" w:color="000000"/>
              <w:left w:val="single" w:sz="8" w:space="0" w:color="000000"/>
            </w:tcBorders>
            <w:shd w:fill="DBDBDB" w:val="clear"/>
            <w:tcMar>
              <w:top w:w="52"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YTD 2026</w:t>
            </w:r>
          </w:p>
        </w:tc>
        <w:tc>
          <w:tcPr>
            <w:tcW w:w="1056"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YTD 2025</w:t>
            </w:r>
          </w:p>
        </w:tc>
      </w:tr>
      <w:tr>
        <w:trPr/>
        <w:tc>
          <w:tcPr>
            <w:tcW w:w="34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Earnings / (Loss)</w:t>
            </w:r>
          </w:p>
        </w:tc>
        <w:tc>
          <w:tcPr>
            <w:tcW w:w="7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 MM</w:t>
            </w:r>
          </w:p>
        </w:tc>
        <w:tc>
          <w:tcPr>
            <w:tcW w:w="211" w:type="dxa"/>
            <w:tcBorders>
              <w:top w:val="single" w:sz="8" w:space="0" w:color="000000"/>
              <w:left w:val="single" w:sz="8" w:space="0" w:color="000000"/>
            </w:tcBorders>
            <w:shd w:fill="DBDBDB" w:val="clear"/>
            <w:tcMar>
              <w:top w:w="52"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12,072 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2,490 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shd w:fill="DBDBDB" w:val="clear"/>
            <w:tcMar>
              <w:top w:w="52"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14,282 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5,990 </w:t>
            </w:r>
          </w:p>
        </w:tc>
        <w:tc>
          <w:tcPr>
            <w:tcW w:w="154" w:type="dxa"/>
            <w:tcBorders>
              <w:top w:val="single" w:sz="8" w:space="0" w:color="000000"/>
              <w:right w:val="single" w:sz="8" w:space="0" w:color="000000"/>
            </w:tcBorders>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6D6D6D"/>
                <w:sz w:val="18"/>
              </w:rPr>
            </w:pPr>
            <w:r>
              <w:rPr>
                <w:rFonts w:ascii="Arial;sans-serif" w:hAnsi="Arial;sans-serif"/>
                <w:b w:val="false"/>
                <w:i/>
                <w:color w:val="6D6D6D"/>
                <w:sz w:val="18"/>
              </w:rPr>
              <w:t>Upstream</w:t>
            </w:r>
          </w:p>
        </w:tc>
        <w:tc>
          <w:tcPr>
            <w:tcW w:w="7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6D6D6D"/>
                <w:sz w:val="18"/>
              </w:rPr>
            </w:pPr>
            <w:r>
              <w:rPr>
                <w:rFonts w:ascii="Arial;sans-serif" w:hAnsi="Arial;sans-serif"/>
                <w:b w:val="false"/>
                <w:i/>
                <w:color w:val="6D6D6D"/>
                <w:sz w:val="18"/>
              </w:rPr>
              <w:t>$ MM</w:t>
            </w:r>
          </w:p>
        </w:tc>
        <w:tc>
          <w:tcPr>
            <w:tcW w:w="211" w:type="dxa"/>
            <w:tcBorders>
              <w:top w:val="single" w:sz="8" w:space="0" w:color="000000"/>
              <w:left w:val="single" w:sz="8" w:space="0" w:color="000000"/>
            </w:tcBorders>
            <w:shd w:fill="DBDBDB" w:val="clear"/>
            <w:tcMar>
              <w:top w:w="52"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w:t>
            </w:r>
          </w:p>
        </w:tc>
        <w:tc>
          <w:tcPr>
            <w:tcW w:w="72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8,182 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Arial;sans-serif" w:hAnsi="Arial;sans-serif"/>
                <w:b w:val="false"/>
                <w:i/>
                <w:color w:val="6D6D6D"/>
                <w:sz w:val="18"/>
              </w:rPr>
            </w:pPr>
            <w:r>
              <w:rPr>
                <w:rFonts w:ascii="Arial;sans-serif" w:hAnsi="Arial;sans-serif"/>
                <w:b w:val="false"/>
                <w:i/>
                <w:color w:val="6D6D6D"/>
                <w:sz w:val="18"/>
              </w:rPr>
              <w:t>$</w:t>
            </w:r>
          </w:p>
        </w:tc>
        <w:tc>
          <w:tcPr>
            <w:tcW w:w="61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6D6D6D"/>
                <w:sz w:val="18"/>
              </w:rPr>
            </w:pPr>
            <w:r>
              <w:rPr>
                <w:rFonts w:ascii="Arial;sans-serif" w:hAnsi="Arial;sans-serif"/>
                <w:b w:val="false"/>
                <w:i/>
                <w:color w:val="6D6D6D"/>
                <w:sz w:val="18"/>
              </w:rPr>
              <w:t>3,909 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6D6D6D"/>
                <w:sz w:val="18"/>
              </w:rPr>
            </w:pPr>
            <w:r>
              <w:rPr>
                <w:rFonts w:ascii="Arial;sans-serif" w:hAnsi="Arial;sans-serif"/>
                <w:b w:val="false"/>
                <w:i/>
                <w:color w:val="6D6D6D"/>
                <w:sz w:val="18"/>
              </w:rPr>
              <w:t>$</w:t>
            </w:r>
          </w:p>
        </w:tc>
        <w:tc>
          <w:tcPr>
            <w:tcW w:w="61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6D6D6D"/>
                <w:sz w:val="18"/>
              </w:rPr>
            </w:pPr>
            <w:r>
              <w:rPr>
                <w:rFonts w:ascii="Arial;sans-serif" w:hAnsi="Arial;sans-serif"/>
                <w:b w:val="false"/>
                <w:i/>
                <w:color w:val="6D6D6D"/>
                <w:sz w:val="18"/>
              </w:rPr>
              <w:t>2,727 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shd w:fill="DBDBDB" w:val="clear"/>
            <w:tcMar>
              <w:top w:w="52"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w:t>
            </w:r>
          </w:p>
        </w:tc>
        <w:tc>
          <w:tcPr>
            <w:tcW w:w="72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12,091 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Arial;sans-serif" w:hAnsi="Arial;sans-serif"/>
                <w:b w:val="false"/>
                <w:i/>
                <w:color w:val="6D6D6D"/>
                <w:sz w:val="18"/>
              </w:rPr>
            </w:pPr>
            <w:r>
              <w:rPr>
                <w:rFonts w:ascii="Arial;sans-serif" w:hAnsi="Arial;sans-serif"/>
                <w:b w:val="false"/>
                <w:i/>
                <w:color w:val="6D6D6D"/>
                <w:sz w:val="18"/>
              </w:rPr>
              <w:t>$</w:t>
            </w:r>
          </w:p>
        </w:tc>
        <w:tc>
          <w:tcPr>
            <w:tcW w:w="69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6D6D6D"/>
                <w:sz w:val="18"/>
              </w:rPr>
            </w:pPr>
            <w:r>
              <w:rPr>
                <w:rFonts w:ascii="Arial;sans-serif" w:hAnsi="Arial;sans-serif"/>
                <w:b w:val="false"/>
                <w:i/>
                <w:color w:val="6D6D6D"/>
                <w:sz w:val="18"/>
              </w:rPr>
              <w:t>6,485 </w:t>
            </w:r>
          </w:p>
        </w:tc>
        <w:tc>
          <w:tcPr>
            <w:tcW w:w="154" w:type="dxa"/>
            <w:tcBorders>
              <w:top w:val="single" w:sz="8" w:space="0" w:color="000000"/>
              <w:right w:val="single" w:sz="8" w:space="0" w:color="000000"/>
            </w:tcBorders>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6D6D6D"/>
                <w:sz w:val="18"/>
              </w:rPr>
            </w:pPr>
            <w:r>
              <w:rPr>
                <w:rFonts w:ascii="Arial;sans-serif" w:hAnsi="Arial;sans-serif"/>
                <w:b w:val="false"/>
                <w:i/>
                <w:color w:val="6D6D6D"/>
                <w:sz w:val="18"/>
              </w:rPr>
              <w:t>Downstream</w:t>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6D6D6D"/>
                <w:sz w:val="18"/>
              </w:rPr>
            </w:pPr>
            <w:r>
              <w:rPr>
                <w:rFonts w:ascii="Arial;sans-serif" w:hAnsi="Arial;sans-serif"/>
                <w:b w:val="false"/>
                <w:i/>
                <w:color w:val="6D6D6D"/>
                <w:sz w:val="18"/>
              </w:rPr>
              <w:t>$ MM</w:t>
            </w:r>
          </w:p>
        </w:tc>
        <w:tc>
          <w:tcPr>
            <w:tcW w:w="211" w:type="dxa"/>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w:t>
            </w:r>
          </w:p>
        </w:tc>
        <w:tc>
          <w:tcPr>
            <w:tcW w:w="72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4,868 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i/>
                <w:color w:val="6D6D6D"/>
                <w:sz w:val="18"/>
              </w:rPr>
            </w:pPr>
            <w:r>
              <w:rPr>
                <w:rFonts w:ascii="Arial;sans-serif" w:hAnsi="Arial;sans-serif"/>
                <w:b w:val="false"/>
                <w:i/>
                <w:color w:val="6D6D6D"/>
                <w:sz w:val="18"/>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6D6D6D"/>
                <w:sz w:val="18"/>
              </w:rPr>
            </w:pPr>
            <w:r>
              <w:rPr>
                <w:rFonts w:ascii="Arial;sans-serif" w:hAnsi="Arial;sans-serif"/>
                <w:b w:val="false"/>
                <w:i/>
                <w:color w:val="6D6D6D"/>
                <w:sz w:val="18"/>
              </w:rPr>
              <w:t>(817)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6D6D6D"/>
                <w:sz w:val="18"/>
              </w:rPr>
            </w:pPr>
            <w:r>
              <w:rPr>
                <w:rFonts w:ascii="Arial;sans-serif" w:hAnsi="Arial;sans-serif"/>
                <w:b w:val="false"/>
                <w:i/>
                <w:color w:val="6D6D6D"/>
                <w:sz w:val="18"/>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6D6D6D"/>
                <w:sz w:val="18"/>
              </w:rPr>
            </w:pPr>
            <w:r>
              <w:rPr>
                <w:rFonts w:ascii="Arial;sans-serif" w:hAnsi="Arial;sans-serif"/>
                <w:b w:val="false"/>
                <w:i/>
                <w:color w:val="6D6D6D"/>
                <w:sz w:val="18"/>
              </w:rPr>
              <w:t>737 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w:t>
            </w:r>
          </w:p>
        </w:tc>
        <w:tc>
          <w:tcPr>
            <w:tcW w:w="72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4,051 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i/>
                <w:color w:val="6D6D6D"/>
                <w:sz w:val="18"/>
              </w:rPr>
            </w:pPr>
            <w:r>
              <w:rPr>
                <w:rFonts w:ascii="Arial;sans-serif" w:hAnsi="Arial;sans-serif"/>
                <w:b w:val="false"/>
                <w:i/>
                <w:color w:val="6D6D6D"/>
                <w:sz w:val="18"/>
              </w:rPr>
              <w:t>$</w:t>
            </w:r>
          </w:p>
        </w:tc>
        <w:tc>
          <w:tcPr>
            <w:tcW w:w="69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6D6D6D"/>
                <w:sz w:val="18"/>
              </w:rPr>
            </w:pPr>
            <w:r>
              <w:rPr>
                <w:rFonts w:ascii="Arial;sans-serif" w:hAnsi="Arial;sans-serif"/>
                <w:b w:val="false"/>
                <w:i/>
                <w:color w:val="6D6D6D"/>
                <w:sz w:val="18"/>
              </w:rPr>
              <w:t>1,062 </w:t>
            </w:r>
          </w:p>
        </w:tc>
        <w:tc>
          <w:tcPr>
            <w:tcW w:w="154"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6D6D6D"/>
                <w:sz w:val="18"/>
              </w:rPr>
            </w:pPr>
            <w:r>
              <w:rPr>
                <w:rFonts w:ascii="Arial;sans-serif" w:hAnsi="Arial;sans-serif"/>
                <w:b w:val="false"/>
                <w:i/>
                <w:color w:val="6D6D6D"/>
                <w:sz w:val="18"/>
              </w:rPr>
              <w:t>All Other</w:t>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6D6D6D"/>
                <w:sz w:val="18"/>
              </w:rPr>
            </w:pPr>
            <w:r>
              <w:rPr>
                <w:rFonts w:ascii="Arial;sans-serif" w:hAnsi="Arial;sans-serif"/>
                <w:b w:val="false"/>
                <w:i/>
                <w:color w:val="6D6D6D"/>
                <w:sz w:val="18"/>
              </w:rPr>
              <w:t>$ MM</w:t>
            </w:r>
          </w:p>
        </w:tc>
        <w:tc>
          <w:tcPr>
            <w:tcW w:w="211" w:type="dxa"/>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w:t>
            </w:r>
          </w:p>
        </w:tc>
        <w:tc>
          <w:tcPr>
            <w:tcW w:w="72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(978)</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i/>
                <w:color w:val="6D6D6D"/>
                <w:sz w:val="18"/>
              </w:rPr>
            </w:pPr>
            <w:r>
              <w:rPr>
                <w:rFonts w:ascii="Arial;sans-serif" w:hAnsi="Arial;sans-serif"/>
                <w:b w:val="false"/>
                <w:i/>
                <w:color w:val="6D6D6D"/>
                <w:sz w:val="18"/>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6D6D6D"/>
                <w:sz w:val="18"/>
              </w:rPr>
            </w:pPr>
            <w:r>
              <w:rPr>
                <w:rFonts w:ascii="Arial;sans-serif" w:hAnsi="Arial;sans-serif"/>
                <w:b w:val="false"/>
                <w:i/>
                <w:color w:val="6D6D6D"/>
                <w:sz w:val="18"/>
              </w:rPr>
              <w:t>(882)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6D6D6D"/>
                <w:sz w:val="18"/>
              </w:rPr>
            </w:pPr>
            <w:r>
              <w:rPr>
                <w:rFonts w:ascii="Arial;sans-serif" w:hAnsi="Arial;sans-serif"/>
                <w:b w:val="false"/>
                <w:i/>
                <w:color w:val="6D6D6D"/>
                <w:sz w:val="18"/>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6D6D6D"/>
                <w:sz w:val="18"/>
              </w:rPr>
            </w:pPr>
            <w:r>
              <w:rPr>
                <w:rFonts w:ascii="Arial;sans-serif" w:hAnsi="Arial;sans-serif"/>
                <w:b w:val="false"/>
                <w:i/>
                <w:color w:val="6D6D6D"/>
                <w:sz w:val="18"/>
              </w:rPr>
              <w:t>(974)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w:t>
            </w:r>
          </w:p>
        </w:tc>
        <w:tc>
          <w:tcPr>
            <w:tcW w:w="72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(1,860)</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i/>
                <w:color w:val="6D6D6D"/>
                <w:sz w:val="18"/>
              </w:rPr>
            </w:pPr>
            <w:r>
              <w:rPr>
                <w:rFonts w:ascii="Arial;sans-serif" w:hAnsi="Arial;sans-serif"/>
                <w:b w:val="false"/>
                <w:i/>
                <w:color w:val="6D6D6D"/>
                <w:sz w:val="18"/>
              </w:rPr>
              <w:t>$</w:t>
            </w:r>
          </w:p>
        </w:tc>
        <w:tc>
          <w:tcPr>
            <w:tcW w:w="69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6D6D6D"/>
                <w:sz w:val="18"/>
              </w:rPr>
            </w:pPr>
            <w:r>
              <w:rPr>
                <w:rFonts w:ascii="Arial;sans-serif" w:hAnsi="Arial;sans-serif"/>
                <w:b w:val="false"/>
                <w:i/>
                <w:color w:val="6D6D6D"/>
                <w:sz w:val="18"/>
              </w:rPr>
              <w:t>(1,557)</w:t>
            </w:r>
          </w:p>
        </w:tc>
        <w:tc>
          <w:tcPr>
            <w:tcW w:w="154"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Earnings Per Share - Diluted</w:t>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$/Share</w:t>
            </w:r>
          </w:p>
        </w:tc>
        <w:tc>
          <w:tcPr>
            <w:tcW w:w="211" w:type="dxa"/>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3.45 </w:t>
            </w:r>
          </w:p>
        </w:tc>
        <w:tc>
          <w:tcPr>
            <w:tcW w:w="154"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6D6D6D"/>
                <w:sz w:val="18"/>
              </w:rPr>
              <w:t xml:space="preserve">Adjusted Earnings </w:t>
            </w:r>
            <w:r>
              <w:rPr>
                <w:rFonts w:ascii="Arial;sans-serif" w:hAnsi="Arial;sans-serif"/>
                <w:b w:val="false"/>
                <w:color w:val="6D6D6D"/>
                <w:sz w:val="12"/>
              </w:rPr>
              <w:t>(1)</w:t>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6D6D6D"/>
                <w:sz w:val="18"/>
              </w:rPr>
            </w:pPr>
            <w:r>
              <w:rPr>
                <w:rFonts w:ascii="Arial;sans-serif" w:hAnsi="Arial;sans-serif"/>
                <w:b w:val="false"/>
                <w:color w:val="6D6D6D"/>
                <w:sz w:val="18"/>
              </w:rPr>
              <w:t>$ MM</w:t>
            </w:r>
          </w:p>
        </w:tc>
        <w:tc>
          <w:tcPr>
            <w:tcW w:w="211" w:type="dxa"/>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11,977 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6D6D6D"/>
                <w:sz w:val="18"/>
              </w:rPr>
            </w:pPr>
            <w:r>
              <w:rPr>
                <w:rFonts w:ascii="Arial;sans-serif" w:hAnsi="Arial;sans-serif"/>
                <w:b w:val="false"/>
                <w:color w:val="6D6D6D"/>
                <w:sz w:val="18"/>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6D6D6D"/>
                <w:sz w:val="18"/>
              </w:rPr>
            </w:pPr>
            <w:r>
              <w:rPr>
                <w:rFonts w:ascii="Arial;sans-serif" w:hAnsi="Arial;sans-serif"/>
                <w:b w:val="false"/>
                <w:color w:val="6D6D6D"/>
                <w:sz w:val="18"/>
              </w:rPr>
              <w:t>2,793 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6D6D6D"/>
                <w:sz w:val="18"/>
              </w:rPr>
            </w:pPr>
            <w:r>
              <w:rPr>
                <w:rFonts w:ascii="Arial;sans-serif" w:hAnsi="Arial;sans-serif"/>
                <w:b w:val="false"/>
                <w:color w:val="6D6D6D"/>
                <w:sz w:val="18"/>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6D6D6D"/>
                <w:sz w:val="18"/>
              </w:rPr>
            </w:pPr>
            <w:r>
              <w:rPr>
                <w:rFonts w:ascii="Arial;sans-serif" w:hAnsi="Arial;sans-serif"/>
                <w:b w:val="false"/>
                <w:color w:val="6D6D6D"/>
                <w:sz w:val="18"/>
              </w:rPr>
              <w:t>3,053 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14,770 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6D6D6D"/>
                <w:sz w:val="18"/>
              </w:rPr>
            </w:pPr>
            <w:r>
              <w:rPr>
                <w:rFonts w:ascii="Arial;sans-serif" w:hAnsi="Arial;sans-serif"/>
                <w:b w:val="false"/>
                <w:color w:val="6D6D6D"/>
                <w:sz w:val="18"/>
              </w:rPr>
              <w:t>$</w:t>
            </w:r>
          </w:p>
        </w:tc>
        <w:tc>
          <w:tcPr>
            <w:tcW w:w="69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6D6D6D"/>
                <w:sz w:val="18"/>
              </w:rPr>
            </w:pPr>
            <w:r>
              <w:rPr>
                <w:rFonts w:ascii="Arial;sans-serif" w:hAnsi="Arial;sans-serif"/>
                <w:b w:val="false"/>
                <w:color w:val="6D6D6D"/>
                <w:sz w:val="18"/>
              </w:rPr>
              <w:t>6,866 </w:t>
            </w:r>
          </w:p>
        </w:tc>
        <w:tc>
          <w:tcPr>
            <w:tcW w:w="154"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6D6D6D"/>
                <w:sz w:val="18"/>
              </w:rPr>
              <w:t xml:space="preserve">Adjusted Earnings Per Share - Diluted </w:t>
            </w:r>
            <w:r>
              <w:rPr>
                <w:rFonts w:ascii="Arial;sans-serif" w:hAnsi="Arial;sans-serif"/>
                <w:b w:val="false"/>
                <w:color w:val="6D6D6D"/>
                <w:sz w:val="12"/>
              </w:rPr>
              <w:t>(1)</w:t>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6D6D6D"/>
                <w:sz w:val="18"/>
              </w:rPr>
            </w:pPr>
            <w:r>
              <w:rPr>
                <w:rFonts w:ascii="Arial;sans-serif" w:hAnsi="Arial;sans-serif"/>
                <w:b w:val="false"/>
                <w:color w:val="6D6D6D"/>
                <w:sz w:val="18"/>
              </w:rPr>
              <w:t>$/Share</w:t>
            </w:r>
          </w:p>
        </w:tc>
        <w:tc>
          <w:tcPr>
            <w:tcW w:w="211" w:type="dxa"/>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6D6D6D"/>
                <w:sz w:val="18"/>
              </w:rPr>
            </w:pPr>
            <w:r>
              <w:rPr>
                <w:rFonts w:ascii="Arial;sans-serif" w:hAnsi="Arial;sans-serif"/>
                <w:b w:val="false"/>
                <w:color w:val="6D6D6D"/>
                <w:sz w:val="18"/>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6D6D6D"/>
                <w:sz w:val="18"/>
              </w:rPr>
            </w:pPr>
            <w:r>
              <w:rPr>
                <w:rFonts w:ascii="Arial;sans-serif" w:hAnsi="Arial;sans-serif"/>
                <w:b w:val="false"/>
                <w:color w:val="6D6D6D"/>
                <w:sz w:val="18"/>
              </w:rPr>
              <w:t>1.41 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6D6D6D"/>
                <w:sz w:val="18"/>
              </w:rPr>
            </w:pPr>
            <w:r>
              <w:rPr>
                <w:rFonts w:ascii="Arial;sans-serif" w:hAnsi="Arial;sans-serif"/>
                <w:b w:val="false"/>
                <w:color w:val="6D6D6D"/>
                <w:sz w:val="18"/>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6D6D6D"/>
                <w:sz w:val="18"/>
              </w:rPr>
            </w:pPr>
            <w:r>
              <w:rPr>
                <w:rFonts w:ascii="Arial;sans-serif" w:hAnsi="Arial;sans-serif"/>
                <w:b w:val="false"/>
                <w:color w:val="6D6D6D"/>
                <w:sz w:val="18"/>
              </w:rPr>
              <w:t>1.77 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6D6D6D"/>
                <w:sz w:val="18"/>
              </w:rPr>
            </w:pPr>
            <w:r>
              <w:rPr>
                <w:rFonts w:ascii="Arial;sans-serif" w:hAnsi="Arial;sans-serif"/>
                <w:b w:val="false"/>
                <w:color w:val="6D6D6D"/>
                <w:sz w:val="18"/>
              </w:rPr>
              <w:t>$</w:t>
            </w:r>
          </w:p>
        </w:tc>
        <w:tc>
          <w:tcPr>
            <w:tcW w:w="69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6D6D6D"/>
                <w:sz w:val="18"/>
              </w:rPr>
            </w:pPr>
            <w:r>
              <w:rPr>
                <w:rFonts w:ascii="Arial;sans-serif" w:hAnsi="Arial;sans-serif"/>
                <w:b w:val="false"/>
                <w:color w:val="6D6D6D"/>
                <w:sz w:val="18"/>
              </w:rPr>
              <w:t>3.95 </w:t>
            </w:r>
          </w:p>
        </w:tc>
        <w:tc>
          <w:tcPr>
            <w:tcW w:w="154"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Flow From Operations (CFFO)</w:t>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 B</w:t>
            </w:r>
          </w:p>
        </w:tc>
        <w:tc>
          <w:tcPr>
            <w:tcW w:w="211" w:type="dxa"/>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13.8 </w:t>
            </w:r>
          </w:p>
        </w:tc>
        <w:tc>
          <w:tcPr>
            <w:tcW w:w="154"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CFFO Excluding Working Capital </w:t>
            </w:r>
            <w:r>
              <w:rPr>
                <w:rFonts w:ascii="Arial;sans-serif" w:hAnsi="Arial;sans-serif"/>
                <w:b w:val="false"/>
                <w:color w:val="000000"/>
                <w:sz w:val="12"/>
              </w:rPr>
              <w:t>(1)</w:t>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 B</w:t>
            </w:r>
          </w:p>
        </w:tc>
        <w:tc>
          <w:tcPr>
            <w:tcW w:w="211" w:type="dxa"/>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15.9 </w:t>
            </w:r>
          </w:p>
        </w:tc>
        <w:tc>
          <w:tcPr>
            <w:tcW w:w="154"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Avg. Brent Spot Price (Source: Platts)</w:t>
            </w:r>
          </w:p>
        </w:tc>
        <w:tc>
          <w:tcPr>
            <w:tcW w:w="7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$/BBL</w:t>
            </w:r>
          </w:p>
        </w:tc>
        <w:tc>
          <w:tcPr>
            <w:tcW w:w="211" w:type="dxa"/>
            <w:tcBorders>
              <w:left w:val="single" w:sz="8" w:space="0" w:color="000000"/>
              <w:bottom w:val="single" w:sz="8" w:space="0" w:color="000000"/>
            </w:tcBorders>
            <w:shd w:fill="DBDBDB" w:val="clear"/>
            <w:tcMar>
              <w:top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104 </w:t>
            </w:r>
          </w:p>
        </w:tc>
        <w:tc>
          <w:tcPr>
            <w:tcW w:w="109" w:type="dxa"/>
            <w:tcBorders>
              <w:bottom w:val="single" w:sz="8" w:space="0" w:color="000000"/>
            </w:tcBorders>
            <w:shd w:fill="DBDBD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81 </w:t>
            </w:r>
          </w:p>
        </w:tc>
        <w:tc>
          <w:tcPr>
            <w:tcW w:w="109"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68 </w:t>
            </w:r>
          </w:p>
        </w:tc>
        <w:tc>
          <w:tcPr>
            <w:tcW w:w="109"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bottom w:val="single" w:sz="8" w:space="0" w:color="000000"/>
            </w:tcBorders>
            <w:shd w:fill="DBDBDB" w:val="clear"/>
            <w:tcMar>
              <w:top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92 </w:t>
            </w:r>
          </w:p>
        </w:tc>
        <w:tc>
          <w:tcPr>
            <w:tcW w:w="109" w:type="dxa"/>
            <w:tcBorders>
              <w:bottom w:val="single" w:sz="8" w:space="0" w:color="000000"/>
            </w:tcBorders>
            <w:shd w:fill="DBDBD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72 </w:t>
            </w:r>
          </w:p>
        </w:tc>
        <w:tc>
          <w:tcPr>
            <w:tcW w:w="154" w:type="dxa"/>
            <w:tcBorders>
              <w:bottom w:val="single" w:sz="8" w:space="0" w:color="000000"/>
              <w:right w:val="single" w:sz="8" w:space="0" w:color="000000"/>
            </w:tcBorders>
            <w:tcMar>
              <w:top w:w="0" w:type="dxa"/>
              <w:left w:w="0" w:type="dxa"/>
              <w:bottom w:w="30" w:type="dxa"/>
            </w:tcMar>
            <w:vAlign w:val="center"/>
          </w:tcPr>
          <w:p>
            <w:pPr>
              <w:pStyle w:val="TableContents"/>
              <w:bidi w:val="0"/>
              <w:spacing w:before="0" w:after="283"/>
              <w:jc w:val="left"/>
              <w:rPr>
                <w:sz w:val="4"/>
                <w:szCs w:val="4"/>
              </w:rPr>
            </w:pPr>
            <w:r>
              <w:rPr>
                <w:sz w:val="4"/>
                <w:szCs w:val="4"/>
              </w:rPr>
            </w:r>
          </w:p>
        </w:tc>
      </w:tr>
      <w:tr>
        <w:trPr/>
        <w:tc>
          <w:tcPr>
            <w:tcW w:w="9180" w:type="dxa"/>
            <w:gridSpan w:val="21"/>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2"/>
              </w:rPr>
              <w:t>(1)</w:t>
            </w:r>
            <w:r>
              <w:rPr>
                <w:color w:val="000000"/>
              </w:rPr>
              <w:t xml:space="preserve"> </w:t>
            </w:r>
            <w:r>
              <w:rPr>
                <w:rFonts w:ascii="Arial;sans-serif" w:hAnsi="Arial;sans-serif"/>
                <w:b w:val="false"/>
                <w:color w:val="000000"/>
                <w:sz w:val="18"/>
              </w:rPr>
              <w:t>See non-GAAP measure definitions on page 5 and reconciliations in the attachments</w:t>
            </w:r>
          </w:p>
        </w:tc>
      </w:tr>
      <w:tr>
        <w:trPr/>
        <w:tc>
          <w:tcPr>
            <w:tcW w:w="3419"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color w:val="000000"/>
        </w:rPr>
      </w:pPr>
      <w:r>
        <w:rPr>
          <w:color w:val="000000"/>
        </w:rPr>
        <w:t>“</w:t>
      </w:r>
      <w:r>
        <w:rPr>
          <w:rFonts w:ascii="Arial;sans-serif" w:hAnsi="Arial;sans-serif"/>
          <w:b w:val="false"/>
          <w:color w:val="000000"/>
          <w:sz w:val="22"/>
        </w:rPr>
        <w:t>Faced with geopolitical uncertainty and market volatility, Chevron’s people remain focused on safely delivering the reliable energy the world needs,” said Mike Wirth, Chevron's chairman and chief executive officer. “Our strong second quarter performance is a result of disciplined investment and strong execution that drove record U.S. upstream production, record crude throughput in our U.S. refineries, and exceptional reliability across key assets.”</w:t>
      </w:r>
    </w:p>
    <w:p>
      <w:pPr>
        <w:pStyle w:val="TextBody"/>
        <w:bidi w:val="0"/>
        <w:spacing w:lineRule="auto" w:line="288" w:before="120" w:after="120"/>
        <w:jc w:val="both"/>
        <w:rPr>
          <w:color w:val="000000"/>
        </w:rPr>
      </w:pPr>
      <w:r>
        <w:rPr>
          <w:color w:val="000000"/>
        </w:rPr>
        <w:t>“</w:t>
      </w:r>
      <w:r>
        <w:rPr>
          <w:rFonts w:ascii="Arial;sans-serif" w:hAnsi="Arial;sans-serif"/>
          <w:b w:val="false"/>
          <w:color w:val="000000"/>
          <w:sz w:val="22"/>
        </w:rPr>
        <w:t>We remain focused on cost discipline and long-term value creation. During the second quarter, the company achieved its structural cost reduction target six months early by capturing $3 billion in annual run-rate savings. Furthermore, we delivered $1.5 billion of annual run-rate synergies related to the Hess Corporation acquisition within one year of closing,” Wirth continued.</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w:t>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31445"/>
                <wp:effectExtent l="0" t="0" r="0" b="0"/>
                <wp:wrapNone/>
                <wp:docPr id="5" name="Frame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-MORE-</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22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-MORE-</w:t>
                      </w:r>
                    </w:p>
                  </w:txbxContent>
                </v:textbox>
                <w10:wrap type="none"/>
              </v:rect>
            </w:pict>
          </mc:Fallback>
        </mc:AlternateContent>
      </w:r>
    </w:p>
    <w:p>
      <w:pPr>
        <w:pStyle w:val="TextBody"/>
        <w:bidi w:val="0"/>
        <w:spacing w:lineRule="auto" w:line="288" w:before="120" w:after="120"/>
        <w:jc w:val="both"/>
        <w:rPr>
          <w:color w:val="000000"/>
        </w:rPr>
      </w:pPr>
      <w:r>
        <w:rPr>
          <w:color w:val="000000"/>
        </w:rPr>
        <w:t>“</w:t>
      </w:r>
      <w:r>
        <w:rPr>
          <w:rFonts w:ascii="Arial;sans-serif" w:hAnsi="Arial;sans-serif"/>
          <w:b w:val="false"/>
          <w:color w:val="000000"/>
          <w:sz w:val="22"/>
        </w:rPr>
        <w:t xml:space="preserve">And we have positioned the company to help power American AI dominance and generate resilient cash flows through leveraging our unique capabilities,” Wirth concluded. During the quarter, Chevron signed a 20-year power purchase agreement with Microsoft to provide 2.67 gigawatts of behind-the-meter power for its data center in West Texas.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60"/>
        <w:jc w:val="center"/>
        <w:rPr>
          <w:rFonts w:ascii="Arial;sans-serif" w:hAnsi="Arial;sans-serif"/>
          <w:b/>
          <w:color w:val="000000"/>
          <w:sz w:val="22"/>
        </w:rPr>
      </w:pPr>
      <w:r>
        <w:rPr>
          <w:rFonts w:ascii="Arial;sans-serif" w:hAnsi="Arial;sans-serif"/>
          <w:b/>
          <w:color w:val="000000"/>
          <w:sz w:val="22"/>
        </w:rPr>
        <w:t>Financial and Business Highlights</w:t>
      </w:r>
    </w:p>
    <w:tbl>
      <w:tblPr>
        <w:tblW w:w="8697" w:type="dxa"/>
        <w:jc w:val="center"/>
        <w:tblInd w:w="0" w:type="dxa"/>
        <w:tblLayout w:type="fixed"/>
        <w:tblCellMar>
          <w:top w:w="28" w:type="dxa"/>
          <w:left w:w="28" w:type="dxa"/>
          <w:bottom w:w="28" w:type="dxa"/>
          <w:right w:w="28" w:type="dxa"/>
        </w:tblCellMar>
      </w:tblPr>
      <w:tblGrid>
        <w:gridCol w:w="1128"/>
        <w:gridCol w:w="993"/>
        <w:gridCol w:w="999"/>
        <w:gridCol w:w="253"/>
        <w:gridCol w:w="253"/>
        <w:gridCol w:w="260"/>
        <w:gridCol w:w="211"/>
        <w:gridCol w:w="511"/>
        <w:gridCol w:w="271"/>
        <w:gridCol w:w="211"/>
        <w:gridCol w:w="481"/>
        <w:gridCol w:w="271"/>
        <w:gridCol w:w="211"/>
        <w:gridCol w:w="406"/>
        <w:gridCol w:w="271"/>
        <w:gridCol w:w="211"/>
        <w:gridCol w:w="511"/>
        <w:gridCol w:w="271"/>
        <w:gridCol w:w="220"/>
        <w:gridCol w:w="424"/>
        <w:gridCol w:w="330"/>
      </w:tblGrid>
      <w:tr>
        <w:trPr/>
        <w:tc>
          <w:tcPr>
            <w:tcW w:w="1128"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left w:val="dotted" w:sz="2" w:space="0" w:color="FFFFFF"/>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Unit</w:t>
            </w:r>
          </w:p>
        </w:tc>
        <w:tc>
          <w:tcPr>
            <w:tcW w:w="993" w:type="dxa"/>
            <w:gridSpan w:val="3"/>
            <w:tcBorders>
              <w:top w:val="single" w:sz="8" w:space="0" w:color="000000"/>
              <w:left w:val="single" w:sz="8" w:space="0" w:color="000000"/>
            </w:tcBorders>
            <w:shd w:fill="DBDBDB" w:val="clear"/>
            <w:tcMar>
              <w:top w:w="52"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2Q 2026</w:t>
            </w:r>
          </w:p>
        </w:tc>
        <w:tc>
          <w:tcPr>
            <w:tcW w:w="963"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1Q 2026</w:t>
            </w:r>
          </w:p>
        </w:tc>
        <w:tc>
          <w:tcPr>
            <w:tcW w:w="8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2Q 2025</w:t>
            </w:r>
          </w:p>
        </w:tc>
        <w:tc>
          <w:tcPr>
            <w:tcW w:w="993" w:type="dxa"/>
            <w:gridSpan w:val="3"/>
            <w:tcBorders>
              <w:top w:val="single" w:sz="8" w:space="0" w:color="000000"/>
              <w:left w:val="single" w:sz="8" w:space="0" w:color="000000"/>
            </w:tcBorders>
            <w:shd w:fill="DBDBDB" w:val="clear"/>
            <w:tcMar>
              <w:top w:w="52"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YTD 2026</w:t>
            </w:r>
          </w:p>
        </w:tc>
        <w:tc>
          <w:tcPr>
            <w:tcW w:w="974"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YTD 2025</w:t>
            </w:r>
          </w:p>
        </w:tc>
      </w:tr>
      <w:tr>
        <w:trPr/>
        <w:tc>
          <w:tcPr>
            <w:tcW w:w="31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Return on Capital Employed (ROCE)</w:t>
            </w:r>
          </w:p>
        </w:tc>
        <w:tc>
          <w:tcPr>
            <w:tcW w:w="7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w:t>
            </w:r>
          </w:p>
        </w:tc>
        <w:tc>
          <w:tcPr>
            <w:tcW w:w="722" w:type="dxa"/>
            <w:gridSpan w:val="2"/>
            <w:tcBorders>
              <w:top w:val="single" w:sz="8" w:space="0" w:color="000000"/>
              <w:left w:val="single" w:sz="8" w:space="0" w:color="000000"/>
            </w:tcBorders>
            <w:shd w:fill="DBDBDB" w:val="clear"/>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21.4 </w:t>
            </w:r>
          </w:p>
        </w:tc>
        <w:tc>
          <w:tcPr>
            <w:tcW w:w="27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692"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4.5 </w:t>
            </w:r>
          </w:p>
        </w:tc>
        <w:tc>
          <w:tcPr>
            <w:tcW w:w="27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61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6.2 </w:t>
            </w:r>
          </w:p>
        </w:tc>
        <w:tc>
          <w:tcPr>
            <w:tcW w:w="27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722" w:type="dxa"/>
            <w:gridSpan w:val="2"/>
            <w:tcBorders>
              <w:top w:val="single" w:sz="8" w:space="0" w:color="000000"/>
              <w:left w:val="single" w:sz="8" w:space="0" w:color="000000"/>
            </w:tcBorders>
            <w:shd w:fill="DBDBDB" w:val="clear"/>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13.0 </w:t>
            </w:r>
          </w:p>
        </w:tc>
        <w:tc>
          <w:tcPr>
            <w:tcW w:w="27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644"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7.3 </w:t>
            </w:r>
          </w:p>
        </w:tc>
        <w:tc>
          <w:tcPr>
            <w:tcW w:w="330" w:type="dxa"/>
            <w:tcBorders>
              <w:top w:val="single" w:sz="8" w:space="0" w:color="000000"/>
              <w:right w:val="single" w:sz="8" w:space="0" w:color="000000"/>
            </w:tcBorders>
            <w:tcMar>
              <w:top w:w="52" w:type="dxa"/>
              <w:left w:w="0" w:type="dxa"/>
              <w:bottom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Capital Expenditures (Capex)</w:t>
            </w:r>
            <w:r>
              <w:rPr>
                <w:color w:val="000000"/>
              </w:rPr>
              <w:t xml:space="preserve"> </w:t>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 B</w:t>
            </w:r>
          </w:p>
        </w:tc>
        <w:tc>
          <w:tcPr>
            <w:tcW w:w="211" w:type="dxa"/>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8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2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7.6 </w:t>
            </w:r>
          </w:p>
        </w:tc>
        <w:tc>
          <w:tcPr>
            <w:tcW w:w="330"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Affiliate Capex</w:t>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 B</w:t>
            </w:r>
          </w:p>
        </w:tc>
        <w:tc>
          <w:tcPr>
            <w:tcW w:w="211" w:type="dxa"/>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8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2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0.9 </w:t>
            </w:r>
          </w:p>
        </w:tc>
        <w:tc>
          <w:tcPr>
            <w:tcW w:w="330"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Free Cash Flow (FCF) </w:t>
            </w:r>
            <w:r>
              <w:rPr>
                <w:rFonts w:ascii="Arial;sans-serif" w:hAnsi="Arial;sans-serif"/>
                <w:b w:val="false"/>
                <w:color w:val="000000"/>
                <w:sz w:val="12"/>
              </w:rPr>
              <w:t>(1)</w:t>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 B</w:t>
            </w:r>
          </w:p>
        </w:tc>
        <w:tc>
          <w:tcPr>
            <w:tcW w:w="211" w:type="dxa"/>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8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2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6.1 </w:t>
            </w:r>
          </w:p>
        </w:tc>
        <w:tc>
          <w:tcPr>
            <w:tcW w:w="330"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Adjusted Free Cash Flow </w:t>
            </w:r>
            <w:r>
              <w:rPr>
                <w:rFonts w:ascii="Arial;sans-serif" w:hAnsi="Arial;sans-serif"/>
                <w:b w:val="false"/>
                <w:color w:val="000000"/>
                <w:sz w:val="12"/>
              </w:rPr>
              <w:t>(1)</w:t>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 B</w:t>
            </w:r>
          </w:p>
        </w:tc>
        <w:tc>
          <w:tcPr>
            <w:tcW w:w="211" w:type="dxa"/>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8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19.6 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2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9.1 </w:t>
            </w:r>
          </w:p>
        </w:tc>
        <w:tc>
          <w:tcPr>
            <w:tcW w:w="330"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r>
      <w:tr>
        <w:trPr/>
        <w:tc>
          <w:tcPr>
            <w:tcW w:w="3120"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Debt-to-CFFO</w:t>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Ratio</w:t>
            </w:r>
          </w:p>
        </w:tc>
        <w:tc>
          <w:tcPr>
            <w:tcW w:w="993" w:type="dxa"/>
            <w:gridSpan w:val="3"/>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0.8x</w:t>
            </w:r>
          </w:p>
        </w:tc>
        <w:tc>
          <w:tcPr>
            <w:tcW w:w="963"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1.5x</w:t>
            </w:r>
          </w:p>
        </w:tc>
        <w:tc>
          <w:tcPr>
            <w:tcW w:w="8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0.9x</w:t>
            </w:r>
          </w:p>
        </w:tc>
        <w:tc>
          <w:tcPr>
            <w:tcW w:w="993" w:type="dxa"/>
            <w:gridSpan w:val="3"/>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0.8x</w:t>
            </w:r>
          </w:p>
        </w:tc>
        <w:tc>
          <w:tcPr>
            <w:tcW w:w="974"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0.9x</w:t>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Net debt-to-CFFO </w:t>
            </w:r>
            <w:r>
              <w:rPr>
                <w:rFonts w:ascii="Arial;sans-serif" w:hAnsi="Arial;sans-serif"/>
                <w:b w:val="false"/>
                <w:color w:val="000000"/>
                <w:sz w:val="12"/>
              </w:rPr>
              <w:t>(1)</w:t>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Ratio</w:t>
            </w:r>
          </w:p>
        </w:tc>
        <w:tc>
          <w:tcPr>
            <w:tcW w:w="993" w:type="dxa"/>
            <w:gridSpan w:val="3"/>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0.6x</w:t>
            </w:r>
          </w:p>
        </w:tc>
        <w:tc>
          <w:tcPr>
            <w:tcW w:w="963"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1.3x</w:t>
            </w:r>
          </w:p>
        </w:tc>
        <w:tc>
          <w:tcPr>
            <w:tcW w:w="8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0.8x</w:t>
            </w:r>
          </w:p>
        </w:tc>
        <w:tc>
          <w:tcPr>
            <w:tcW w:w="993" w:type="dxa"/>
            <w:gridSpan w:val="3"/>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0.6x</w:t>
            </w:r>
          </w:p>
        </w:tc>
        <w:tc>
          <w:tcPr>
            <w:tcW w:w="974"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0.8x</w:t>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Oil-Equivalent Production</w:t>
            </w:r>
          </w:p>
        </w:tc>
        <w:tc>
          <w:tcPr>
            <w:tcW w:w="7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MBOED</w:t>
            </w:r>
          </w:p>
        </w:tc>
        <w:tc>
          <w:tcPr>
            <w:tcW w:w="722" w:type="dxa"/>
            <w:gridSpan w:val="2"/>
            <w:tcBorders>
              <w:left w:val="single" w:sz="8" w:space="0" w:color="000000"/>
              <w:bottom w:val="single" w:sz="8" w:space="0" w:color="000000"/>
            </w:tcBorders>
            <w:shd w:fill="DBDBDB" w:val="clear"/>
            <w:tcMar>
              <w:top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4,070 </w:t>
            </w:r>
          </w:p>
        </w:tc>
        <w:tc>
          <w:tcPr>
            <w:tcW w:w="271" w:type="dxa"/>
            <w:tcBorders>
              <w:bottom w:val="single" w:sz="8" w:space="0" w:color="000000"/>
            </w:tcBorders>
            <w:shd w:fill="DBDBD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3,858 </w:t>
            </w:r>
          </w:p>
        </w:tc>
        <w:tc>
          <w:tcPr>
            <w:tcW w:w="271"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3,396 </w:t>
            </w:r>
          </w:p>
        </w:tc>
        <w:tc>
          <w:tcPr>
            <w:tcW w:w="271"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left w:val="single" w:sz="8" w:space="0" w:color="000000"/>
              <w:bottom w:val="single" w:sz="8" w:space="0" w:color="000000"/>
            </w:tcBorders>
            <w:shd w:fill="DBDBDB" w:val="clear"/>
            <w:tcMar>
              <w:top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3,965 </w:t>
            </w:r>
          </w:p>
        </w:tc>
        <w:tc>
          <w:tcPr>
            <w:tcW w:w="271" w:type="dxa"/>
            <w:tcBorders>
              <w:bottom w:val="single" w:sz="8" w:space="0" w:color="000000"/>
            </w:tcBorders>
            <w:shd w:fill="DBDBD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3,374 </w:t>
            </w:r>
          </w:p>
        </w:tc>
        <w:tc>
          <w:tcPr>
            <w:tcW w:w="330" w:type="dxa"/>
            <w:tcBorders>
              <w:bottom w:val="single" w:sz="8" w:space="0" w:color="000000"/>
              <w:right w:val="single" w:sz="8" w:space="0" w:color="000000"/>
            </w:tcBorders>
            <w:tcMar>
              <w:top w:w="0" w:type="dxa"/>
              <w:left w:w="0" w:type="dxa"/>
              <w:bottom w:w="30" w:type="dxa"/>
            </w:tcMar>
            <w:vAlign w:val="center"/>
          </w:tcPr>
          <w:p>
            <w:pPr>
              <w:pStyle w:val="TableContents"/>
              <w:bidi w:val="0"/>
              <w:spacing w:before="0" w:after="283"/>
              <w:jc w:val="left"/>
              <w:rPr>
                <w:sz w:val="4"/>
                <w:szCs w:val="4"/>
              </w:rPr>
            </w:pPr>
            <w:r>
              <w:rPr>
                <w:sz w:val="4"/>
                <w:szCs w:val="4"/>
              </w:rPr>
            </w:r>
          </w:p>
        </w:tc>
      </w:tr>
      <w:tr>
        <w:trPr/>
        <w:tc>
          <w:tcPr>
            <w:tcW w:w="8697" w:type="dxa"/>
            <w:gridSpan w:val="21"/>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2"/>
              </w:rPr>
              <w:t>(1)</w:t>
            </w:r>
            <w:r>
              <w:rPr>
                <w:color w:val="000000"/>
              </w:rPr>
              <w:t xml:space="preserve"> </w:t>
            </w:r>
            <w:r>
              <w:rPr>
                <w:rFonts w:ascii="Arial;sans-serif" w:hAnsi="Arial;sans-serif"/>
                <w:b w:val="false"/>
                <w:color w:val="000000"/>
                <w:sz w:val="18"/>
              </w:rPr>
              <w:t>See non-GAAP measure definitions on page 5 and reconciliations in the attachments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0" w:after="40"/>
        <w:jc w:val="left"/>
        <w:rPr>
          <w:rFonts w:ascii="Arial;sans-serif" w:hAnsi="Arial;sans-serif"/>
          <w:b/>
          <w:color w:val="000000"/>
          <w:sz w:val="22"/>
        </w:rPr>
      </w:pPr>
      <w:r>
        <w:rPr>
          <w:rFonts w:ascii="Arial;sans-serif" w:hAnsi="Arial;sans-serif"/>
          <w:b/>
          <w:color w:val="000000"/>
          <w:sz w:val="22"/>
        </w:rPr>
        <w:t>Financial Highlights</w:t>
      </w:r>
    </w:p>
    <w:p>
      <w:pPr>
        <w:pStyle w:val="TextBody"/>
        <w:bidi w:val="0"/>
        <w:spacing w:lineRule="auto" w:line="288" w:before="40" w:after="40"/>
        <w:ind w:left="0" w:right="0" w:hanging="270"/>
        <w:jc w:val="both"/>
        <w:rPr/>
      </w:pPr>
      <w:r>
        <w:rPr>
          <w:color w:val="000000"/>
        </w:rPr>
        <w:t>•</w:t>
      </w:r>
      <w:r>
        <w:rPr>
          <w:rFonts w:ascii="Arial;sans-serif" w:hAnsi="Arial;sans-serif"/>
          <w:b w:val="false"/>
          <w:color w:val="000000"/>
          <w:sz w:val="22"/>
        </w:rPr>
        <w:t>Reported earnings increased compared to second quarter 2025 primarily due to reliable operations with higher commodity prices, higher margins on refined product sales, and impacts from higher sales volumes. This includes $1.4 billion in favorable timing effects</w:t>
      </w:r>
      <w:r>
        <w:rPr>
          <w:rFonts w:ascii="Arial;sans-serif" w:hAnsi="Arial;sans-serif"/>
          <w:b w:val="false"/>
          <w:color w:val="000000"/>
          <w:sz w:val="14"/>
        </w:rPr>
        <w:t>1</w:t>
      </w:r>
      <w:r>
        <w:rPr>
          <w:rFonts w:ascii="Arial;sans-serif" w:hAnsi="Arial;sans-serif"/>
          <w:b w:val="false"/>
          <w:color w:val="000000"/>
          <w:sz w:val="22"/>
        </w:rPr>
        <w:t>.</w:t>
      </w:r>
    </w:p>
    <w:p>
      <w:pPr>
        <w:pStyle w:val="TextBody"/>
        <w:bidi w:val="0"/>
        <w:spacing w:lineRule="auto" w:line="288" w:before="40" w:after="40"/>
        <w:ind w:left="0" w:right="0" w:hanging="270"/>
        <w:jc w:val="both"/>
        <w:rPr/>
      </w:pPr>
      <w:r>
        <w:rPr>
          <w:color w:val="000000"/>
        </w:rPr>
        <w:t>•</w:t>
      </w:r>
      <w:r>
        <w:rPr>
          <w:rFonts w:ascii="Arial;sans-serif" w:hAnsi="Arial;sans-serif"/>
          <w:b w:val="false"/>
          <w:color w:val="000000"/>
          <w:sz w:val="22"/>
        </w:rPr>
        <w:t xml:space="preserve">Production in the second quarter of 2026 was 20 percent higher than second quarter last year largely due to the contribution from legacy Hess assets, and growth in the Permian Basin and Gulf of America. </w:t>
      </w:r>
    </w:p>
    <w:p>
      <w:pPr>
        <w:pStyle w:val="TextBody"/>
        <w:bidi w:val="0"/>
        <w:spacing w:lineRule="auto" w:line="288" w:before="40" w:after="40"/>
        <w:ind w:left="0" w:right="0" w:hanging="270"/>
        <w:jc w:val="both"/>
        <w:rPr/>
      </w:pPr>
      <w:r>
        <w:rPr>
          <w:color w:val="000000"/>
        </w:rPr>
        <w:t>•</w:t>
      </w:r>
      <w:r>
        <w:rPr>
          <w:rFonts w:ascii="Arial;sans-serif" w:hAnsi="Arial;sans-serif"/>
          <w:b w:val="false"/>
          <w:color w:val="000000"/>
          <w:sz w:val="22"/>
        </w:rPr>
        <w:t>U.S. refinery crude unit throughput was a record 1.07 million barrels per day, reflecting reliable crude unit capacity utilization of more than 97 percent.</w:t>
      </w:r>
    </w:p>
    <w:p>
      <w:pPr>
        <w:pStyle w:val="TextBody"/>
        <w:bidi w:val="0"/>
        <w:spacing w:lineRule="auto" w:line="288" w:before="40" w:after="40"/>
        <w:ind w:left="0" w:right="0" w:hanging="270"/>
        <w:jc w:val="both"/>
        <w:rPr/>
      </w:pPr>
      <w:r>
        <w:rPr>
          <w:color w:val="000000"/>
        </w:rPr>
        <w:t>•</w:t>
      </w:r>
      <w:r>
        <w:rPr>
          <w:rFonts w:ascii="Arial;sans-serif" w:hAnsi="Arial;sans-serif"/>
          <w:b w:val="false"/>
          <w:color w:val="000000"/>
          <w:sz w:val="22"/>
        </w:rPr>
        <w:t>Cash flow from operations in the second quarter of 2026 was higher than a year ago due to record U.S. production with higher commodity prices, increased cash distributions from Tengizchevroil LLP, and favorable working capital effects.</w:t>
      </w:r>
    </w:p>
    <w:p>
      <w:pPr>
        <w:pStyle w:val="TextBody"/>
        <w:bidi w:val="0"/>
        <w:spacing w:lineRule="auto" w:line="288" w:before="40" w:after="40"/>
        <w:ind w:left="0" w:right="0" w:hanging="270"/>
        <w:jc w:val="both"/>
        <w:rPr/>
      </w:pPr>
      <w:r>
        <w:rPr>
          <w:color w:val="000000"/>
        </w:rPr>
        <w:t>•</w:t>
      </w:r>
      <w:r>
        <w:rPr>
          <w:rFonts w:ascii="Arial;sans-serif" w:hAnsi="Arial;sans-serif"/>
          <w:b w:val="false"/>
          <w:color w:val="000000"/>
          <w:sz w:val="22"/>
        </w:rPr>
        <w:t>Capex in the second quarter of 2026 was higher than last year largely due to spend on legacy Hess assets, partially offset by lower spend in the Permian Basin.</w:t>
      </w:r>
    </w:p>
    <w:p>
      <w:pPr>
        <w:pStyle w:val="TextBody"/>
        <w:bidi w:val="0"/>
        <w:spacing w:lineRule="auto" w:line="288" w:before="40" w:after="40"/>
        <w:ind w:left="0" w:right="0" w:hanging="270"/>
        <w:jc w:val="both"/>
        <w:rPr/>
      </w:pPr>
      <w:r>
        <w:rPr>
          <w:color w:val="000000"/>
        </w:rPr>
        <w:t>•</w:t>
      </w:r>
      <w:r>
        <w:rPr>
          <w:rFonts w:ascii="Arial;sans-serif" w:hAnsi="Arial;sans-serif"/>
          <w:b w:val="false"/>
          <w:color w:val="000000"/>
          <w:sz w:val="22"/>
        </w:rPr>
        <w:t>Total debt was reduced by a record $8.4 billion in the quarter, further strengthening Chevron’s balance sheet and reinforcing the company’s ability to fund the long-term investment needed to deliver reliable energy for decades to come.</w:t>
      </w:r>
    </w:p>
    <w:p>
      <w:pPr>
        <w:pStyle w:val="TextBody"/>
        <w:bidi w:val="0"/>
        <w:spacing w:lineRule="auto" w:line="288" w:before="40" w:after="40"/>
        <w:ind w:left="0" w:right="0" w:hanging="270"/>
        <w:jc w:val="both"/>
        <w:rPr/>
      </w:pPr>
      <w:r>
        <w:rPr>
          <w:color w:val="000000"/>
        </w:rPr>
        <w:t>•</w:t>
      </w:r>
      <w:r>
        <w:rPr>
          <w:rFonts w:ascii="Arial;sans-serif" w:hAnsi="Arial;sans-serif"/>
          <w:b w:val="false"/>
          <w:color w:val="000000"/>
          <w:sz w:val="22"/>
        </w:rPr>
        <w:t>Achieved $1.5 billion of Hess-related annual run-rate synergies ahead of schedule, exceeding the initial target by 50 percent.</w:t>
      </w:r>
    </w:p>
    <w:p>
      <w:pPr>
        <w:pStyle w:val="TextBody"/>
        <w:bidi w:val="0"/>
        <w:spacing w:lineRule="auto" w:line="288" w:before="40" w:after="40"/>
        <w:ind w:left="0" w:right="0" w:hanging="270"/>
        <w:jc w:val="both"/>
        <w:rPr/>
      </w:pPr>
      <w:r>
        <w:rPr>
          <w:color w:val="000000"/>
        </w:rPr>
        <w:t>•</w:t>
      </w:r>
      <w:r>
        <w:rPr>
          <w:rFonts w:ascii="Arial;sans-serif" w:hAnsi="Arial;sans-serif"/>
          <w:b w:val="false"/>
          <w:color w:val="000000"/>
          <w:sz w:val="22"/>
        </w:rPr>
        <w:t>Achieved $3 billion of annual run-rate structural cost reductions since 2024, as part of a program that aims to reduce structural costs by $3-4 billion by the end of 2026.</w:t>
      </w:r>
    </w:p>
    <w:p>
      <w:pPr>
        <w:pStyle w:val="TextBody"/>
        <w:bidi w:val="0"/>
        <w:spacing w:lineRule="auto" w:line="288" w:before="40" w:after="40"/>
        <w:ind w:left="0" w:right="0" w:hanging="270"/>
        <w:jc w:val="both"/>
        <w:rPr/>
      </w:pPr>
      <w:r>
        <w:rPr>
          <w:color w:val="000000"/>
        </w:rPr>
        <w:t>•</w:t>
      </w:r>
      <w:r>
        <w:rPr>
          <w:rFonts w:ascii="Arial;sans-serif" w:hAnsi="Arial;sans-serif"/>
          <w:b w:val="false"/>
          <w:color w:val="000000"/>
          <w:sz w:val="22"/>
        </w:rPr>
        <w:t>The company’s Board of Directors declared a quarterly dividend of one dollar and seventy-eight cents ($1.78) per share, payable September 10, 2026, to all holders of common stock as shown on the transfer records of the corporation at the close of business on August 19,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60"/>
        <w:jc w:val="left"/>
        <w:rPr>
          <w:rFonts w:ascii="Arial;sans-serif" w:hAnsi="Arial;sans-serif"/>
          <w:b/>
          <w:color w:val="000000"/>
          <w:sz w:val="22"/>
        </w:rPr>
      </w:pPr>
      <w:r>
        <w:rPr>
          <w:rFonts w:ascii="Arial;sans-serif" w:hAnsi="Arial;sans-serif"/>
          <w:b/>
          <w:color w:val="000000"/>
          <w:sz w:val="22"/>
        </w:rPr>
        <w:t>Business Highlights and Milestones</w:t>
      </w:r>
    </w:p>
    <w:p>
      <w:pPr>
        <w:pStyle w:val="TextBody"/>
        <w:bidi w:val="0"/>
        <w:spacing w:lineRule="auto" w:line="288" w:before="60" w:after="60"/>
        <w:ind w:left="0" w:right="0" w:hanging="270"/>
        <w:jc w:val="both"/>
        <w:rPr/>
      </w:pPr>
      <w:r>
        <w:rPr>
          <w:color w:val="000000"/>
        </w:rPr>
        <w:t>•</w:t>
      </w:r>
      <w:r>
        <w:rPr>
          <w:rFonts w:ascii="Arial;sans-serif" w:hAnsi="Arial;sans-serif"/>
          <w:b w:val="false"/>
          <w:color w:val="000000"/>
          <w:sz w:val="22"/>
        </w:rPr>
        <w:t>Signed an agreement to develop a power facility in West Texas designed to provide approximately 2.67 gigawatts of behind-the-meter dedicated electricity capacity to a Microsoft data center under a 20-year power purchase agreement.</w:t>
      </w:r>
    </w:p>
    <w:p>
      <w:pPr>
        <w:pStyle w:val="TextBody"/>
        <w:bidi w:val="0"/>
        <w:spacing w:lineRule="auto" w:line="288"/>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As such term is defined in "Notice" below.</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w:t>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06705"/>
                <wp:effectExtent l="0" t="0" r="0" b="0"/>
                <wp:wrapNone/>
                <wp:docPr id="6" name="Frame5"/>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-MORE-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221.35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-MORE-</w:t>
                      </w:r>
                    </w:p>
                  </w:txbxContent>
                </v:textbox>
                <w10:wrap type="none"/>
              </v:rect>
            </w:pict>
          </mc:Fallback>
        </mc:AlternateContent>
      </w:r>
    </w:p>
    <w:p>
      <w:pPr>
        <w:pStyle w:val="TextBody"/>
        <w:bidi w:val="0"/>
        <w:spacing w:lineRule="auto" w:line="288" w:before="60" w:after="60"/>
        <w:ind w:left="0" w:right="0" w:hanging="270"/>
        <w:jc w:val="both"/>
        <w:rPr/>
      </w:pPr>
      <w:r>
        <w:rPr>
          <w:color w:val="000000"/>
        </w:rPr>
        <w:t>•</w:t>
      </w:r>
      <w:r>
        <w:rPr>
          <w:rFonts w:ascii="Arial;sans-serif" w:hAnsi="Arial;sans-serif"/>
          <w:b w:val="false"/>
          <w:color w:val="000000"/>
          <w:sz w:val="22"/>
        </w:rPr>
        <w:t>Signed heads of agreements with the Government of Iraq to advance potential participation in the West Qurna 2 and Nasiriyah oilfield developments and an export pipeline in one of the world's largest hydrocarbon resource basins.</w:t>
      </w:r>
    </w:p>
    <w:p>
      <w:pPr>
        <w:pStyle w:val="TextBody"/>
        <w:bidi w:val="0"/>
        <w:spacing w:lineRule="auto" w:line="288" w:before="60" w:after="60"/>
        <w:ind w:left="0" w:right="0" w:hanging="270"/>
        <w:jc w:val="both"/>
        <w:rPr/>
      </w:pPr>
      <w:r>
        <w:rPr>
          <w:color w:val="000000"/>
        </w:rPr>
        <w:t>•</w:t>
      </w:r>
      <w:r>
        <w:rPr>
          <w:rFonts w:ascii="Arial;sans-serif" w:hAnsi="Arial;sans-serif"/>
          <w:b w:val="false"/>
          <w:color w:val="000000"/>
          <w:sz w:val="22"/>
        </w:rPr>
        <w:t>Completed the sale of the Hong Kong downstream fuels and lubricants businesses.</w:t>
      </w:r>
    </w:p>
    <w:p>
      <w:pPr>
        <w:pStyle w:val="TextBody"/>
        <w:bidi w:val="0"/>
        <w:spacing w:lineRule="auto" w:line="288" w:before="60" w:after="60"/>
        <w:ind w:left="0" w:right="0" w:hanging="270"/>
        <w:jc w:val="both"/>
        <w:rPr/>
      </w:pPr>
      <w:r>
        <w:rPr>
          <w:color w:val="000000"/>
        </w:rPr>
        <w:t>•</w:t>
      </w:r>
      <w:r>
        <w:rPr>
          <w:rFonts w:ascii="Arial;sans-serif" w:hAnsi="Arial;sans-serif"/>
          <w:b w:val="false"/>
          <w:color w:val="000000"/>
          <w:sz w:val="22"/>
        </w:rPr>
        <w:t>Signed an agreement to sell the company’s 50 percent interest in the Singapore Refining Company and other downstream assets in Singapore, Vietnam, Australia, Indonesia, the Philippines and Malaysia. This transaction is expected to close in 2027.</w:t>
      </w:r>
    </w:p>
    <w:p>
      <w:pPr>
        <w:pStyle w:val="TextBody"/>
        <w:bidi w:val="0"/>
        <w:spacing w:lineRule="auto" w:line="288" w:before="60" w:after="120"/>
        <w:ind w:left="0" w:right="0" w:hanging="270"/>
        <w:jc w:val="both"/>
        <w:rPr/>
      </w:pPr>
      <w:r>
        <w:rPr>
          <w:color w:val="000000"/>
        </w:rPr>
        <w:t>•</w:t>
      </w:r>
      <w:r>
        <w:rPr>
          <w:rFonts w:ascii="Arial;sans-serif" w:hAnsi="Arial;sans-serif"/>
          <w:b w:val="false"/>
          <w:color w:val="000000"/>
          <w:sz w:val="22"/>
        </w:rPr>
        <w:t>Announced a technology licensing agreement to commercialize and expand deployment of Chevron-developed chemical surfactant technology, reflecting Chevron’s technology leadership in advanced chemicals to improve recovery from unconventional reservoirs.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center"/>
        <w:rPr>
          <w:rFonts w:ascii="Arial;sans-serif" w:hAnsi="Arial;sans-serif"/>
          <w:b/>
          <w:color w:val="000000"/>
          <w:sz w:val="22"/>
        </w:rPr>
      </w:pPr>
      <w:r>
        <w:rPr>
          <w:rFonts w:ascii="Arial;sans-serif" w:hAnsi="Arial;sans-serif"/>
          <w:b/>
          <w:color w:val="000000"/>
          <w:sz w:val="22"/>
        </w:rPr>
        <w:t xml:space="preserve">Segment Highlights </w:t>
      </w:r>
    </w:p>
    <w:p>
      <w:pPr>
        <w:pStyle w:val="TextBody"/>
        <w:bidi w:val="0"/>
        <w:spacing w:lineRule="auto" w:line="288" w:before="60" w:after="180"/>
        <w:jc w:val="left"/>
        <w:rPr>
          <w:rFonts w:ascii="Arial;sans-serif" w:hAnsi="Arial;sans-serif"/>
          <w:b/>
          <w:color w:val="000000"/>
          <w:sz w:val="22"/>
        </w:rPr>
      </w:pPr>
      <w:r>
        <w:rPr>
          <w:rFonts w:ascii="Arial;sans-serif" w:hAnsi="Arial;sans-serif"/>
          <w:b/>
          <w:color w:val="000000"/>
          <w:sz w:val="22"/>
        </w:rPr>
        <w:t>Upstream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8041" w:type="dxa"/>
        <w:jc w:val="center"/>
        <w:tblInd w:w="0" w:type="dxa"/>
        <w:tblLayout w:type="fixed"/>
        <w:tblCellMar>
          <w:top w:w="28" w:type="dxa"/>
          <w:left w:w="28" w:type="dxa"/>
          <w:bottom w:w="28" w:type="dxa"/>
          <w:right w:w="28" w:type="dxa"/>
        </w:tblCellMar>
      </w:tblPr>
      <w:tblGrid>
        <w:gridCol w:w="918"/>
        <w:gridCol w:w="806"/>
        <w:gridCol w:w="811"/>
        <w:gridCol w:w="257"/>
        <w:gridCol w:w="257"/>
        <w:gridCol w:w="267"/>
        <w:gridCol w:w="211"/>
        <w:gridCol w:w="616"/>
        <w:gridCol w:w="109"/>
        <w:gridCol w:w="211"/>
        <w:gridCol w:w="616"/>
        <w:gridCol w:w="109"/>
        <w:gridCol w:w="211"/>
        <w:gridCol w:w="616"/>
        <w:gridCol w:w="109"/>
        <w:gridCol w:w="211"/>
        <w:gridCol w:w="616"/>
        <w:gridCol w:w="109"/>
        <w:gridCol w:w="211"/>
        <w:gridCol w:w="616"/>
        <w:gridCol w:w="154"/>
      </w:tblGrid>
      <w:tr>
        <w:trPr/>
        <w:tc>
          <w:tcPr>
            <w:tcW w:w="918"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2"/>
              </w:rPr>
            </w:pPr>
            <w:r>
              <w:rPr>
                <w:rFonts w:ascii="Arial;sans-serif" w:hAnsi="Arial;sans-serif"/>
                <w:b/>
                <w:color w:val="000000"/>
                <w:sz w:val="22"/>
              </w:rPr>
              <w:t>U.S. Upstream</w:t>
            </w:r>
          </w:p>
        </w:tc>
        <w:tc>
          <w:tcPr>
            <w:tcW w:w="7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Unit</w:t>
            </w:r>
          </w:p>
        </w:tc>
        <w:tc>
          <w:tcPr>
            <w:tcW w:w="936" w:type="dxa"/>
            <w:gridSpan w:val="3"/>
            <w:tcBorders>
              <w:top w:val="single" w:sz="8" w:space="0" w:color="000000"/>
              <w:left w:val="single" w:sz="8" w:space="0" w:color="000000"/>
            </w:tcBorders>
            <w:shd w:fill="DBDBDB" w:val="clear"/>
            <w:tcMar>
              <w:top w:w="52"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2Q 2026</w:t>
            </w:r>
          </w:p>
        </w:tc>
        <w:tc>
          <w:tcPr>
            <w:tcW w:w="936"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1Q 2026</w:t>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2Q 2025</w:t>
            </w:r>
          </w:p>
        </w:tc>
        <w:tc>
          <w:tcPr>
            <w:tcW w:w="936" w:type="dxa"/>
            <w:gridSpan w:val="3"/>
            <w:tcBorders>
              <w:top w:val="single" w:sz="8" w:space="0" w:color="000000"/>
              <w:left w:val="single" w:sz="8" w:space="0" w:color="000000"/>
            </w:tcBorders>
            <w:shd w:fill="DBDBDB" w:val="clear"/>
            <w:tcMar>
              <w:top w:w="52"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YTD 2026</w:t>
            </w:r>
          </w:p>
        </w:tc>
        <w:tc>
          <w:tcPr>
            <w:tcW w:w="981"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YTD 2025</w:t>
            </w:r>
          </w:p>
        </w:tc>
      </w:tr>
      <w:tr>
        <w:trPr/>
        <w:tc>
          <w:tcPr>
            <w:tcW w:w="25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Earnings / (Loss)</w:t>
            </w:r>
          </w:p>
        </w:tc>
        <w:tc>
          <w:tcPr>
            <w:tcW w:w="7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 MM</w:t>
            </w:r>
          </w:p>
        </w:tc>
        <w:tc>
          <w:tcPr>
            <w:tcW w:w="211" w:type="dxa"/>
            <w:tcBorders>
              <w:top w:val="single" w:sz="8" w:space="0" w:color="000000"/>
              <w:left w:val="single" w:sz="8" w:space="0" w:color="000000"/>
            </w:tcBorders>
            <w:shd w:fill="DBDBDB" w:val="clear"/>
            <w:tcMar>
              <w:top w:w="52"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3,541 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2,112 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1,418 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shd w:fill="DBDBDB" w:val="clear"/>
            <w:tcMar>
              <w:top w:w="52"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5,653 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3,276 </w:t>
            </w:r>
          </w:p>
        </w:tc>
        <w:tc>
          <w:tcPr>
            <w:tcW w:w="154" w:type="dxa"/>
            <w:tcBorders>
              <w:top w:val="single" w:sz="8" w:space="0" w:color="000000"/>
              <w:right w:val="single" w:sz="8" w:space="0" w:color="000000"/>
            </w:tcBorders>
            <w:shd w:fill="FFFFFF" w:val="clear"/>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Oil-Equivalent Production</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MBOED</w:t>
            </w:r>
          </w:p>
        </w:tc>
        <w:tc>
          <w:tcPr>
            <w:tcW w:w="827" w:type="dxa"/>
            <w:gridSpan w:val="2"/>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1,666 </w:t>
            </w:r>
          </w:p>
        </w:tc>
        <w:tc>
          <w:tcPr>
            <w:tcW w:w="154"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6D6D6D"/>
                <w:sz w:val="18"/>
              </w:rPr>
            </w:pPr>
            <w:r>
              <w:rPr>
                <w:rFonts w:ascii="Arial;sans-serif" w:hAnsi="Arial;sans-serif"/>
                <w:b w:val="false"/>
                <w:i/>
                <w:color w:val="6D6D6D"/>
                <w:sz w:val="18"/>
              </w:rPr>
              <w:t>Liquids Production</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6D6D6D"/>
                <w:sz w:val="18"/>
              </w:rPr>
            </w:pPr>
            <w:r>
              <w:rPr>
                <w:rFonts w:ascii="Arial;sans-serif" w:hAnsi="Arial;sans-serif"/>
                <w:b w:val="false"/>
                <w:i/>
                <w:color w:val="6D6D6D"/>
                <w:sz w:val="18"/>
              </w:rPr>
              <w:t>MBD</w:t>
            </w:r>
          </w:p>
        </w:tc>
        <w:tc>
          <w:tcPr>
            <w:tcW w:w="827" w:type="dxa"/>
            <w:gridSpan w:val="2"/>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1,491 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6D6D6D"/>
                <w:sz w:val="18"/>
              </w:rPr>
            </w:pPr>
            <w:r>
              <w:rPr>
                <w:rFonts w:ascii="Arial;sans-serif" w:hAnsi="Arial;sans-serif"/>
                <w:b w:val="false"/>
                <w:i/>
                <w:color w:val="6D6D6D"/>
                <w:sz w:val="18"/>
              </w:rPr>
              <w:t>1,461 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6D6D6D"/>
                <w:sz w:val="18"/>
              </w:rPr>
            </w:pPr>
            <w:r>
              <w:rPr>
                <w:rFonts w:ascii="Arial;sans-serif" w:hAnsi="Arial;sans-serif"/>
                <w:b w:val="false"/>
                <w:i/>
                <w:color w:val="6D6D6D"/>
                <w:sz w:val="18"/>
              </w:rPr>
              <w:t>1,218 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1,476 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6D6D6D"/>
                <w:sz w:val="18"/>
              </w:rPr>
            </w:pPr>
            <w:r>
              <w:rPr>
                <w:rFonts w:ascii="Arial;sans-serif" w:hAnsi="Arial;sans-serif"/>
                <w:b w:val="false"/>
                <w:i/>
                <w:color w:val="6D6D6D"/>
                <w:sz w:val="18"/>
              </w:rPr>
              <w:t>1,189 </w:t>
            </w:r>
          </w:p>
        </w:tc>
        <w:tc>
          <w:tcPr>
            <w:tcW w:w="154"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6D6D6D"/>
                <w:sz w:val="18"/>
              </w:rPr>
            </w:pPr>
            <w:r>
              <w:rPr>
                <w:rFonts w:ascii="Arial;sans-serif" w:hAnsi="Arial;sans-serif"/>
                <w:b w:val="false"/>
                <w:i/>
                <w:color w:val="6D6D6D"/>
                <w:sz w:val="18"/>
              </w:rPr>
              <w:t>Natural Gas Production</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6D6D6D"/>
                <w:sz w:val="18"/>
              </w:rPr>
            </w:pPr>
            <w:r>
              <w:rPr>
                <w:rFonts w:ascii="Arial;sans-serif" w:hAnsi="Arial;sans-serif"/>
                <w:b w:val="false"/>
                <w:i/>
                <w:color w:val="6D6D6D"/>
                <w:sz w:val="18"/>
              </w:rPr>
              <w:t>MMCFD</w:t>
            </w:r>
          </w:p>
        </w:tc>
        <w:tc>
          <w:tcPr>
            <w:tcW w:w="827" w:type="dxa"/>
            <w:gridSpan w:val="2"/>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3,520 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6D6D6D"/>
                <w:sz w:val="18"/>
              </w:rPr>
            </w:pPr>
            <w:r>
              <w:rPr>
                <w:rFonts w:ascii="Arial;sans-serif" w:hAnsi="Arial;sans-serif"/>
                <w:b w:val="false"/>
                <w:i/>
                <w:color w:val="6D6D6D"/>
                <w:sz w:val="18"/>
              </w:rPr>
              <w:t>3,380 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6D6D6D"/>
                <w:sz w:val="18"/>
              </w:rPr>
            </w:pPr>
            <w:r>
              <w:rPr>
                <w:rFonts w:ascii="Arial;sans-serif" w:hAnsi="Arial;sans-serif"/>
                <w:b w:val="false"/>
                <w:i/>
                <w:color w:val="6D6D6D"/>
                <w:sz w:val="18"/>
              </w:rPr>
              <w:t>2,864 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3,450 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6D6D6D"/>
                <w:sz w:val="18"/>
              </w:rPr>
            </w:pPr>
            <w:r>
              <w:rPr>
                <w:rFonts w:ascii="Arial;sans-serif" w:hAnsi="Arial;sans-serif"/>
                <w:b w:val="false"/>
                <w:i/>
                <w:color w:val="6D6D6D"/>
                <w:sz w:val="18"/>
              </w:rPr>
              <w:t>2,861 </w:t>
            </w:r>
          </w:p>
        </w:tc>
        <w:tc>
          <w:tcPr>
            <w:tcW w:w="154"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Liquids Realization</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$/BBL</w:t>
            </w:r>
          </w:p>
        </w:tc>
        <w:tc>
          <w:tcPr>
            <w:tcW w:w="211" w:type="dxa"/>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70.80 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51.94 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61.52 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51.40 </w:t>
            </w:r>
          </w:p>
        </w:tc>
        <w:tc>
          <w:tcPr>
            <w:tcW w:w="154"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Natural Gas Realization</w:t>
            </w:r>
          </w:p>
        </w:tc>
        <w:tc>
          <w:tcPr>
            <w:tcW w:w="7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$/MCF</w:t>
            </w:r>
          </w:p>
        </w:tc>
        <w:tc>
          <w:tcPr>
            <w:tcW w:w="211" w:type="dxa"/>
            <w:tcBorders>
              <w:left w:val="single" w:sz="8" w:space="0" w:color="000000"/>
              <w:bottom w:val="single" w:sz="8" w:space="0" w:color="000000"/>
            </w:tcBorders>
            <w:shd w:fill="DBDBDB" w:val="clear"/>
            <w:tcMar>
              <w:top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0.91 </w:t>
            </w:r>
          </w:p>
        </w:tc>
        <w:tc>
          <w:tcPr>
            <w:tcW w:w="109" w:type="dxa"/>
            <w:tcBorders>
              <w:bottom w:val="single" w:sz="8" w:space="0" w:color="000000"/>
            </w:tcBorders>
            <w:shd w:fill="DBDBD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bottom w:val="single" w:sz="8" w:space="0" w:color="000000"/>
            </w:tcBorders>
            <w:shd w:fill="FFFFFF" w:val="clear"/>
            <w:tcMar>
              <w:top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2.48 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bottom w:val="single" w:sz="8" w:space="0" w:color="000000"/>
            </w:tcBorders>
            <w:shd w:fill="DBDBDB" w:val="clear"/>
            <w:tcMar>
              <w:top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1.67 </w:t>
            </w:r>
          </w:p>
        </w:tc>
        <w:tc>
          <w:tcPr>
            <w:tcW w:w="109" w:type="dxa"/>
            <w:tcBorders>
              <w:bottom w:val="single" w:sz="8" w:space="0" w:color="000000"/>
            </w:tcBorders>
            <w:shd w:fill="DBDBD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bottom w:val="single" w:sz="8" w:space="0" w:color="000000"/>
            </w:tcBorders>
            <w:shd w:fill="FFFFFF" w:val="clear"/>
            <w:tcMar>
              <w:top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2.12 </w:t>
            </w:r>
          </w:p>
        </w:tc>
        <w:tc>
          <w:tcPr>
            <w:tcW w:w="154" w:type="dxa"/>
            <w:tcBorders>
              <w:bottom w:val="single" w:sz="8" w:space="0" w:color="000000"/>
              <w:right w:val="single" w:sz="8" w:space="0" w:color="000000"/>
            </w:tcBorders>
            <w:shd w:fill="FFFFFF" w:val="clear"/>
            <w:tcMar>
              <w:top w:w="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2"/>
        </w:rPr>
        <w:t>U.S. upstream earnings were higher primarily due to higher liquids realizations and sales volumes, partly offset by higher depreciation, depletion and amortization, lower natural gas realizations, and the absence of a prior year asset sale gain.</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2"/>
        </w:rPr>
        <w:t>Net oil-equivalent production during the quarter was up 382,000 barrels per day</w:t>
      </w:r>
      <w:r>
        <w:rPr>
          <w:color w:val="000000"/>
        </w:rPr>
        <w:t xml:space="preserve"> </w:t>
      </w:r>
      <w:r>
        <w:rPr>
          <w:rFonts w:ascii="Arial;sans-serif" w:hAnsi="Arial;sans-serif"/>
          <w:b w:val="false"/>
          <w:color w:val="000000"/>
          <w:sz w:val="22"/>
        </w:rPr>
        <w:t>from the year-ago period, achieving a new quarterly production record. The increase was primarily due to the acquisition of Hess and growth in the Permian Basin and Gulf of America.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8205" w:type="dxa"/>
        <w:jc w:val="center"/>
        <w:tblInd w:w="0" w:type="dxa"/>
        <w:tblLayout w:type="fixed"/>
        <w:tblCellMar>
          <w:top w:w="28" w:type="dxa"/>
          <w:left w:w="28" w:type="dxa"/>
          <w:bottom w:w="28" w:type="dxa"/>
          <w:right w:w="28" w:type="dxa"/>
        </w:tblCellMar>
      </w:tblPr>
      <w:tblGrid>
        <w:gridCol w:w="978"/>
        <w:gridCol w:w="860"/>
        <w:gridCol w:w="861"/>
        <w:gridCol w:w="257"/>
        <w:gridCol w:w="257"/>
        <w:gridCol w:w="267"/>
        <w:gridCol w:w="211"/>
        <w:gridCol w:w="616"/>
        <w:gridCol w:w="109"/>
        <w:gridCol w:w="211"/>
        <w:gridCol w:w="616"/>
        <w:gridCol w:w="109"/>
        <w:gridCol w:w="211"/>
        <w:gridCol w:w="616"/>
        <w:gridCol w:w="109"/>
        <w:gridCol w:w="211"/>
        <w:gridCol w:w="616"/>
        <w:gridCol w:w="109"/>
        <w:gridCol w:w="211"/>
        <w:gridCol w:w="616"/>
        <w:gridCol w:w="154"/>
      </w:tblGrid>
      <w:tr>
        <w:trPr/>
        <w:tc>
          <w:tcPr>
            <w:tcW w:w="978"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2"/>
              </w:rPr>
            </w:pPr>
            <w:r>
              <w:rPr>
                <w:rFonts w:ascii="Arial;sans-serif" w:hAnsi="Arial;sans-serif"/>
                <w:b/>
                <w:color w:val="000000"/>
                <w:sz w:val="22"/>
              </w:rPr>
              <w:t>International Upstream</w:t>
            </w:r>
          </w:p>
        </w:tc>
        <w:tc>
          <w:tcPr>
            <w:tcW w:w="7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Unit</w:t>
            </w:r>
          </w:p>
        </w:tc>
        <w:tc>
          <w:tcPr>
            <w:tcW w:w="936" w:type="dxa"/>
            <w:gridSpan w:val="3"/>
            <w:tcBorders>
              <w:top w:val="single" w:sz="8" w:space="0" w:color="000000"/>
              <w:left w:val="single" w:sz="8" w:space="0" w:color="000000"/>
            </w:tcBorders>
            <w:shd w:fill="DBDBDB" w:val="clear"/>
            <w:tcMar>
              <w:top w:w="52"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2Q 2026</w:t>
            </w:r>
          </w:p>
        </w:tc>
        <w:tc>
          <w:tcPr>
            <w:tcW w:w="936"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1Q 2026</w:t>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2Q 2025</w:t>
            </w:r>
          </w:p>
        </w:tc>
        <w:tc>
          <w:tcPr>
            <w:tcW w:w="936" w:type="dxa"/>
            <w:gridSpan w:val="3"/>
            <w:tcBorders>
              <w:top w:val="single" w:sz="8" w:space="0" w:color="000000"/>
              <w:left w:val="single" w:sz="8" w:space="0" w:color="000000"/>
            </w:tcBorders>
            <w:shd w:fill="DBDBDB" w:val="clear"/>
            <w:tcMar>
              <w:top w:w="52"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YTD 2026</w:t>
            </w:r>
          </w:p>
        </w:tc>
        <w:tc>
          <w:tcPr>
            <w:tcW w:w="981"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YTD 2025</w:t>
            </w:r>
          </w:p>
        </w:tc>
      </w:tr>
      <w:tr>
        <w:trPr/>
        <w:tc>
          <w:tcPr>
            <w:tcW w:w="26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Earnings / (Loss) </w:t>
            </w:r>
            <w:r>
              <w:rPr>
                <w:rFonts w:ascii="Arial;sans-serif" w:hAnsi="Arial;sans-serif"/>
                <w:b w:val="false"/>
                <w:color w:val="000000"/>
                <w:sz w:val="12"/>
              </w:rPr>
              <w:t>(1)</w:t>
            </w:r>
          </w:p>
        </w:tc>
        <w:tc>
          <w:tcPr>
            <w:tcW w:w="7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 MM</w:t>
            </w:r>
          </w:p>
        </w:tc>
        <w:tc>
          <w:tcPr>
            <w:tcW w:w="211" w:type="dxa"/>
            <w:tcBorders>
              <w:top w:val="single" w:sz="8" w:space="0" w:color="000000"/>
              <w:left w:val="single" w:sz="8" w:space="0" w:color="000000"/>
            </w:tcBorders>
            <w:shd w:fill="DBDBDB" w:val="clear"/>
            <w:tcMar>
              <w:top w:w="52"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4,641 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shd w:fill="DBDBDB" w:val="clear"/>
            <w:tcMar>
              <w:top w:w="52"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6,438 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3,209 </w:t>
            </w:r>
          </w:p>
        </w:tc>
        <w:tc>
          <w:tcPr>
            <w:tcW w:w="154" w:type="dxa"/>
            <w:tcBorders>
              <w:top w:val="single" w:sz="8" w:space="0" w:color="000000"/>
              <w:right w:val="single" w:sz="8" w:space="0" w:color="000000"/>
            </w:tcBorders>
            <w:shd w:fill="FFFFFF" w:val="clear"/>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Oil-Equivalent Production</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MBOED</w:t>
            </w:r>
          </w:p>
        </w:tc>
        <w:tc>
          <w:tcPr>
            <w:tcW w:w="827" w:type="dxa"/>
            <w:gridSpan w:val="2"/>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1,914 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1,708 </w:t>
            </w:r>
          </w:p>
        </w:tc>
        <w:tc>
          <w:tcPr>
            <w:tcW w:w="154"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6D6D6D"/>
                <w:sz w:val="18"/>
              </w:rPr>
            </w:pPr>
            <w:r>
              <w:rPr>
                <w:rFonts w:ascii="Arial;sans-serif" w:hAnsi="Arial;sans-serif"/>
                <w:b w:val="false"/>
                <w:i/>
                <w:color w:val="6D6D6D"/>
                <w:sz w:val="18"/>
              </w:rPr>
              <w:t>Liquids Production</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6D6D6D"/>
                <w:sz w:val="18"/>
              </w:rPr>
            </w:pPr>
            <w:r>
              <w:rPr>
                <w:rFonts w:ascii="Arial;sans-serif" w:hAnsi="Arial;sans-serif"/>
                <w:b w:val="false"/>
                <w:i/>
                <w:color w:val="6D6D6D"/>
                <w:sz w:val="18"/>
              </w:rPr>
              <w:t>MBD</w:t>
            </w:r>
          </w:p>
        </w:tc>
        <w:tc>
          <w:tcPr>
            <w:tcW w:w="827" w:type="dxa"/>
            <w:gridSpan w:val="2"/>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1,094 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6D6D6D"/>
                <w:sz w:val="18"/>
              </w:rPr>
            </w:pPr>
            <w:r>
              <w:rPr>
                <w:rFonts w:ascii="Arial;sans-serif" w:hAnsi="Arial;sans-serif"/>
                <w:b w:val="false"/>
                <w:i/>
                <w:color w:val="6D6D6D"/>
                <w:sz w:val="18"/>
              </w:rPr>
              <w:t>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6D6D6D"/>
                <w:sz w:val="18"/>
              </w:rPr>
            </w:pPr>
            <w:r>
              <w:rPr>
                <w:rFonts w:ascii="Arial;sans-serif" w:hAnsi="Arial;sans-serif"/>
                <w:b w:val="false"/>
                <w:i/>
                <w:color w:val="6D6D6D"/>
                <w:sz w:val="18"/>
              </w:rPr>
              <w:t>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1,034 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6D6D6D"/>
                <w:sz w:val="18"/>
              </w:rPr>
            </w:pPr>
            <w:r>
              <w:rPr>
                <w:rFonts w:ascii="Arial;sans-serif" w:hAnsi="Arial;sans-serif"/>
                <w:b w:val="false"/>
                <w:i/>
                <w:color w:val="6D6D6D"/>
                <w:sz w:val="18"/>
              </w:rPr>
              <w:t>836 </w:t>
            </w:r>
          </w:p>
        </w:tc>
        <w:tc>
          <w:tcPr>
            <w:tcW w:w="154"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6D6D6D"/>
                <w:sz w:val="18"/>
              </w:rPr>
            </w:pPr>
            <w:r>
              <w:rPr>
                <w:rFonts w:ascii="Arial;sans-serif" w:hAnsi="Arial;sans-serif"/>
                <w:b w:val="false"/>
                <w:i/>
                <w:color w:val="6D6D6D"/>
                <w:sz w:val="18"/>
              </w:rPr>
              <w:t>Natural Gas Production</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6D6D6D"/>
                <w:sz w:val="18"/>
              </w:rPr>
            </w:pPr>
            <w:r>
              <w:rPr>
                <w:rFonts w:ascii="Arial;sans-serif" w:hAnsi="Arial;sans-serif"/>
                <w:b w:val="false"/>
                <w:i/>
                <w:color w:val="6D6D6D"/>
                <w:sz w:val="18"/>
              </w:rPr>
              <w:t>MMCFD</w:t>
            </w:r>
          </w:p>
        </w:tc>
        <w:tc>
          <w:tcPr>
            <w:tcW w:w="827" w:type="dxa"/>
            <w:gridSpan w:val="2"/>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5,390 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6D6D6D"/>
                <w:sz w:val="18"/>
              </w:rPr>
            </w:pPr>
            <w:r>
              <w:rPr>
                <w:rFonts w:ascii="Arial;sans-serif" w:hAnsi="Arial;sans-serif"/>
                <w:b w:val="false"/>
                <w:i/>
                <w:color w:val="6D6D6D"/>
                <w:sz w:val="18"/>
              </w:rPr>
              <w:t>5,161 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6D6D6D"/>
                <w:sz w:val="18"/>
              </w:rPr>
            </w:pPr>
            <w:r>
              <w:rPr>
                <w:rFonts w:ascii="Arial;sans-serif" w:hAnsi="Arial;sans-serif"/>
                <w:b w:val="false"/>
                <w:i/>
                <w:color w:val="6D6D6D"/>
                <w:sz w:val="18"/>
              </w:rPr>
              <w:t>5,099 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5,277 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6D6D6D"/>
                <w:sz w:val="18"/>
              </w:rPr>
            </w:pPr>
            <w:r>
              <w:rPr>
                <w:rFonts w:ascii="Arial;sans-serif" w:hAnsi="Arial;sans-serif"/>
                <w:b w:val="false"/>
                <w:i/>
                <w:color w:val="6D6D6D"/>
                <w:sz w:val="18"/>
              </w:rPr>
              <w:t>5,235 </w:t>
            </w:r>
          </w:p>
        </w:tc>
        <w:tc>
          <w:tcPr>
            <w:tcW w:w="154"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Liquids Realization</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$/BBL</w:t>
            </w:r>
          </w:p>
        </w:tc>
        <w:tc>
          <w:tcPr>
            <w:tcW w:w="211" w:type="dxa"/>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96.41 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87.38 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63.12 </w:t>
            </w:r>
          </w:p>
        </w:tc>
        <w:tc>
          <w:tcPr>
            <w:tcW w:w="154"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Natural Gas Realization</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$/MCF</w:t>
            </w:r>
          </w:p>
        </w:tc>
        <w:tc>
          <w:tcPr>
            <w:tcW w:w="211" w:type="dxa"/>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7.16 </w:t>
            </w:r>
          </w:p>
        </w:tc>
        <w:tc>
          <w:tcPr>
            <w:tcW w:w="154"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i/>
                <w:color w:val="6D6D6D"/>
                <w:sz w:val="10"/>
              </w:rPr>
              <w:t>(1)</w:t>
            </w:r>
            <w:r>
              <w:rPr>
                <w:color w:val="6D6D6D"/>
              </w:rPr>
              <w:t xml:space="preserve"> </w:t>
            </w:r>
            <w:r>
              <w:rPr>
                <w:rFonts w:ascii="Arial;sans-serif" w:hAnsi="Arial;sans-serif"/>
                <w:b w:val="false"/>
                <w:i/>
                <w:color w:val="6D6D6D"/>
                <w:sz w:val="16"/>
              </w:rPr>
              <w:t>Includes foreign currency effects</w:t>
            </w:r>
          </w:p>
        </w:tc>
        <w:tc>
          <w:tcPr>
            <w:tcW w:w="7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6D6D6D"/>
                <w:sz w:val="16"/>
              </w:rPr>
            </w:pPr>
            <w:r>
              <w:rPr>
                <w:rFonts w:ascii="Arial;sans-serif" w:hAnsi="Arial;sans-serif"/>
                <w:b w:val="false"/>
                <w:i/>
                <w:color w:val="6D6D6D"/>
                <w:sz w:val="16"/>
              </w:rPr>
              <w:t>$ MM</w:t>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6D6D6D"/>
                <w:sz w:val="16"/>
              </w:rPr>
            </w:pPr>
            <w:r>
              <w:rPr>
                <w:rFonts w:ascii="Arial;sans-serif" w:hAnsi="Arial;sans-serif"/>
                <w:b w:val="false"/>
                <w:i/>
                <w:color w:val="6D6D6D"/>
                <w:sz w:val="16"/>
              </w:rPr>
              <w:t>$</w:t>
            </w:r>
          </w:p>
        </w:tc>
        <w:tc>
          <w:tcPr>
            <w:tcW w:w="61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6D6D6D"/>
                <w:sz w:val="16"/>
              </w:rPr>
            </w:pPr>
            <w:r>
              <w:rPr>
                <w:rFonts w:ascii="Arial;sans-serif" w:hAnsi="Arial;sans-serif"/>
                <w:b w:val="false"/>
                <w:i/>
                <w:color w:val="6D6D6D"/>
                <w:sz w:val="16"/>
              </w:rPr>
              <w:t>(77)</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6D6D6D"/>
                <w:sz w:val="16"/>
              </w:rPr>
            </w:pPr>
            <w:r>
              <w:rPr>
                <w:rFonts w:ascii="Arial;sans-serif" w:hAnsi="Arial;sans-serif"/>
                <w:b w:val="false"/>
                <w:i/>
                <w:color w:val="6D6D6D"/>
                <w:sz w:val="16"/>
              </w:rPr>
              <w:t>$</w:t>
            </w:r>
          </w:p>
        </w:tc>
        <w:tc>
          <w:tcPr>
            <w:tcW w:w="61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6D6D6D"/>
                <w:sz w:val="16"/>
              </w:rPr>
            </w:pPr>
            <w:r>
              <w:rPr>
                <w:rFonts w:ascii="Arial;sans-serif" w:hAnsi="Arial;sans-serif"/>
                <w:b w:val="false"/>
                <w:i/>
                <w:color w:val="6D6D6D"/>
                <w:sz w:val="16"/>
              </w:rPr>
              <w:t>(233)</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6D6D6D"/>
                <w:sz w:val="16"/>
              </w:rPr>
            </w:pPr>
            <w:r>
              <w:rPr>
                <w:rFonts w:ascii="Arial;sans-serif" w:hAnsi="Arial;sans-serif"/>
                <w:b w:val="false"/>
                <w:i/>
                <w:color w:val="6D6D6D"/>
                <w:sz w:val="16"/>
              </w:rPr>
              <w:t>$</w:t>
            </w:r>
          </w:p>
        </w:tc>
        <w:tc>
          <w:tcPr>
            <w:tcW w:w="61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6D6D6D"/>
                <w:sz w:val="16"/>
              </w:rPr>
            </w:pPr>
            <w:r>
              <w:rPr>
                <w:rFonts w:ascii="Arial;sans-serif" w:hAnsi="Arial;sans-serif"/>
                <w:b w:val="false"/>
                <w:i/>
                <w:color w:val="6D6D6D"/>
                <w:sz w:val="16"/>
              </w:rPr>
              <w:t>(236)</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6D6D6D"/>
                <w:sz w:val="16"/>
              </w:rPr>
            </w:pPr>
            <w:r>
              <w:rPr>
                <w:rFonts w:ascii="Arial;sans-serif" w:hAnsi="Arial;sans-serif"/>
                <w:b w:val="false"/>
                <w:i/>
                <w:color w:val="6D6D6D"/>
                <w:sz w:val="16"/>
              </w:rPr>
              <w:t>$</w:t>
            </w:r>
          </w:p>
        </w:tc>
        <w:tc>
          <w:tcPr>
            <w:tcW w:w="61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6D6D6D"/>
                <w:sz w:val="16"/>
              </w:rPr>
            </w:pPr>
            <w:r>
              <w:rPr>
                <w:rFonts w:ascii="Arial;sans-serif" w:hAnsi="Arial;sans-serif"/>
                <w:b w:val="false"/>
                <w:i/>
                <w:color w:val="6D6D6D"/>
                <w:sz w:val="16"/>
              </w:rPr>
              <w:t>(310)</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6D6D6D"/>
                <w:sz w:val="16"/>
              </w:rPr>
            </w:pPr>
            <w:r>
              <w:rPr>
                <w:rFonts w:ascii="Arial;sans-serif" w:hAnsi="Arial;sans-serif"/>
                <w:b w:val="false"/>
                <w:i/>
                <w:color w:val="6D6D6D"/>
                <w:sz w:val="16"/>
              </w:rPr>
              <w:t>$</w:t>
            </w:r>
          </w:p>
        </w:tc>
        <w:tc>
          <w:tcPr>
            <w:tcW w:w="61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6D6D6D"/>
                <w:sz w:val="16"/>
              </w:rPr>
            </w:pPr>
            <w:r>
              <w:rPr>
                <w:rFonts w:ascii="Arial;sans-serif" w:hAnsi="Arial;sans-serif"/>
                <w:b w:val="false"/>
                <w:i/>
                <w:color w:val="6D6D6D"/>
                <w:sz w:val="16"/>
              </w:rPr>
              <w:t>(372)</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2"/>
        </w:rPr>
        <w:t xml:space="preserve">International upstream earnings were higher than a year ago primarily due to higher sales volumes and liquids realizations and favorable timing effects, partly offset by higher depreciation, depletion and amortization. </w:t>
      </w:r>
    </w:p>
    <w:p>
      <w:pPr>
        <w:pStyle w:val="TextBody"/>
        <w:bidi w:val="0"/>
        <w:spacing w:lineRule="auto" w:line="288" w:before="60" w:after="120"/>
        <w:ind w:left="0" w:right="0" w:hanging="360"/>
        <w:jc w:val="both"/>
        <w:rPr/>
      </w:pPr>
      <w:r>
        <w:rPr>
          <w:color w:val="000000"/>
        </w:rPr>
        <w:t>•</w:t>
      </w:r>
      <w:r>
        <w:rPr>
          <w:rFonts w:ascii="Arial;sans-serif" w:hAnsi="Arial;sans-serif"/>
          <w:b w:val="false"/>
          <w:color w:val="000000"/>
          <w:sz w:val="22"/>
        </w:rPr>
        <w:t>Net oil-equivalent production during the quarter was up 292,000 barrels per day from the year-ago period primarily due to the acquisition of Hess, partly offset by curtailments in the Partitioned Zone between Saudi Arabia and Kuwait due to the Middle East conflict.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w:t>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06705"/>
                <wp:effectExtent l="0" t="0" r="0" b="0"/>
                <wp:wrapNone/>
                <wp:docPr id="7" name="Frame6"/>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-MORE-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221.35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-MORE-</w:t>
                      </w:r>
                    </w:p>
                  </w:txbxContent>
                </v:textbox>
                <w10:wrap type="none"/>
              </v:rect>
            </w:pict>
          </mc:Fallback>
        </mc:AlternateContent>
      </w:r>
    </w:p>
    <w:p>
      <w:pPr>
        <w:pStyle w:val="TextBody"/>
        <w:bidi w:val="0"/>
        <w:spacing w:lineRule="auto" w:line="288" w:before="180" w:after="180"/>
        <w:jc w:val="left"/>
        <w:rPr>
          <w:rFonts w:ascii="Arial;sans-serif" w:hAnsi="Arial;sans-serif"/>
          <w:b/>
          <w:color w:val="000000"/>
          <w:sz w:val="22"/>
        </w:rPr>
      </w:pPr>
      <w:r>
        <w:rPr>
          <w:rFonts w:ascii="Arial;sans-serif" w:hAnsi="Arial;sans-serif"/>
          <w:b/>
          <w:color w:val="000000"/>
          <w:sz w:val="22"/>
        </w:rPr>
        <w:t>Downstream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7299" w:type="dxa"/>
        <w:jc w:val="center"/>
        <w:tblInd w:w="0" w:type="dxa"/>
        <w:tblLayout w:type="fixed"/>
        <w:tblCellMar>
          <w:top w:w="28" w:type="dxa"/>
          <w:left w:w="28" w:type="dxa"/>
          <w:bottom w:w="28" w:type="dxa"/>
          <w:right w:w="28" w:type="dxa"/>
        </w:tblCellMar>
      </w:tblPr>
      <w:tblGrid>
        <w:gridCol w:w="825"/>
        <w:gridCol w:w="726"/>
        <w:gridCol w:w="728"/>
        <w:gridCol w:w="184"/>
        <w:gridCol w:w="184"/>
        <w:gridCol w:w="188"/>
        <w:gridCol w:w="211"/>
        <w:gridCol w:w="616"/>
        <w:gridCol w:w="109"/>
        <w:gridCol w:w="217"/>
        <w:gridCol w:w="480"/>
        <w:gridCol w:w="112"/>
        <w:gridCol w:w="217"/>
        <w:gridCol w:w="480"/>
        <w:gridCol w:w="112"/>
        <w:gridCol w:w="211"/>
        <w:gridCol w:w="616"/>
        <w:gridCol w:w="109"/>
        <w:gridCol w:w="247"/>
        <w:gridCol w:w="547"/>
        <w:gridCol w:w="180"/>
      </w:tblGrid>
      <w:tr>
        <w:trPr/>
        <w:tc>
          <w:tcPr>
            <w:tcW w:w="82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2"/>
              </w:rPr>
            </w:pPr>
            <w:r>
              <w:rPr>
                <w:rFonts w:ascii="Arial;sans-serif" w:hAnsi="Arial;sans-serif"/>
                <w:b/>
                <w:color w:val="000000"/>
                <w:sz w:val="22"/>
              </w:rPr>
              <w:t>U.S. Downstream</w:t>
            </w:r>
          </w:p>
        </w:tc>
        <w:tc>
          <w:tcPr>
            <w:tcW w:w="5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Unit</w:t>
            </w:r>
          </w:p>
        </w:tc>
        <w:tc>
          <w:tcPr>
            <w:tcW w:w="936" w:type="dxa"/>
            <w:gridSpan w:val="3"/>
            <w:tcBorders>
              <w:top w:val="single" w:sz="8" w:space="0" w:color="000000"/>
              <w:left w:val="single" w:sz="8" w:space="0" w:color="000000"/>
            </w:tcBorders>
            <w:shd w:fill="DBDBDB" w:val="clear"/>
            <w:tcMar>
              <w:top w:w="52"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2Q 2026</w:t>
            </w:r>
          </w:p>
        </w:tc>
        <w:tc>
          <w:tcPr>
            <w:tcW w:w="80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1Q 2026</w:t>
            </w:r>
          </w:p>
        </w:tc>
        <w:tc>
          <w:tcPr>
            <w:tcW w:w="8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2Q 2025</w:t>
            </w:r>
          </w:p>
        </w:tc>
        <w:tc>
          <w:tcPr>
            <w:tcW w:w="936" w:type="dxa"/>
            <w:gridSpan w:val="3"/>
            <w:tcBorders>
              <w:top w:val="single" w:sz="8" w:space="0" w:color="000000"/>
              <w:left w:val="single" w:sz="8" w:space="0" w:color="000000"/>
            </w:tcBorders>
            <w:shd w:fill="DBDBDB" w:val="clear"/>
            <w:tcMar>
              <w:top w:w="52"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YTD 2026</w:t>
            </w:r>
          </w:p>
        </w:tc>
        <w:tc>
          <w:tcPr>
            <w:tcW w:w="974"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YTD 2025</w:t>
            </w:r>
          </w:p>
        </w:tc>
      </w:tr>
      <w:tr>
        <w:trPr/>
        <w:tc>
          <w:tcPr>
            <w:tcW w:w="22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Earnings / (Loss)</w:t>
            </w:r>
          </w:p>
        </w:tc>
        <w:tc>
          <w:tcPr>
            <w:tcW w:w="5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 MM</w:t>
            </w:r>
          </w:p>
        </w:tc>
        <w:tc>
          <w:tcPr>
            <w:tcW w:w="211" w:type="dxa"/>
            <w:tcBorders>
              <w:top w:val="single" w:sz="8" w:space="0" w:color="000000"/>
              <w:left w:val="single" w:sz="8" w:space="0" w:color="000000"/>
            </w:tcBorders>
            <w:shd w:fill="DBDBDB" w:val="clear"/>
            <w:tcMar>
              <w:top w:w="52"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2,411 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8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196 </w:t>
            </w:r>
          </w:p>
        </w:tc>
        <w:tc>
          <w:tcPr>
            <w:tcW w:w="11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8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404 </w:t>
            </w:r>
          </w:p>
        </w:tc>
        <w:tc>
          <w:tcPr>
            <w:tcW w:w="11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shd w:fill="DBDBDB" w:val="clear"/>
            <w:tcMar>
              <w:top w:w="52"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2,607 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4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507 </w:t>
            </w:r>
          </w:p>
        </w:tc>
        <w:tc>
          <w:tcPr>
            <w:tcW w:w="180" w:type="dxa"/>
            <w:tcBorders>
              <w:top w:val="single" w:sz="8" w:space="0" w:color="000000"/>
              <w:right w:val="single" w:sz="8" w:space="0" w:color="000000"/>
            </w:tcBorders>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Refinery Crude Unit Inputs</w:t>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MBD</w:t>
            </w:r>
          </w:p>
        </w:tc>
        <w:tc>
          <w:tcPr>
            <w:tcW w:w="827" w:type="dxa"/>
            <w:gridSpan w:val="2"/>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1,054 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1,051 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1,034 </w:t>
            </w:r>
          </w:p>
        </w:tc>
        <w:tc>
          <w:tcPr>
            <w:tcW w:w="180"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Refined Product Sales</w:t>
            </w:r>
          </w:p>
        </w:tc>
        <w:tc>
          <w:tcPr>
            <w:tcW w:w="5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MBD</w:t>
            </w:r>
          </w:p>
        </w:tc>
        <w:tc>
          <w:tcPr>
            <w:tcW w:w="827" w:type="dxa"/>
            <w:gridSpan w:val="2"/>
            <w:tcBorders>
              <w:left w:val="single" w:sz="8" w:space="0" w:color="000000"/>
              <w:bottom w:val="single" w:sz="8" w:space="0" w:color="000000"/>
            </w:tcBorders>
            <w:shd w:fill="DBDBDB" w:val="clear"/>
            <w:tcMar>
              <w:top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1,320 </w:t>
            </w:r>
          </w:p>
        </w:tc>
        <w:tc>
          <w:tcPr>
            <w:tcW w:w="109" w:type="dxa"/>
            <w:tcBorders>
              <w:bottom w:val="single" w:sz="8" w:space="0" w:color="000000"/>
            </w:tcBorders>
            <w:shd w:fill="DBDBD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1,265 </w:t>
            </w:r>
          </w:p>
        </w:tc>
        <w:tc>
          <w:tcPr>
            <w:tcW w:w="112"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1,381 </w:t>
            </w:r>
          </w:p>
        </w:tc>
        <w:tc>
          <w:tcPr>
            <w:tcW w:w="112"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000000"/>
              <w:bottom w:val="single" w:sz="8" w:space="0" w:color="000000"/>
            </w:tcBorders>
            <w:shd w:fill="DBDBDB" w:val="clear"/>
            <w:tcMar>
              <w:top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1,293 </w:t>
            </w:r>
          </w:p>
        </w:tc>
        <w:tc>
          <w:tcPr>
            <w:tcW w:w="109" w:type="dxa"/>
            <w:tcBorders>
              <w:bottom w:val="single" w:sz="8" w:space="0" w:color="000000"/>
            </w:tcBorders>
            <w:shd w:fill="DBDBD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1,337 </w:t>
            </w:r>
          </w:p>
        </w:tc>
        <w:tc>
          <w:tcPr>
            <w:tcW w:w="180" w:type="dxa"/>
            <w:tcBorders>
              <w:bottom w:val="single" w:sz="8" w:space="0" w:color="000000"/>
              <w:right w:val="single" w:sz="8" w:space="0" w:color="000000"/>
            </w:tcBorders>
            <w:tcMar>
              <w:top w:w="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60"/>
        <w:ind w:left="0" w:right="0" w:hanging="360"/>
        <w:jc w:val="both"/>
        <w:rPr/>
      </w:pPr>
      <w:r>
        <w:rPr>
          <w:color w:val="000000"/>
        </w:rPr>
        <w:t>•</w:t>
      </w:r>
      <w:r>
        <w:rPr>
          <w:rFonts w:ascii="Arial;sans-serif" w:hAnsi="Arial;sans-serif"/>
          <w:b w:val="false"/>
          <w:color w:val="000000"/>
          <w:sz w:val="22"/>
        </w:rPr>
        <w:t>U.S. downstream earnings were higher than the year-ago period</w:t>
      </w:r>
      <w:r>
        <w:rPr>
          <w:color w:val="EE2724"/>
        </w:rPr>
        <w:t xml:space="preserve"> </w:t>
      </w:r>
      <w:r>
        <w:rPr>
          <w:rFonts w:ascii="Arial;sans-serif" w:hAnsi="Arial;sans-serif"/>
          <w:b w:val="false"/>
          <w:color w:val="000000"/>
          <w:sz w:val="22"/>
        </w:rPr>
        <w:t>primarily due to higher margins on refined product sales and higher earnings from the 50 percent-owned affiliate, Chevron Phillips Chemical Company LLC.</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2"/>
        </w:rPr>
        <w:t>Refinery crude unit inputs increased 2 percent from the year-ago period as refineries operated reliably at record levels near capacity.</w:t>
      </w:r>
    </w:p>
    <w:p>
      <w:pPr>
        <w:pStyle w:val="TextBody"/>
        <w:bidi w:val="0"/>
        <w:spacing w:lineRule="auto" w:line="288" w:before="60" w:after="180"/>
        <w:ind w:left="0" w:right="0" w:hanging="360"/>
        <w:jc w:val="both"/>
        <w:rPr/>
      </w:pPr>
      <w:r>
        <w:rPr>
          <w:color w:val="000000"/>
        </w:rPr>
        <w:t>•</w:t>
      </w:r>
      <w:r>
        <w:rPr>
          <w:rFonts w:ascii="Arial;sans-serif" w:hAnsi="Arial;sans-serif"/>
          <w:b w:val="false"/>
          <w:color w:val="000000"/>
          <w:sz w:val="22"/>
        </w:rPr>
        <w:t>Refined product sales decreased 4 percent</w:t>
      </w:r>
      <w:r>
        <w:rPr>
          <w:color w:val="000000"/>
        </w:rPr>
        <w:t xml:space="preserve"> </w:t>
      </w:r>
      <w:r>
        <w:rPr>
          <w:rFonts w:ascii="Arial;sans-serif" w:hAnsi="Arial;sans-serif"/>
          <w:b w:val="false"/>
          <w:color w:val="000000"/>
          <w:sz w:val="22"/>
        </w:rPr>
        <w:t>compared to the year-ago period due to lower demand for gasoline.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8063" w:type="dxa"/>
        <w:jc w:val="center"/>
        <w:tblInd w:w="0" w:type="dxa"/>
        <w:tblLayout w:type="fixed"/>
        <w:tblCellMar>
          <w:top w:w="28" w:type="dxa"/>
          <w:left w:w="28" w:type="dxa"/>
          <w:bottom w:w="28" w:type="dxa"/>
          <w:right w:w="28" w:type="dxa"/>
        </w:tblCellMar>
      </w:tblPr>
      <w:tblGrid>
        <w:gridCol w:w="1026"/>
        <w:gridCol w:w="903"/>
        <w:gridCol w:w="905"/>
        <w:gridCol w:w="184"/>
        <w:gridCol w:w="184"/>
        <w:gridCol w:w="188"/>
        <w:gridCol w:w="211"/>
        <w:gridCol w:w="616"/>
        <w:gridCol w:w="109"/>
        <w:gridCol w:w="211"/>
        <w:gridCol w:w="691"/>
        <w:gridCol w:w="109"/>
        <w:gridCol w:w="211"/>
        <w:gridCol w:w="496"/>
        <w:gridCol w:w="109"/>
        <w:gridCol w:w="211"/>
        <w:gridCol w:w="616"/>
        <w:gridCol w:w="109"/>
        <w:gridCol w:w="247"/>
        <w:gridCol w:w="547"/>
        <w:gridCol w:w="180"/>
      </w:tblGrid>
      <w:tr>
        <w:trPr/>
        <w:tc>
          <w:tcPr>
            <w:tcW w:w="102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2"/>
              </w:rPr>
            </w:pPr>
            <w:r>
              <w:rPr>
                <w:rFonts w:ascii="Arial;sans-serif" w:hAnsi="Arial;sans-serif"/>
                <w:b/>
                <w:color w:val="000000"/>
                <w:sz w:val="22"/>
              </w:rPr>
              <w:t>International Downstream</w:t>
            </w:r>
          </w:p>
        </w:tc>
        <w:tc>
          <w:tcPr>
            <w:tcW w:w="5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Unit</w:t>
            </w:r>
          </w:p>
        </w:tc>
        <w:tc>
          <w:tcPr>
            <w:tcW w:w="936" w:type="dxa"/>
            <w:gridSpan w:val="3"/>
            <w:tcBorders>
              <w:top w:val="single" w:sz="8" w:space="0" w:color="000000"/>
              <w:left w:val="single" w:sz="8" w:space="0" w:color="000000"/>
            </w:tcBorders>
            <w:shd w:fill="DBDBDB" w:val="clear"/>
            <w:tcMar>
              <w:top w:w="52"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2Q 2026</w:t>
            </w:r>
          </w:p>
        </w:tc>
        <w:tc>
          <w:tcPr>
            <w:tcW w:w="1011"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1Q 2026</w:t>
            </w:r>
          </w:p>
        </w:tc>
        <w:tc>
          <w:tcPr>
            <w:tcW w:w="8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2Q 2025</w:t>
            </w:r>
          </w:p>
        </w:tc>
        <w:tc>
          <w:tcPr>
            <w:tcW w:w="936" w:type="dxa"/>
            <w:gridSpan w:val="3"/>
            <w:tcBorders>
              <w:top w:val="single" w:sz="8" w:space="0" w:color="000000"/>
              <w:left w:val="single" w:sz="8" w:space="0" w:color="000000"/>
            </w:tcBorders>
            <w:shd w:fill="DBDBDB" w:val="clear"/>
            <w:tcMar>
              <w:top w:w="52"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YTD 2026</w:t>
            </w:r>
          </w:p>
        </w:tc>
        <w:tc>
          <w:tcPr>
            <w:tcW w:w="974"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YTD 2025</w:t>
            </w:r>
          </w:p>
        </w:tc>
      </w:tr>
      <w:tr>
        <w:trPr/>
        <w:tc>
          <w:tcPr>
            <w:tcW w:w="28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Earnings / (Loss) </w:t>
            </w:r>
            <w:r>
              <w:rPr>
                <w:rFonts w:ascii="Arial;sans-serif" w:hAnsi="Arial;sans-serif"/>
                <w:b w:val="false"/>
                <w:color w:val="000000"/>
                <w:sz w:val="12"/>
              </w:rPr>
              <w:t>(1)</w:t>
            </w:r>
          </w:p>
        </w:tc>
        <w:tc>
          <w:tcPr>
            <w:tcW w:w="5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 MM</w:t>
            </w:r>
          </w:p>
        </w:tc>
        <w:tc>
          <w:tcPr>
            <w:tcW w:w="211" w:type="dxa"/>
            <w:tcBorders>
              <w:top w:val="single" w:sz="8" w:space="0" w:color="000000"/>
              <w:left w:val="single" w:sz="8" w:space="0" w:color="000000"/>
            </w:tcBorders>
            <w:shd w:fill="DBDBDB" w:val="clear"/>
            <w:tcMar>
              <w:top w:w="52"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2,457 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(1,013)</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333 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shd w:fill="DBDBDB" w:val="clear"/>
            <w:tcMar>
              <w:top w:w="52"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1,444 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4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555 </w:t>
            </w:r>
          </w:p>
        </w:tc>
        <w:tc>
          <w:tcPr>
            <w:tcW w:w="180" w:type="dxa"/>
            <w:tcBorders>
              <w:top w:val="single" w:sz="8" w:space="0" w:color="000000"/>
              <w:right w:val="single" w:sz="8" w:space="0" w:color="000000"/>
            </w:tcBorders>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Refinery Crude Unit Inputs</w:t>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MBD</w:t>
            </w:r>
          </w:p>
        </w:tc>
        <w:tc>
          <w:tcPr>
            <w:tcW w:w="827" w:type="dxa"/>
            <w:gridSpan w:val="2"/>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640 </w:t>
            </w:r>
          </w:p>
        </w:tc>
        <w:tc>
          <w:tcPr>
            <w:tcW w:w="180"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Refined Product Sales</w:t>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MBD</w:t>
            </w:r>
          </w:p>
        </w:tc>
        <w:tc>
          <w:tcPr>
            <w:tcW w:w="827" w:type="dxa"/>
            <w:gridSpan w:val="2"/>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1,436 </w:t>
            </w:r>
          </w:p>
        </w:tc>
        <w:tc>
          <w:tcPr>
            <w:tcW w:w="180"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i/>
                <w:color w:val="6D6D6D"/>
                <w:sz w:val="10"/>
              </w:rPr>
              <w:t>(1)</w:t>
            </w:r>
            <w:r>
              <w:rPr>
                <w:color w:val="6D6D6D"/>
              </w:rPr>
              <w:t xml:space="preserve"> </w:t>
            </w:r>
            <w:r>
              <w:rPr>
                <w:rFonts w:ascii="Arial;sans-serif" w:hAnsi="Arial;sans-serif"/>
                <w:b w:val="false"/>
                <w:i/>
                <w:color w:val="6D6D6D"/>
                <w:sz w:val="16"/>
              </w:rPr>
              <w:t>Includes foreign currency effects</w:t>
            </w:r>
          </w:p>
        </w:tc>
        <w:tc>
          <w:tcPr>
            <w:tcW w:w="55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6D6D6D"/>
                <w:sz w:val="16"/>
              </w:rPr>
            </w:pPr>
            <w:r>
              <w:rPr>
                <w:rFonts w:ascii="Arial;sans-serif" w:hAnsi="Arial;sans-serif"/>
                <w:b w:val="false"/>
                <w:i/>
                <w:color w:val="6D6D6D"/>
                <w:sz w:val="16"/>
              </w:rPr>
              <w:t>$ MM</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6D6D6D"/>
                <w:sz w:val="16"/>
              </w:rPr>
            </w:pPr>
            <w:r>
              <w:rPr>
                <w:rFonts w:ascii="Arial;sans-serif" w:hAnsi="Arial;sans-serif"/>
                <w:b w:val="false"/>
                <w:i/>
                <w:color w:val="6D6D6D"/>
                <w:sz w:val="16"/>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6D6D6D"/>
                <w:sz w:val="16"/>
              </w:rPr>
            </w:pPr>
            <w:r>
              <w:rPr>
                <w:rFonts w:ascii="Arial;sans-serif" w:hAnsi="Arial;sans-serif"/>
                <w:b w:val="false"/>
                <w:i/>
                <w:color w:val="6D6D6D"/>
                <w:sz w:val="16"/>
              </w:rPr>
              <w:t>31 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6D6D6D"/>
                <w:sz w:val="16"/>
              </w:rPr>
            </w:pPr>
            <w:r>
              <w:rPr>
                <w:rFonts w:ascii="Arial;sans-serif" w:hAnsi="Arial;sans-serif"/>
                <w:b w:val="false"/>
                <w:i/>
                <w:color w:val="6D6D6D"/>
                <w:sz w:val="16"/>
              </w:rPr>
              <w:t>$</w:t>
            </w:r>
          </w:p>
        </w:tc>
        <w:tc>
          <w:tcPr>
            <w:tcW w:w="6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6D6D6D"/>
                <w:sz w:val="16"/>
              </w:rPr>
            </w:pPr>
            <w:r>
              <w:rPr>
                <w:rFonts w:ascii="Arial;sans-serif" w:hAnsi="Arial;sans-serif"/>
                <w:b w:val="false"/>
                <w:i/>
                <w:color w:val="6D6D6D"/>
                <w:sz w:val="16"/>
              </w:rPr>
              <w:t>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6D6D6D"/>
                <w:sz w:val="16"/>
              </w:rPr>
            </w:pPr>
            <w:r>
              <w:rPr>
                <w:rFonts w:ascii="Arial;sans-serif" w:hAnsi="Arial;sans-serif"/>
                <w:b w:val="false"/>
                <w:i/>
                <w:color w:val="6D6D6D"/>
                <w:sz w:val="16"/>
              </w:rPr>
              <w:t>$</w:t>
            </w:r>
          </w:p>
        </w:tc>
        <w:tc>
          <w:tcPr>
            <w:tcW w:w="4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6D6D6D"/>
                <w:sz w:val="16"/>
              </w:rPr>
            </w:pPr>
            <w:r>
              <w:rPr>
                <w:rFonts w:ascii="Arial;sans-serif" w:hAnsi="Arial;sans-serif"/>
                <w:b w:val="false"/>
                <w:i/>
                <w:color w:val="6D6D6D"/>
                <w:sz w:val="16"/>
              </w:rPr>
              <w:t>(102)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6D6D6D"/>
                <w:sz w:val="18"/>
              </w:rPr>
            </w:pPr>
            <w:r>
              <w:rPr>
                <w:rFonts w:ascii="Arial;sans-serif" w:hAnsi="Arial;sans-serif"/>
                <w:b w:val="false"/>
                <w:i/>
                <w:color w:val="6D6D6D"/>
                <w:sz w:val="18"/>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6D6D6D"/>
                <w:sz w:val="18"/>
              </w:rPr>
            </w:pPr>
            <w:r>
              <w:rPr>
                <w:rFonts w:ascii="Arial;sans-serif" w:hAnsi="Arial;sans-serif"/>
                <w:b w:val="false"/>
                <w:i/>
                <w:color w:val="6D6D6D"/>
                <w:sz w:val="18"/>
              </w:rPr>
              <w:t>39 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6D6D6D"/>
                <w:sz w:val="18"/>
              </w:rPr>
            </w:pPr>
            <w:r>
              <w:rPr>
                <w:rFonts w:ascii="Arial;sans-serif" w:hAnsi="Arial;sans-serif"/>
                <w:b w:val="false"/>
                <w:i/>
                <w:color w:val="6D6D6D"/>
                <w:sz w:val="18"/>
              </w:rPr>
              <w:t>$</w:t>
            </w:r>
          </w:p>
        </w:tc>
        <w:tc>
          <w:tcPr>
            <w:tcW w:w="54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6D6D6D"/>
                <w:sz w:val="18"/>
              </w:rPr>
            </w:pPr>
            <w:r>
              <w:rPr>
                <w:rFonts w:ascii="Arial;sans-serif" w:hAnsi="Arial;sans-serif"/>
                <w:b w:val="false"/>
                <w:i/>
                <w:color w:val="6D6D6D"/>
                <w:sz w:val="18"/>
              </w:rPr>
              <w:t>(99)</w:t>
            </w:r>
          </w:p>
        </w:tc>
        <w:tc>
          <w:tcPr>
            <w:tcW w:w="18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60"/>
        <w:ind w:left="0" w:right="0" w:hanging="360"/>
        <w:jc w:val="both"/>
        <w:rPr/>
      </w:pPr>
      <w:r>
        <w:rPr>
          <w:color w:val="000000"/>
        </w:rPr>
        <w:t>•</w:t>
      </w:r>
      <w:r>
        <w:rPr>
          <w:rFonts w:ascii="Arial;sans-serif" w:hAnsi="Arial;sans-serif"/>
          <w:b w:val="false"/>
          <w:color w:val="000000"/>
          <w:sz w:val="22"/>
        </w:rPr>
        <w:t>International downstream earnings were higher than the year-ago period primarily due to higher margins on refined product sales, including favorable timing effects, an asset sale gain, and a favorable swing in foreign currency effects.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2"/>
        </w:rPr>
        <w:t>Refinery crude unit inputs decreased 10 percent from the year-ago period due to supply disruptions from the Middle East conflict.</w:t>
      </w:r>
    </w:p>
    <w:p>
      <w:pPr>
        <w:pStyle w:val="TextBody"/>
        <w:bidi w:val="0"/>
        <w:spacing w:lineRule="auto" w:line="288" w:before="60" w:after="120"/>
        <w:ind w:left="0" w:right="0" w:hanging="360"/>
        <w:jc w:val="both"/>
        <w:rPr/>
      </w:pPr>
      <w:r>
        <w:rPr>
          <w:color w:val="000000"/>
        </w:rPr>
        <w:t>•</w:t>
      </w:r>
      <w:r>
        <w:rPr>
          <w:rFonts w:ascii="Arial;sans-serif" w:hAnsi="Arial;sans-serif"/>
          <w:b w:val="false"/>
          <w:color w:val="000000"/>
          <w:sz w:val="22"/>
        </w:rPr>
        <w:t>Refined product sales decreased 13 percent from the year-ago period due to supply disruptions from the Middle East conflict and lower demand for gasoline and diesel fuel.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left"/>
        <w:rPr>
          <w:rFonts w:ascii="Arial;sans-serif" w:hAnsi="Arial;sans-serif"/>
          <w:b/>
          <w:color w:val="000000"/>
          <w:sz w:val="22"/>
        </w:rPr>
      </w:pPr>
      <w:r>
        <w:rPr>
          <w:rFonts w:ascii="Arial;sans-serif" w:hAnsi="Arial;sans-serif"/>
          <w:b/>
          <w:color w:val="000000"/>
          <w:sz w:val="22"/>
        </w:rPr>
        <w:t>All Other</w:t>
      </w:r>
    </w:p>
    <w:tbl>
      <w:tblPr>
        <w:tblW w:w="7905" w:type="dxa"/>
        <w:jc w:val="center"/>
        <w:tblInd w:w="0" w:type="dxa"/>
        <w:tblLayout w:type="fixed"/>
        <w:tblCellMar>
          <w:top w:w="28" w:type="dxa"/>
          <w:left w:w="28" w:type="dxa"/>
          <w:bottom w:w="28" w:type="dxa"/>
          <w:right w:w="28" w:type="dxa"/>
        </w:tblCellMar>
      </w:tblPr>
      <w:tblGrid>
        <w:gridCol w:w="977"/>
        <w:gridCol w:w="857"/>
        <w:gridCol w:w="865"/>
        <w:gridCol w:w="184"/>
        <w:gridCol w:w="184"/>
        <w:gridCol w:w="188"/>
        <w:gridCol w:w="211"/>
        <w:gridCol w:w="541"/>
        <w:gridCol w:w="109"/>
        <w:gridCol w:w="211"/>
        <w:gridCol w:w="541"/>
        <w:gridCol w:w="109"/>
        <w:gridCol w:w="211"/>
        <w:gridCol w:w="541"/>
        <w:gridCol w:w="109"/>
        <w:gridCol w:w="211"/>
        <w:gridCol w:w="691"/>
        <w:gridCol w:w="109"/>
        <w:gridCol w:w="211"/>
        <w:gridCol w:w="691"/>
        <w:gridCol w:w="154"/>
      </w:tblGrid>
      <w:tr>
        <w:trPr/>
        <w:tc>
          <w:tcPr>
            <w:tcW w:w="977"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2"/>
              </w:rPr>
            </w:pPr>
            <w:r>
              <w:rPr>
                <w:rFonts w:ascii="Arial;sans-serif" w:hAnsi="Arial;sans-serif"/>
                <w:b/>
                <w:color w:val="000000"/>
                <w:sz w:val="22"/>
              </w:rPr>
              <w:t>All Other</w:t>
            </w:r>
          </w:p>
        </w:tc>
        <w:tc>
          <w:tcPr>
            <w:tcW w:w="5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Unit</w:t>
            </w:r>
          </w:p>
        </w:tc>
        <w:tc>
          <w:tcPr>
            <w:tcW w:w="861" w:type="dxa"/>
            <w:gridSpan w:val="3"/>
            <w:tcBorders>
              <w:top w:val="single" w:sz="8" w:space="0" w:color="000000"/>
              <w:left w:val="single" w:sz="8" w:space="0" w:color="000000"/>
            </w:tcBorders>
            <w:shd w:fill="DBDBDB" w:val="clear"/>
            <w:tcMar>
              <w:top w:w="52"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2Q 2026</w:t>
            </w:r>
          </w:p>
        </w:tc>
        <w:tc>
          <w:tcPr>
            <w:tcW w:w="861"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1Q 2026</w:t>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2Q 2025</w:t>
            </w:r>
          </w:p>
        </w:tc>
        <w:tc>
          <w:tcPr>
            <w:tcW w:w="1011" w:type="dxa"/>
            <w:gridSpan w:val="3"/>
            <w:tcBorders>
              <w:top w:val="single" w:sz="8" w:space="0" w:color="000000"/>
              <w:left w:val="single" w:sz="8" w:space="0" w:color="000000"/>
            </w:tcBorders>
            <w:shd w:fill="DBDBDB" w:val="clear"/>
            <w:tcMar>
              <w:top w:w="52"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YTD 2026</w:t>
            </w:r>
          </w:p>
        </w:tc>
        <w:tc>
          <w:tcPr>
            <w:tcW w:w="1056"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YTD 2025</w:t>
            </w:r>
          </w:p>
        </w:tc>
      </w:tr>
      <w:tr>
        <w:trPr/>
        <w:tc>
          <w:tcPr>
            <w:tcW w:w="26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Net charges </w:t>
            </w:r>
            <w:r>
              <w:rPr>
                <w:rFonts w:ascii="Arial;sans-serif" w:hAnsi="Arial;sans-serif"/>
                <w:b w:val="false"/>
                <w:color w:val="000000"/>
                <w:sz w:val="12"/>
              </w:rPr>
              <w:t>(1)</w:t>
            </w:r>
          </w:p>
        </w:tc>
        <w:tc>
          <w:tcPr>
            <w:tcW w:w="5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 MM</w:t>
            </w:r>
          </w:p>
        </w:tc>
        <w:tc>
          <w:tcPr>
            <w:tcW w:w="211" w:type="dxa"/>
            <w:tcBorders>
              <w:top w:val="single" w:sz="8" w:space="0" w:color="000000"/>
              <w:left w:val="single" w:sz="8" w:space="0" w:color="000000"/>
            </w:tcBorders>
            <w:shd w:fill="DBDBDB" w:val="clear"/>
            <w:tcMar>
              <w:top w:w="52"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4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(978)</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4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(882)</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4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(974)</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shd w:fill="DBDBDB" w:val="clear"/>
            <w:tcMar>
              <w:top w:w="52"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(1,860)</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(1,557)</w:t>
            </w:r>
          </w:p>
        </w:tc>
        <w:tc>
          <w:tcPr>
            <w:tcW w:w="154" w:type="dxa"/>
            <w:tcBorders>
              <w:top w:val="single" w:sz="8" w:space="0" w:color="000000"/>
              <w:right w:val="single" w:sz="8" w:space="0" w:color="000000"/>
            </w:tcBorders>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i/>
                <w:color w:val="6D6D6D"/>
                <w:sz w:val="10"/>
              </w:rPr>
              <w:t>(1)</w:t>
            </w:r>
            <w:r>
              <w:rPr>
                <w:color w:val="6D6D6D"/>
              </w:rPr>
              <w:t xml:space="preserve"> </w:t>
            </w:r>
            <w:r>
              <w:rPr>
                <w:rFonts w:ascii="Arial;sans-serif" w:hAnsi="Arial;sans-serif"/>
                <w:b w:val="false"/>
                <w:i/>
                <w:color w:val="6D6D6D"/>
                <w:sz w:val="16"/>
              </w:rPr>
              <w:t>Includes foreign currency effects</w:t>
            </w:r>
          </w:p>
        </w:tc>
        <w:tc>
          <w:tcPr>
            <w:tcW w:w="5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6D6D6D"/>
                <w:sz w:val="16"/>
              </w:rPr>
            </w:pPr>
            <w:r>
              <w:rPr>
                <w:rFonts w:ascii="Arial;sans-serif" w:hAnsi="Arial;sans-serif"/>
                <w:b w:val="false"/>
                <w:i/>
                <w:color w:val="6D6D6D"/>
                <w:sz w:val="16"/>
              </w:rPr>
              <w:t>$ MM</w:t>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6D6D6D"/>
                <w:sz w:val="16"/>
              </w:rPr>
            </w:pPr>
            <w:r>
              <w:rPr>
                <w:rFonts w:ascii="Arial;sans-serif" w:hAnsi="Arial;sans-serif"/>
                <w:b w:val="false"/>
                <w:i/>
                <w:color w:val="6D6D6D"/>
                <w:sz w:val="16"/>
              </w:rPr>
              <w:t>$</w:t>
            </w:r>
          </w:p>
        </w:tc>
        <w:tc>
          <w:tcPr>
            <w:tcW w:w="54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6D6D6D"/>
                <w:sz w:val="16"/>
              </w:rPr>
            </w:pPr>
            <w:r>
              <w:rPr>
                <w:rFonts w:ascii="Arial;sans-serif" w:hAnsi="Arial;sans-serif"/>
                <w:b w:val="false"/>
                <w:i/>
                <w:color w:val="6D6D6D"/>
                <w:sz w:val="16"/>
              </w:rPr>
              <w:t>(3)</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6D6D6D"/>
                <w:sz w:val="16"/>
              </w:rPr>
            </w:pPr>
            <w:r>
              <w:rPr>
                <w:rFonts w:ascii="Arial;sans-serif" w:hAnsi="Arial;sans-serif"/>
                <w:b w:val="false"/>
                <w:i/>
                <w:color w:val="6D6D6D"/>
                <w:sz w:val="16"/>
              </w:rPr>
              <w:t>$</w:t>
            </w:r>
          </w:p>
        </w:tc>
        <w:tc>
          <w:tcPr>
            <w:tcW w:w="54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6D6D6D"/>
                <w:sz w:val="16"/>
              </w:rPr>
            </w:pPr>
            <w:r>
              <w:rPr>
                <w:rFonts w:ascii="Arial;sans-serif" w:hAnsi="Arial;sans-serif"/>
                <w:b w:val="false"/>
                <w:i/>
                <w:color w:val="6D6D6D"/>
                <w:sz w:val="16"/>
              </w:rPr>
              <w:t>2 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6D6D6D"/>
                <w:sz w:val="16"/>
              </w:rPr>
            </w:pPr>
            <w:r>
              <w:rPr>
                <w:rFonts w:ascii="Arial;sans-serif" w:hAnsi="Arial;sans-serif"/>
                <w:b w:val="false"/>
                <w:i/>
                <w:color w:val="6D6D6D"/>
                <w:sz w:val="16"/>
              </w:rPr>
              <w:t>$</w:t>
            </w:r>
          </w:p>
        </w:tc>
        <w:tc>
          <w:tcPr>
            <w:tcW w:w="54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6D6D6D"/>
                <w:sz w:val="16"/>
              </w:rPr>
            </w:pPr>
            <w:r>
              <w:rPr>
                <w:rFonts w:ascii="Arial;sans-serif" w:hAnsi="Arial;sans-serif"/>
                <w:b w:val="false"/>
                <w:i/>
                <w:color w:val="6D6D6D"/>
                <w:sz w:val="16"/>
              </w:rPr>
              <w:t>(10)</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6D6D6D"/>
                <w:sz w:val="16"/>
              </w:rPr>
            </w:pPr>
            <w:r>
              <w:rPr>
                <w:rFonts w:ascii="Arial;sans-serif" w:hAnsi="Arial;sans-serif"/>
                <w:b w:val="false"/>
                <w:i/>
                <w:color w:val="6D6D6D"/>
                <w:sz w:val="16"/>
              </w:rPr>
              <w:t>$</w:t>
            </w:r>
          </w:p>
        </w:tc>
        <w:tc>
          <w:tcPr>
            <w:tcW w:w="69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6D6D6D"/>
                <w:sz w:val="16"/>
              </w:rPr>
            </w:pPr>
            <w:r>
              <w:rPr>
                <w:rFonts w:ascii="Arial;sans-serif" w:hAnsi="Arial;sans-serif"/>
                <w:b w:val="false"/>
                <w:i/>
                <w:color w:val="6D6D6D"/>
                <w:sz w:val="16"/>
              </w:rPr>
              <w:t>(1)</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6D6D6D"/>
                <w:sz w:val="16"/>
              </w:rPr>
            </w:pPr>
            <w:r>
              <w:rPr>
                <w:rFonts w:ascii="Arial;sans-serif" w:hAnsi="Arial;sans-serif"/>
                <w:b w:val="false"/>
                <w:i/>
                <w:color w:val="6D6D6D"/>
                <w:sz w:val="16"/>
              </w:rPr>
              <w:t>$</w:t>
            </w:r>
          </w:p>
        </w:tc>
        <w:tc>
          <w:tcPr>
            <w:tcW w:w="69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6D6D6D"/>
                <w:sz w:val="16"/>
              </w:rPr>
            </w:pPr>
            <w:r>
              <w:rPr>
                <w:rFonts w:ascii="Arial;sans-serif" w:hAnsi="Arial;sans-serif"/>
                <w:b w:val="false"/>
                <w:i/>
                <w:color w:val="6D6D6D"/>
                <w:sz w:val="16"/>
              </w:rPr>
              <w:t>(15)</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60"/>
        <w:ind w:left="0" w:right="0" w:hanging="360"/>
        <w:jc w:val="both"/>
        <w:rPr/>
      </w:pPr>
      <w:r>
        <w:rPr>
          <w:color w:val="000000"/>
        </w:rPr>
        <w:t>•</w:t>
      </w:r>
      <w:r>
        <w:rPr>
          <w:rFonts w:ascii="Arial;sans-serif" w:hAnsi="Arial;sans-serif"/>
          <w:b w:val="false"/>
          <w:color w:val="000000"/>
          <w:sz w:val="22"/>
        </w:rPr>
        <w:t>All Other consists of worldwide cash management and debt financing activities, corporate administrative functions, insurance operations, real estate activities, and technology companies.</w:t>
      </w:r>
    </w:p>
    <w:p>
      <w:pPr>
        <w:pStyle w:val="TextBody"/>
        <w:bidi w:val="0"/>
        <w:spacing w:lineRule="auto" w:line="288" w:before="60" w:after="120"/>
        <w:ind w:left="0" w:right="0" w:hanging="360"/>
        <w:jc w:val="both"/>
        <w:rPr/>
      </w:pPr>
      <w:r>
        <w:rPr>
          <w:color w:val="000000"/>
        </w:rPr>
        <w:t>•</w:t>
      </w:r>
      <w:r>
        <w:rPr>
          <w:rFonts w:ascii="Arial;sans-serif" w:hAnsi="Arial;sans-serif"/>
          <w:b w:val="false"/>
          <w:color w:val="000000"/>
          <w:sz w:val="22"/>
        </w:rPr>
        <w:t>Net charges were relatively flat compared to a year ago as higher employee benefit costs and higher interest expense were offset by the absence of prior-year unfavorable fair value adjustment on Hess shares.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60"/>
        <w:jc w:val="both"/>
        <w:rPr/>
      </w:pPr>
      <w:r>
        <w:rPr>
          <w:rFonts w:ascii="Arial;sans-serif" w:hAnsi="Arial;sans-serif"/>
          <w:b w:val="false"/>
          <w:color w:val="000000"/>
          <w:sz w:val="22"/>
        </w:rPr>
        <w:t xml:space="preserve">Chevron is one of the world’s leading integrated energy companies. We believe affordable, reliable and ever-cleaner energy is essential to enabling human progress. Chevron produces crude oil and natural gas; manufactures transportation fuels, lubricants, petrochemicals and additives; and develops technologies that enhance our business and the industry. We aim to grow our oil and gas business, lower the carbon intensity of operations, and grow new energies businesses. More information about Chevron is available at </w:t>
      </w:r>
      <w:r>
        <w:rPr>
          <w:rFonts w:ascii="Arial;sans-serif" w:hAnsi="Arial;sans-serif"/>
          <w:b w:val="false"/>
          <w:color w:val="000000"/>
          <w:sz w:val="22"/>
          <w:u w:val="single"/>
        </w:rPr>
        <w:t>www.chevron.com</w:t>
      </w:r>
      <w:r>
        <w:rPr>
          <w:rFonts w:ascii="Arial;sans-serif" w:hAnsi="Arial;sans-serif"/>
          <w:b w:val="false"/>
          <w:color w:val="000000"/>
          <w:sz w:val="22"/>
        </w:rPr>
        <w:t>.</w:t>
      </w:r>
    </w:p>
    <w:p>
      <w:pPr>
        <w:pStyle w:val="TextBody"/>
        <w:bidi w:val="0"/>
        <w:spacing w:lineRule="auto" w:line="288" w:before="120" w:after="120"/>
        <w:jc w:val="center"/>
        <w:rPr/>
      </w:pPr>
      <w:r>
        <w:rPr>
          <w:rFonts w:ascii="Arial;sans-serif" w:hAnsi="Arial;sans-serif"/>
          <w:b w:val="false"/>
          <w:i/>
          <w:color w:val="000000"/>
          <w:sz w:val="22"/>
        </w:rPr>
        <w:t># #</w:t>
      </w:r>
      <w:r>
        <w:rPr>
          <w:color w:val="000000"/>
        </w:rPr>
        <w:t xml:space="preserve"> </w:t>
      </w:r>
      <w:r>
        <w:rPr>
          <w:rFonts w:ascii="Arial;sans-serif" w:hAnsi="Arial;sans-serif"/>
          <w:b w:val="false"/>
          <w:color w:val="000000"/>
          <w:sz w:val="22"/>
        </w:rPr>
        <w:t>#</w:t>
      </w:r>
    </w:p>
    <w:p>
      <w:pPr>
        <w:pStyle w:val="TextBody"/>
        <w:bidi w:val="0"/>
        <w:spacing w:lineRule="auto" w:line="288" w:before="60" w:after="60"/>
        <w:jc w:val="center"/>
        <w:rPr>
          <w:rFonts w:ascii="Arial;sans-serif" w:hAnsi="Arial;sans-serif"/>
          <w:b w:val="false"/>
          <w:color w:val="000000"/>
          <w:sz w:val="22"/>
        </w:rPr>
      </w:pPr>
      <w:r>
        <w:rPr>
          <w:rFonts w:ascii="Arial;sans-serif" w:hAnsi="Arial;sans-serif"/>
          <w:b w:val="false"/>
          <w:color w:val="000000"/>
          <w:sz w:val="22"/>
        </w:rPr>
        <w:t>Contact: James Craig -- +1 925-842-1319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w:t>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06705"/>
                <wp:effectExtent l="0" t="0" r="0" b="0"/>
                <wp:wrapNone/>
                <wp:docPr id="8" name="Frame7"/>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-MORE-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221.35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-MORE-</w:t>
                      </w:r>
                    </w:p>
                  </w:txbxContent>
                </v:textbox>
                <w10:wrap type="none"/>
              </v:rect>
            </w:pict>
          </mc:Fallback>
        </mc:AlternateContent>
      </w:r>
    </w:p>
    <w:p>
      <w:pPr>
        <w:pStyle w:val="TextBody"/>
        <w:bidi w:val="0"/>
        <w:spacing w:lineRule="auto" w:line="288" w:before="40" w:after="40"/>
        <w:jc w:val="center"/>
        <w:rPr>
          <w:rFonts w:ascii="Arial;sans-serif" w:hAnsi="Arial;sans-serif"/>
          <w:b/>
          <w:color w:val="000000"/>
          <w:sz w:val="22"/>
        </w:rPr>
      </w:pPr>
      <w:r>
        <w:rPr>
          <w:rFonts w:ascii="Arial;sans-serif" w:hAnsi="Arial;sans-serif"/>
          <w:b/>
          <w:color w:val="000000"/>
          <w:sz w:val="22"/>
        </w:rPr>
        <w:t>NOTICE</w:t>
      </w:r>
    </w:p>
    <w:p>
      <w:pPr>
        <w:pStyle w:val="TextBody"/>
        <w:bidi w:val="0"/>
        <w:spacing w:lineRule="auto" w:line="288" w:before="40" w:after="40"/>
        <w:jc w:val="both"/>
        <w:rPr/>
      </w:pPr>
      <w:r>
        <w:rPr>
          <w:rFonts w:ascii="Arial;sans-serif" w:hAnsi="Arial;sans-serif"/>
          <w:b/>
          <w:color w:val="000000"/>
          <w:sz w:val="22"/>
        </w:rPr>
        <w:t xml:space="preserve">Chevron’s discussion of second quarter 2026 earnings with security analysts will take place on Friday, July 31, 2026, at 10:00 a.m. CT. A webcast of the meeting will be available in a listen-only mode to individual investors, media, and other interested parties on Chevron’s website at </w:t>
      </w:r>
      <w:r>
        <w:rPr>
          <w:rFonts w:ascii="Arial;sans-serif" w:hAnsi="Arial;sans-serif"/>
          <w:b/>
          <w:color w:val="000000"/>
          <w:sz w:val="22"/>
          <w:u w:val="single"/>
        </w:rPr>
        <w:t>www.chevron.com</w:t>
      </w:r>
      <w:r>
        <w:rPr>
          <w:color w:val="000000"/>
        </w:rPr>
        <w:t xml:space="preserve"> </w:t>
      </w:r>
      <w:r>
        <w:rPr>
          <w:rFonts w:ascii="Arial;sans-serif" w:hAnsi="Arial;sans-serif"/>
          <w:b/>
          <w:color w:val="000000"/>
          <w:sz w:val="22"/>
        </w:rPr>
        <w:t>under the “Investors” section. Prepared remarks for today’s call, additional financial and operating information and other complementary materials will be available prior to the call at approximately 5:30 a.m. CT and located under “Events and Presentations” in the “Investors” section on the Chevron website. Chevron also publishes a “Sensitivities and Forward Guidance” document with consolidated guidance and sensitivities that is updated quarterly and posted to the Chevron website the month prior to earnings calls.</w:t>
      </w:r>
    </w:p>
    <w:p>
      <w:pPr>
        <w:pStyle w:val="TextBody"/>
        <w:bidi w:val="0"/>
        <w:spacing w:lineRule="auto" w:line="288" w:before="40" w:after="40"/>
        <w:jc w:val="both"/>
        <w:rPr>
          <w:rFonts w:ascii="Arial;sans-serif" w:hAnsi="Arial;sans-serif"/>
          <w:b w:val="false"/>
          <w:i/>
          <w:color w:val="000000"/>
          <w:sz w:val="20"/>
        </w:rPr>
      </w:pPr>
      <w:r>
        <w:rPr>
          <w:rFonts w:ascii="Arial;sans-serif" w:hAnsi="Arial;sans-serif"/>
          <w:b w:val="false"/>
          <w:i/>
          <w:color w:val="000000"/>
          <w:sz w:val="20"/>
        </w:rPr>
        <w:t xml:space="preserve">As used in this news release, the term “Chevron” and such terms as “the company,” “the corporation,” “our,” “we,” “us” and “its” may refer to Chevron Corporation, one or more of its consolidated subsidiaries, or to all of them taken as a whole. All of these terms are used for convenience only and are not intended as a precise description of any of the separate companies, each of which manages its own affairs. Structural cost reductions describe decreases in operating expenses from operational efficiencies, divestments, and other cost saving measures that are expected to be sustainable compared with 2024 levels. </w:t>
      </w:r>
    </w:p>
    <w:p>
      <w:pPr>
        <w:pStyle w:val="TextBody"/>
        <w:bidi w:val="0"/>
        <w:spacing w:lineRule="auto" w:line="288" w:before="40" w:after="40"/>
        <w:jc w:val="both"/>
        <w:rPr>
          <w:rFonts w:ascii="Arial;sans-serif" w:hAnsi="Arial;sans-serif"/>
          <w:b w:val="false"/>
          <w:i/>
          <w:color w:val="000000"/>
          <w:sz w:val="20"/>
        </w:rPr>
      </w:pPr>
      <w:r>
        <w:rPr>
          <w:rFonts w:ascii="Arial;sans-serif" w:hAnsi="Arial;sans-serif"/>
          <w:b w:val="false"/>
          <w:i/>
          <w:color w:val="000000"/>
          <w:sz w:val="20"/>
        </w:rPr>
        <w:t>Please visit Chevron’s website and Investor Relations page at www.chevron.com and www.chevron.com/investors, LinkedIn: www.linkedin.com/company/chevron, X: @Chevron, Facebook: www.facebook.com/chevron, and Instagram: www.instagram.com/chevron, where Chevron often discloses important information about the company, its business, and its results of operations.</w:t>
      </w:r>
    </w:p>
    <w:p>
      <w:pPr>
        <w:pStyle w:val="TextBody"/>
        <w:bidi w:val="0"/>
        <w:spacing w:lineRule="auto" w:line="288" w:before="40" w:after="40"/>
        <w:jc w:val="both"/>
        <w:rPr/>
      </w:pPr>
      <w:r>
        <w:rPr>
          <w:rFonts w:ascii="Arial;sans-serif" w:hAnsi="Arial;sans-serif"/>
          <w:b/>
          <w:i/>
          <w:color w:val="000000"/>
          <w:sz w:val="20"/>
        </w:rPr>
        <w:t>Timing effects</w:t>
      </w:r>
      <w:r>
        <w:rPr>
          <w:color w:val="000000"/>
        </w:rPr>
        <w:t xml:space="preserve"> </w:t>
      </w:r>
      <w:r>
        <w:rPr>
          <w:rFonts w:ascii="Arial;sans-serif" w:hAnsi="Arial;sans-serif"/>
          <w:b w:val="false"/>
          <w:i/>
          <w:color w:val="000000"/>
          <w:sz w:val="20"/>
        </w:rPr>
        <w:t>- Timing effects include timing mismatches in earnings recognition related to the mark</w:t>
        <w:noBreakHyphen/>
        <w:t>to</w:t>
        <w:noBreakHyphen/>
        <w:t>market of financial derivatives prior to the physical delivery of the associated hydrocarbons, as well as the impact of LIFO inventory accounting.</w:t>
      </w:r>
    </w:p>
    <w:p>
      <w:pPr>
        <w:pStyle w:val="TextBody"/>
        <w:bidi w:val="0"/>
        <w:spacing w:lineRule="auto" w:line="288" w:before="40" w:after="40"/>
        <w:jc w:val="both"/>
        <w:rPr/>
      </w:pPr>
      <w:r>
        <w:rPr>
          <w:rFonts w:ascii="Arial;sans-serif" w:hAnsi="Arial;sans-serif"/>
          <w:b/>
          <w:i/>
          <w:color w:val="000000"/>
          <w:sz w:val="20"/>
        </w:rPr>
        <w:t>Non-GAAP Financial Measures</w:t>
      </w:r>
      <w:r>
        <w:rPr>
          <w:color w:val="000000"/>
        </w:rPr>
        <w:t xml:space="preserve"> </w:t>
      </w:r>
      <w:r>
        <w:rPr>
          <w:rFonts w:ascii="Arial;sans-serif" w:hAnsi="Arial;sans-serif"/>
          <w:b w:val="false"/>
          <w:i/>
          <w:color w:val="000000"/>
          <w:sz w:val="20"/>
        </w:rPr>
        <w:t xml:space="preserve">- This news release includes adjusted earnings/(loss), which reflect earnings or losses excluding significant non-operational items including impairment charges, write-offs, decommissioning obligations from previously sold assets, severance costs, gains on asset sales, legal reserves for ceased operations, fair value adjustments for investments in equity securities, unusual tax items, effects of pension settlements and curtailments, foreign currency effects and other special items. The company believes it is useful for investors to consider this measure in comparing the underlying performance of its business across periods. The presentation of this additional information is not meant to be considered in isolation or as a substitute for net income (loss) as prepared in accordance with U.S. GAAP. A reconciliation to net income (loss) attributable to Chevron Corporation is shown in Attachment 4. </w:t>
      </w:r>
    </w:p>
    <w:p>
      <w:pPr>
        <w:pStyle w:val="TextBody"/>
        <w:bidi w:val="0"/>
        <w:spacing w:lineRule="auto" w:line="288" w:before="40" w:after="40"/>
        <w:jc w:val="both"/>
        <w:rPr>
          <w:rFonts w:ascii="Arial;sans-serif" w:hAnsi="Arial;sans-serif"/>
          <w:b w:val="false"/>
          <w:i/>
          <w:color w:val="000000"/>
          <w:sz w:val="20"/>
        </w:rPr>
      </w:pPr>
      <w:r>
        <w:rPr>
          <w:rFonts w:ascii="Arial;sans-serif" w:hAnsi="Arial;sans-serif"/>
          <w:b w:val="false"/>
          <w:i/>
          <w:color w:val="000000"/>
          <w:sz w:val="20"/>
        </w:rPr>
        <w:t>This news release also includes cash flow from operations excluding working capital, free cash flow and adjusted free cash flow. Cash flow from operations excluding working capital is defined as net cash provided by operating activities less net changes in operating working capital, and represents cash generated by operating activities excluding the timing impacts of working capital. Free cash flow is defined as net cash provided by operating activities less capital expenditures and generally represents the cash available to creditors and investors after investing in the business. Adjusted free cash flow is defined as free cash flow excluding working capital plus proceeds and deposits related to asset sales and returns of investments plus net repayment (borrowing) of loans by equity affiliates and generally represents the cash available to creditors and investors after investing in the business excluding the timing impacts of working capital. The company believes these measures are useful to monitor the financial health of the company and its performance over time. Reconciliations of cash flow from operations excluding working capital, free cash flow and adjusted free cash flow are shown in Attachment 3.</w:t>
      </w:r>
    </w:p>
    <w:p>
      <w:pPr>
        <w:pStyle w:val="TextBody"/>
        <w:bidi w:val="0"/>
        <w:spacing w:lineRule="auto" w:line="288" w:before="40" w:after="40"/>
        <w:jc w:val="both"/>
        <w:rPr>
          <w:rFonts w:ascii="Arial;sans-serif" w:hAnsi="Arial;sans-serif"/>
          <w:b w:val="false"/>
          <w:i/>
          <w:color w:val="000000"/>
          <w:sz w:val="20"/>
        </w:rPr>
      </w:pPr>
      <w:r>
        <w:rPr>
          <w:rFonts w:ascii="Arial;sans-serif" w:hAnsi="Arial;sans-serif"/>
          <w:b w:val="false"/>
          <w:i/>
          <w:color w:val="000000"/>
          <w:sz w:val="20"/>
        </w:rPr>
        <w:t>This news release also includes net debt ratio and net debt-to-CFFO ratio. Net debt ratio is defined as total debt less cash and cash equivalents, time deposits and marketable securities (net debt) as a percentage of net debt plus Chevron Corporation stockholders’ equity, which indicates the company’s leverage, net of its cash balances. The net debt-to-CFFO ratio is defined as net debt divided by CFFO for the prior four quarters, which measures the company’s ability to cover its net debt using the cash it generates from operations. The company believes these measures are useful to monitor the strength of the company’s balance sheet. A reconciliation of net debt ratio and net debt-to-CFFO ratio is shown in Attachment 2.</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w:t>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06705"/>
                <wp:effectExtent l="0" t="0" r="0" b="0"/>
                <wp:wrapNone/>
                <wp:docPr id="9" name="Frame8"/>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-MORE-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221.35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-MORE-</w:t>
                      </w:r>
                    </w:p>
                  </w:txbxContent>
                </v:textbox>
                <w10:wrap type="none"/>
              </v:rect>
            </w:pict>
          </mc:Fallback>
        </mc:AlternateContent>
      </w:r>
    </w:p>
    <w:p>
      <w:pPr>
        <w:pStyle w:val="TextBody"/>
        <w:bidi w:val="0"/>
        <w:spacing w:lineRule="auto" w:line="288" w:before="60" w:after="283"/>
        <w:jc w:val="center"/>
        <w:rPr>
          <w:rFonts w:ascii="Arial;sans-serif" w:hAnsi="Arial;sans-serif"/>
          <w:b/>
          <w:color w:val="000000"/>
          <w:sz w:val="22"/>
        </w:rPr>
      </w:pPr>
      <w:r>
        <w:rPr>
          <w:rFonts w:ascii="Arial;sans-serif" w:hAnsi="Arial;sans-serif"/>
          <w:b/>
          <w:color w:val="000000"/>
          <w:sz w:val="22"/>
        </w:rPr>
        <w:t xml:space="preserve">CAUTIONARY STATEMENTS RELEVANT TO FORWARD-LOOKING INFORMATION FOR THE PURPOSE OF “SAFE HARBOR” PROVISIONS OF THE </w:t>
        <w:br/>
        <w:t>PRIVATE SECURITIES LITIGATION REFORM ACT OF 1995</w:t>
      </w:r>
    </w:p>
    <w:p>
      <w:pPr>
        <w:pStyle w:val="TextBody"/>
        <w:bidi w:val="0"/>
        <w:spacing w:before="60" w:after="283"/>
        <w:jc w:val="center"/>
        <w:rPr/>
      </w:pPr>
      <w:r>
        <w:rPr/>
      </w:r>
    </w:p>
    <w:p>
      <w:pPr>
        <w:pStyle w:val="TextBody"/>
        <w:bidi w:val="0"/>
        <w:spacing w:lineRule="auto" w:line="300" w:before="0" w:after="120"/>
        <w:jc w:val="both"/>
        <w:rPr>
          <w:rFonts w:ascii="Arial;sans-serif" w:hAnsi="Arial;sans-serif"/>
          <w:b w:val="false"/>
          <w:i/>
          <w:color w:val="000000"/>
          <w:sz w:val="18"/>
        </w:rPr>
      </w:pPr>
      <w:r>
        <w:rPr>
          <w:rFonts w:ascii="Arial;sans-serif" w:hAnsi="Arial;sans-serif"/>
          <w:b w:val="false"/>
          <w:i/>
          <w:color w:val="000000"/>
          <w:sz w:val="18"/>
        </w:rPr>
        <w:t>This news release contains forward-looking statements relating to Chevron’s operations, assets, and strategy that are based on management’s current expectations, estimates and projections about the petroleum, chemicals and other energy-related industries. Words or phrases such as “anticipates,” “expects,” “intends,” “plans,” “targets,” “advances,” “commits,” “drives,” “aims,” “forecasts,” “projects,” “believes,” “approaches,” “seeks,” “schedules,” “estimates,” “positions,” “pursues,” “progress,” “design,” “enable,” “may,” “can,” “could,” “should,” “will,” “budgets,” “outlook,” “trends,” “guidance,” “focus,” “on track,” “trajectory,” “goals,” “objectives,” “strategies,” “opportunities,” “poised,” “potential,” “ambitions,” “future,” “aspires” and similar expressions, and variations or negatives of these words, are intended to identify such forward-looking statements, but not all forward-looking statements include such words. These statements are not guarantees of future performance and are subject to numerous risks, uncertainties and other factors, many of which are beyond the company’s control and are difficult to predict. Therefore, actual outcomes and results may differ materially from what is expressed or forecasted in such forward-looking statements. The reader should not place undue reliance on these forward-looking statements, which speak only as of the date of this news release. Unless legally required, Chevron undertakes no obligation to update publicly any forward-looking statements, whether as a result of new information, future events or otherwise.</w:t>
      </w:r>
    </w:p>
    <w:p>
      <w:pPr>
        <w:pStyle w:val="TextBody"/>
        <w:bidi w:val="0"/>
        <w:spacing w:lineRule="auto" w:line="300" w:before="0" w:after="100"/>
        <w:jc w:val="both"/>
        <w:rPr>
          <w:rFonts w:ascii="Arial;sans-serif" w:hAnsi="Arial;sans-serif"/>
          <w:b w:val="false"/>
          <w:i/>
          <w:color w:val="000000"/>
          <w:sz w:val="18"/>
        </w:rPr>
      </w:pPr>
      <w:r>
        <w:rPr>
          <w:rFonts w:ascii="Arial;sans-serif" w:hAnsi="Arial;sans-serif"/>
          <w:b w:val="false"/>
          <w:i/>
          <w:color w:val="000000"/>
          <w:sz w:val="18"/>
        </w:rPr>
        <w:t>Among the important factors that could cause actual results to differ materially from those in the forward-looking statements are: changing crude oil and natural gas prices and demand for the company’s products, and production curtailments due to market conditions; crude oil production quotas or other actions that might be imposed by the Organization of Petroleum Exporting Countries and other producing countries; technological advancements; changes to government policies in the countries in which the company operates; public health crises, such as pandemics and epidemics, and any related government policies and actions; disruptions in the company’s global supply chain, including supply chain constraints and escalation of the cost of goods and services; changing economic, regulatory and political environments in the various countries in which the company operates, including Venezuela; general domestic and international economic, market and political conditions, including the conflict between Russia and Ukraine, the ongoing conflict in the Middle East and the global response to these hostilities; changing refining, marketing and chemicals margins; the amount and timing of settlements on the company’s commodity derivative contracts; the company’s ability to realize anticipated cost savings and efficiencies associated with enterprise structural cost reduction initiatives; actions of competitors or regulators; timing of exploration expenses; changes in projected future cash flows; timing of crude oil liftings; uncertainties about the estimated quantities of crude oil, natural gas liquids and natural gas reserves; the competitiveness of alternate-energy sources or product substitutes; pace and scale of the development of large carbon capture and storage and offset markets; the results of operations and financial condition of the company’s suppliers, vendors, partners and equity affiliates; the inability or failure of the company’s joint-venture partners to fund their share of operations and development activities; the potential failure to achieve expected net production from existing and future crude oil and natural gas development projects; potential delays in the development, construction or start-up of planned projects; the potential disruption or interruption of the company’s operations due to war, accidents, political events, civil unrest, severe weather, cyber threats, terrorist acts, or other natural or human causes beyond the company’s control; the potential liability for remedial actions or assessments under existing or future environmental regulations and litigation; significant operational, investment or product changes undertaken or required by existing or future environmental statutes and regulations, including international agreements and national or regional legislation and regulatory measures related to greenhouse gas emissions and climate change; the potential liability resulting from pending or future litigation; the company’s ability to achieve the anticipated benefits from the acquisition of Hess Corporation; the company’s future acquisitions or dispositions of assets or shares or the delay or failure of such transactions to close based on required closing conditions; the potential for gains and losses from asset dispositions or impairments; government mandated sales, divestitures, recapitalizations, taxes and tax audits, tariffs, sanctions, changes in fiscal terms or restrictions on scope of company operations; foreign currency movements compared with the U.S. dollar; higher inflation and related impacts; material reductions in corporate liquidity and access to debt markets; changes to the company’s capital allocation strategies; the effects of changed accounting rules under generally accepted accounting principles promulgated by rule-setting bodies; the company’s ability to identify and mitigate the risks and hazards inherent in operating in the global energy industry; and the factors set forth under the heading “Risk Factors” on pages 21 through 27 of the company’s 2025 Annual Report on Form 10-K, and as updated in the future. Other unpredictable or unknown factors not discussed in this news release could also have material adverse effects on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w:t>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06705"/>
                <wp:effectExtent l="0" t="0" r="0" b="0"/>
                <wp:wrapNone/>
                <wp:docPr id="10" name="Frame9"/>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-MORE-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221.35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-MORE-</w:t>
                      </w:r>
                    </w:p>
                  </w:txbxContent>
                </v:textbox>
                <w10:wrap type="none"/>
              </v:rect>
            </w:pict>
          </mc:Fallback>
        </mc:AlternateContent>
      </w:r>
    </w:p>
    <w:tbl>
      <w:tblPr>
        <w:tblW w:w="7181" w:type="dxa"/>
        <w:jc w:val="center"/>
        <w:tblInd w:w="0" w:type="dxa"/>
        <w:tblLayout w:type="fixed"/>
        <w:tblCellMar>
          <w:top w:w="28" w:type="dxa"/>
          <w:left w:w="28" w:type="dxa"/>
          <w:bottom w:w="28" w:type="dxa"/>
          <w:right w:w="28" w:type="dxa"/>
        </w:tblCellMar>
      </w:tblPr>
      <w:tblGrid>
        <w:gridCol w:w="124"/>
        <w:gridCol w:w="109"/>
        <w:gridCol w:w="109"/>
        <w:gridCol w:w="618"/>
        <w:gridCol w:w="618"/>
        <w:gridCol w:w="618"/>
        <w:gridCol w:w="618"/>
        <w:gridCol w:w="618"/>
        <w:gridCol w:w="618"/>
        <w:gridCol w:w="618"/>
        <w:gridCol w:w="618"/>
        <w:gridCol w:w="621"/>
        <w:gridCol w:w="372"/>
        <w:gridCol w:w="372"/>
        <w:gridCol w:w="53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CHEVRON CORPORATION - FINANCIAL REVIEW</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Attachment 1</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(Millions of Dollars, Except Per-Share Amounts)</w:t>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tc>
        <w:tc>
          <w:tcPr>
            <w:tcW w:w="1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979"/>
        <w:gridCol w:w="556"/>
        <w:gridCol w:w="557"/>
        <w:gridCol w:w="263"/>
        <w:gridCol w:w="787"/>
        <w:gridCol w:w="116"/>
        <w:gridCol w:w="116"/>
        <w:gridCol w:w="116"/>
        <w:gridCol w:w="116"/>
        <w:gridCol w:w="263"/>
        <w:gridCol w:w="771"/>
        <w:gridCol w:w="116"/>
        <w:gridCol w:w="109"/>
        <w:gridCol w:w="109"/>
        <w:gridCol w:w="109"/>
        <w:gridCol w:w="211"/>
        <w:gridCol w:w="841"/>
        <w:gridCol w:w="109"/>
        <w:gridCol w:w="109"/>
        <w:gridCol w:w="109"/>
        <w:gridCol w:w="109"/>
        <w:gridCol w:w="220"/>
        <w:gridCol w:w="756"/>
        <w:gridCol w:w="2658"/>
      </w:tblGrid>
      <w:tr>
        <w:trPr/>
        <w:tc>
          <w:tcPr>
            <w:tcW w:w="979"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2658" w:type="dxa"/>
            <w:tcBorders/>
            <w:vAlign w:val="center"/>
          </w:tcPr>
          <w:p>
            <w:pPr>
              <w:pStyle w:val="TableContents"/>
              <w:bidi w:val="0"/>
              <w:spacing w:before="0" w:after="283"/>
              <w:jc w:val="left"/>
              <w:rPr>
                <w:sz w:val="4"/>
                <w:szCs w:val="4"/>
              </w:rPr>
            </w:pPr>
            <w:r>
              <w:rPr>
                <w:sz w:val="4"/>
                <w:szCs w:val="4"/>
              </w:rPr>
            </w:r>
          </w:p>
        </w:tc>
      </w:tr>
      <w:tr>
        <w:trPr/>
        <w:tc>
          <w:tcPr>
            <w:tcW w:w="4756"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CONSOLIDATED STATEMENT OF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20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 AND OTHER INCOME</w:t>
            </w:r>
          </w:p>
        </w:tc>
        <w:tc>
          <w:tcPr>
            <w:tcW w:w="11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2025</w:t>
            </w:r>
          </w:p>
        </w:tc>
      </w:tr>
      <w:tr>
        <w:trPr/>
        <w:tc>
          <w:tcPr>
            <w:tcW w:w="20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other operating revenues</w:t>
            </w:r>
          </w:p>
        </w:tc>
        <w:tc>
          <w:tcPr>
            <w:tcW w:w="26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67,199</w:t>
            </w:r>
            <w:r>
              <w:rPr>
                <w:color w:val="000000"/>
              </w:rPr>
              <w:t> </w:t>
            </w:r>
          </w:p>
        </w:tc>
        <w:tc>
          <w:tcPr>
            <w:tcW w:w="11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44,375 </w:t>
            </w:r>
          </w:p>
        </w:tc>
        <w:tc>
          <w:tcPr>
            <w:tcW w:w="11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114,755</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90,476 </w:t>
            </w:r>
          </w:p>
        </w:tc>
        <w:tc>
          <w:tcPr>
            <w:tcW w:w="265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equity affiliates</w:t>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2,125</w:t>
            </w: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2,870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1,356 </w:t>
            </w:r>
          </w:p>
        </w:tc>
        <w:tc>
          <w:tcPr>
            <w:tcW w:w="26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(loss)</w:t>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731</w:t>
            </w: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1,037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26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Revenues and Other Income</w:t>
            </w:r>
          </w:p>
        </w:tc>
        <w:tc>
          <w:tcPr>
            <w:tcW w:w="105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70,055</w:t>
            </w:r>
            <w:r>
              <w:rPr>
                <w:color w:val="000000"/>
              </w:rPr>
              <w:t> </w:t>
            </w:r>
          </w:p>
        </w:tc>
        <w:tc>
          <w:tcPr>
            <w:tcW w:w="11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44,822 </w:t>
            </w:r>
          </w:p>
        </w:tc>
        <w:tc>
          <w:tcPr>
            <w:tcW w:w="11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118,662</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92,432 </w:t>
            </w:r>
          </w:p>
        </w:tc>
        <w:tc>
          <w:tcPr>
            <w:tcW w:w="265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COSTS AND OTHER DEDUCTIONS</w:t>
            </w:r>
          </w:p>
        </w:tc>
        <w:tc>
          <w:tcPr>
            <w:tcW w:w="11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Purchased crude oil and products</w:t>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36,607</w:t>
            </w: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26,858 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64,872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55,468 </w:t>
            </w:r>
          </w:p>
        </w:tc>
        <w:tc>
          <w:tcPr>
            <w:tcW w:w="26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Operating expenses</w:t>
            </w:r>
            <w:r>
              <w:rPr>
                <w:color w:val="000000"/>
              </w:rPr>
              <w:t xml:space="preserve"> </w:t>
            </w:r>
            <w:r>
              <w:rPr>
                <w:rFonts w:ascii="Times New Roman;serif" w:hAnsi="Times New Roman;serif"/>
                <w:b w:val="false"/>
                <w:color w:val="000000"/>
                <w:sz w:val="10"/>
              </w:rPr>
              <w:t>(1)</w:t>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8,861</w:t>
            </w: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7,646 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17,585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15,286 </w:t>
            </w:r>
          </w:p>
        </w:tc>
        <w:tc>
          <w:tcPr>
            <w:tcW w:w="26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Exploration expenses</w:t>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256</w:t>
            </w: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439 </w:t>
            </w:r>
          </w:p>
        </w:tc>
        <w:tc>
          <w:tcPr>
            <w:tcW w:w="26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depletion and amortization</w:t>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6,082</w:t>
            </w: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4,344 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11,890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8,467 </w:t>
            </w:r>
          </w:p>
        </w:tc>
        <w:tc>
          <w:tcPr>
            <w:tcW w:w="26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other than on income</w:t>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1,213</w:t>
            </w: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1,301 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2,527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2,556 </w:t>
            </w:r>
          </w:p>
        </w:tc>
        <w:tc>
          <w:tcPr>
            <w:tcW w:w="26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debt expense</w:t>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352</w:t>
            </w: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697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486 </w:t>
            </w:r>
          </w:p>
        </w:tc>
        <w:tc>
          <w:tcPr>
            <w:tcW w:w="26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Costs and Other Deductions</w:t>
            </w:r>
          </w:p>
        </w:tc>
        <w:tc>
          <w:tcPr>
            <w:tcW w:w="105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53,371</w:t>
            </w:r>
            <w:r>
              <w:rPr>
                <w:color w:val="000000"/>
              </w:rPr>
              <w:t> </w:t>
            </w:r>
          </w:p>
        </w:tc>
        <w:tc>
          <w:tcPr>
            <w:tcW w:w="11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40,675 </w:t>
            </w:r>
          </w:p>
        </w:tc>
        <w:tc>
          <w:tcPr>
            <w:tcW w:w="11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98,032</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82,702 </w:t>
            </w:r>
          </w:p>
        </w:tc>
        <w:tc>
          <w:tcPr>
            <w:tcW w:w="265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(Loss) Before Income Tax Expense</w:t>
            </w:r>
          </w:p>
        </w:tc>
        <w:tc>
          <w:tcPr>
            <w:tcW w:w="105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16,684</w:t>
            </w:r>
            <w:r>
              <w:rPr>
                <w:color w:val="000000"/>
              </w:rPr>
              <w:t> </w:t>
            </w:r>
          </w:p>
        </w:tc>
        <w:tc>
          <w:tcPr>
            <w:tcW w:w="11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4,147 </w:t>
            </w:r>
          </w:p>
        </w:tc>
        <w:tc>
          <w:tcPr>
            <w:tcW w:w="11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20,630</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9,730 </w:t>
            </w:r>
          </w:p>
        </w:tc>
        <w:tc>
          <w:tcPr>
            <w:tcW w:w="265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4,470</w:t>
            </w: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1,632 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6,123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3,703 </w:t>
            </w:r>
          </w:p>
        </w:tc>
        <w:tc>
          <w:tcPr>
            <w:tcW w:w="26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105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12,214</w:t>
            </w:r>
            <w:r>
              <w:rPr>
                <w:color w:val="000000"/>
              </w:rPr>
              <w:t> </w:t>
            </w:r>
          </w:p>
        </w:tc>
        <w:tc>
          <w:tcPr>
            <w:tcW w:w="11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2,515 </w:t>
            </w:r>
          </w:p>
        </w:tc>
        <w:tc>
          <w:tcPr>
            <w:tcW w:w="11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14,507</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6,027 </w:t>
            </w:r>
          </w:p>
        </w:tc>
        <w:tc>
          <w:tcPr>
            <w:tcW w:w="265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(loss) attributable to noncontrolling interests</w:t>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142</w:t>
            </w: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26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NET INCOME (LOSS) ATTRIBUTABLE TO </w:t>
              <w:br/>
              <w:t>  CHEVRON CORPORATION</w:t>
            </w:r>
          </w:p>
        </w:tc>
        <w:tc>
          <w:tcPr>
            <w:tcW w:w="26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12,072</w:t>
            </w:r>
            <w:r>
              <w:rPr>
                <w:color w:val="000000"/>
              </w:rPr>
              <w:t> </w:t>
            </w:r>
          </w:p>
        </w:tc>
        <w:tc>
          <w:tcPr>
            <w:tcW w:w="11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2,490 </w:t>
            </w:r>
          </w:p>
        </w:tc>
        <w:tc>
          <w:tcPr>
            <w:tcW w:w="11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14,282</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5,990 </w:t>
            </w:r>
          </w:p>
        </w:tc>
        <w:tc>
          <w:tcPr>
            <w:tcW w:w="265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Includes operating expense, selling, general and administrative expense, and other components of net periodic benefit costs.</w:t>
            </w:r>
          </w:p>
        </w:tc>
      </w:tr>
      <w:tr>
        <w:trPr/>
        <w:tc>
          <w:tcPr>
            <w:tcW w:w="2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PER SHARE OF COMMON STOCK</w:t>
            </w:r>
          </w:p>
        </w:tc>
        <w:tc>
          <w:tcPr>
            <w:tcW w:w="11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 Attributable to Chevron Corporation</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4" w:type="dxa"/>
            <w:gridSpan w:val="3"/>
            <w:tcBorders/>
            <w:tcMar>
              <w:top w:w="0" w:type="dxa"/>
              <w:left w:w="0" w:type="dxa"/>
              <w:bottom w:w="0" w:type="dxa"/>
              <w:right w:w="0" w:type="dxa"/>
            </w:tcMar>
            <w:vAlign w:val="center"/>
          </w:tcPr>
          <w:p>
            <w:pPr>
              <w:pStyle w:val="TableContents"/>
              <w:bidi w:val="0"/>
              <w:spacing w:before="0" w:after="283"/>
              <w:ind w:left="0" w:right="0" w:firstLine="2520"/>
              <w:jc w:val="left"/>
              <w:rPr>
                <w:sz w:val="4"/>
                <w:szCs w:val="4"/>
              </w:rPr>
            </w:pPr>
            <w:r>
              <w:rPr>
                <w:sz w:val="4"/>
                <w:szCs w:val="4"/>
              </w:rPr>
            </w:r>
          </w:p>
        </w:tc>
      </w:tr>
      <w:tr>
        <w:trPr/>
        <w:tc>
          <w:tcPr>
            <w:tcW w:w="209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20"/>
              </w:rPr>
              <w:t>- Basic</w:t>
            </w:r>
          </w:p>
        </w:tc>
        <w:tc>
          <w:tcPr>
            <w:tcW w:w="26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7"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6.13</w:t>
            </w: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7.23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3.46 </w:t>
            </w:r>
          </w:p>
        </w:tc>
        <w:tc>
          <w:tcPr>
            <w:tcW w:w="2658" w:type="dxa"/>
            <w:tcBorders/>
            <w:tcMar>
              <w:top w:w="0" w:type="dxa"/>
              <w:left w:w="0" w:type="dxa"/>
              <w:bottom w:w="0" w:type="dxa"/>
              <w:right w:w="0" w:type="dxa"/>
            </w:tcMar>
            <w:vAlign w:val="center"/>
          </w:tcPr>
          <w:p>
            <w:pPr>
              <w:pStyle w:val="TableContents"/>
              <w:bidi w:val="0"/>
              <w:spacing w:before="0" w:after="283"/>
              <w:ind w:left="0" w:right="0" w:firstLine="2520"/>
              <w:jc w:val="left"/>
              <w:rPr>
                <w:sz w:val="4"/>
                <w:szCs w:val="4"/>
              </w:rPr>
            </w:pPr>
            <w:r>
              <w:rPr>
                <w:sz w:val="4"/>
                <w:szCs w:val="4"/>
              </w:rPr>
            </w:r>
          </w:p>
        </w:tc>
      </w:tr>
      <w:tr>
        <w:trPr/>
        <w:tc>
          <w:tcPr>
            <w:tcW w:w="209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20"/>
              </w:rPr>
              <w:t>- Diluted</w:t>
            </w:r>
          </w:p>
        </w:tc>
        <w:tc>
          <w:tcPr>
            <w:tcW w:w="26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7"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6.11</w:t>
            </w: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7.21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3.45 </w:t>
            </w:r>
          </w:p>
        </w:tc>
        <w:tc>
          <w:tcPr>
            <w:tcW w:w="26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6"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 Average Number of Shares Outstanding (000's)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4" w:type="dxa"/>
            <w:gridSpan w:val="3"/>
            <w:tcBorders/>
            <w:tcMar>
              <w:top w:w="0" w:type="dxa"/>
              <w:left w:w="0" w:type="dxa"/>
              <w:bottom w:w="0" w:type="dxa"/>
              <w:right w:w="0" w:type="dxa"/>
            </w:tcMar>
            <w:vAlign w:val="center"/>
          </w:tcPr>
          <w:p>
            <w:pPr>
              <w:pStyle w:val="TableContents"/>
              <w:bidi w:val="0"/>
              <w:spacing w:before="0" w:after="283"/>
              <w:ind w:left="0" w:right="0" w:firstLine="2520"/>
              <w:jc w:val="left"/>
              <w:rPr>
                <w:sz w:val="4"/>
                <w:szCs w:val="4"/>
              </w:rPr>
            </w:pPr>
            <w:r>
              <w:rPr>
                <w:sz w:val="4"/>
                <w:szCs w:val="4"/>
              </w:rPr>
            </w:r>
          </w:p>
        </w:tc>
      </w:tr>
      <w:tr>
        <w:trPr/>
        <w:tc>
          <w:tcPr>
            <w:tcW w:w="20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Basic</w:t>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1,969,868</w:t>
            </w: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1,719,184 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1,974,979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1,731,836 </w:t>
            </w:r>
          </w:p>
        </w:tc>
        <w:tc>
          <w:tcPr>
            <w:tcW w:w="2658" w:type="dxa"/>
            <w:tcBorders/>
            <w:tcMar>
              <w:top w:w="0" w:type="dxa"/>
              <w:left w:w="0" w:type="dxa"/>
              <w:bottom w:w="0" w:type="dxa"/>
              <w:right w:w="0" w:type="dxa"/>
            </w:tcMar>
            <w:vAlign w:val="center"/>
          </w:tcPr>
          <w:p>
            <w:pPr>
              <w:pStyle w:val="TableContents"/>
              <w:bidi w:val="0"/>
              <w:spacing w:before="0" w:after="283"/>
              <w:ind w:left="0" w:right="0" w:firstLine="2520"/>
              <w:jc w:val="left"/>
              <w:rPr>
                <w:sz w:val="4"/>
                <w:szCs w:val="4"/>
              </w:rPr>
            </w:pPr>
            <w:r>
              <w:rPr>
                <w:sz w:val="4"/>
                <w:szCs w:val="4"/>
              </w:rPr>
            </w:r>
          </w:p>
        </w:tc>
      </w:tr>
      <w:tr>
        <w:trPr/>
        <w:tc>
          <w:tcPr>
            <w:tcW w:w="20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Diluted</w:t>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1,975,087</w:t>
            </w: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1,724,397 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1,980,464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1,737,844 </w:t>
            </w:r>
          </w:p>
        </w:tc>
        <w:tc>
          <w:tcPr>
            <w:tcW w:w="26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Note: Shares outstanding (excluding 14 million associated with Chevron’s Benefit Plan Trust) were 1,962 million and 1,980 million at June 30, 2026, and December 31, 2025, respectively.</w:t>
            </w:r>
          </w:p>
        </w:tc>
      </w:tr>
      <w:tr>
        <w:trPr/>
        <w:tc>
          <w:tcPr>
            <w:tcW w:w="2092"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34" w:type="dxa"/>
            <w:gridSpan w:val="3"/>
            <w:tcBorders/>
          </w:tcPr>
          <w:p>
            <w:pPr>
              <w:pStyle w:val="TableContents"/>
              <w:bidi w:val="0"/>
              <w:spacing w:before="0" w:after="283"/>
              <w:jc w:val="left"/>
              <w:rPr>
                <w:sz w:val="4"/>
                <w:szCs w:val="4"/>
              </w:rPr>
            </w:pPr>
            <w:r>
              <w:rPr>
                <w:sz w:val="4"/>
                <w:szCs w:val="4"/>
              </w:rPr>
            </w:r>
          </w:p>
        </w:tc>
      </w:tr>
      <w:tr>
        <w:trPr/>
        <w:tc>
          <w:tcPr>
            <w:tcW w:w="2092"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5449" w:type="dxa"/>
            <w:gridSpan w:val="12"/>
            <w:tcBorders/>
          </w:tcPr>
          <w:p>
            <w:pPr>
              <w:pStyle w:val="TableContents"/>
              <w:bidi w:val="0"/>
              <w:spacing w:before="0" w:after="283"/>
              <w:jc w:val="left"/>
              <w:rPr>
                <w:sz w:val="4"/>
                <w:szCs w:val="4"/>
              </w:rPr>
            </w:pPr>
            <w:r>
              <w:rPr>
                <w:sz w:val="4"/>
                <w:szCs w:val="4"/>
              </w:rPr>
            </w:r>
          </w:p>
        </w:tc>
      </w:tr>
      <w:tr>
        <w:trPr/>
        <w:tc>
          <w:tcPr>
            <w:tcW w:w="2092"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34" w:type="dxa"/>
            <w:gridSpan w:val="3"/>
            <w:tcBorders/>
            <w:vAlign w:val="center"/>
          </w:tcPr>
          <w:p>
            <w:pPr>
              <w:pStyle w:val="TableContents"/>
              <w:bidi w:val="0"/>
              <w:spacing w:before="0" w:after="283"/>
              <w:jc w:val="left"/>
              <w:rPr>
                <w:sz w:val="4"/>
                <w:szCs w:val="4"/>
              </w:rPr>
            </w:pPr>
            <w:r>
              <w:rPr>
                <w:sz w:val="4"/>
                <w:szCs w:val="4"/>
              </w:rPr>
            </w:r>
          </w:p>
        </w:tc>
      </w:tr>
      <w:tr>
        <w:trPr/>
        <w:tc>
          <w:tcPr>
            <w:tcW w:w="2092"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34" w:type="dxa"/>
            <w:gridSpan w:val="3"/>
            <w:tcBorders/>
            <w:vAlign w:val="center"/>
          </w:tcPr>
          <w:p>
            <w:pPr>
              <w:pStyle w:val="TableContents"/>
              <w:bidi w:val="0"/>
              <w:spacing w:before="0" w:after="283"/>
              <w:jc w:val="left"/>
              <w:rPr>
                <w:sz w:val="4"/>
                <w:szCs w:val="4"/>
              </w:rPr>
            </w:pPr>
            <w:r>
              <w:rPr>
                <w:sz w:val="4"/>
                <w:szCs w:val="4"/>
              </w:rPr>
            </w:r>
          </w:p>
        </w:tc>
      </w:tr>
      <w:tr>
        <w:trPr/>
        <w:tc>
          <w:tcPr>
            <w:tcW w:w="2092"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34" w:type="dxa"/>
            <w:gridSpan w:val="3"/>
            <w:tcBorders/>
            <w:vAlign w:val="center"/>
          </w:tcPr>
          <w:p>
            <w:pPr>
              <w:pStyle w:val="TableContents"/>
              <w:bidi w:val="0"/>
              <w:spacing w:before="0" w:after="283"/>
              <w:jc w:val="left"/>
              <w:rPr>
                <w:sz w:val="4"/>
                <w:szCs w:val="4"/>
              </w:rPr>
            </w:pPr>
            <w:r>
              <w:rPr>
                <w:sz w:val="4"/>
                <w:szCs w:val="4"/>
              </w:rPr>
            </w:r>
          </w:p>
        </w:tc>
      </w:tr>
      <w:tr>
        <w:trPr/>
        <w:tc>
          <w:tcPr>
            <w:tcW w:w="2092"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34" w:type="dxa"/>
            <w:gridSpan w:val="3"/>
            <w:tcBorders/>
            <w:vAlign w:val="center"/>
          </w:tcPr>
          <w:p>
            <w:pPr>
              <w:pStyle w:val="TableContents"/>
              <w:bidi w:val="0"/>
              <w:spacing w:before="0" w:after="283"/>
              <w:jc w:val="left"/>
              <w:rPr>
                <w:sz w:val="4"/>
                <w:szCs w:val="4"/>
              </w:rPr>
            </w:pPr>
            <w:r>
              <w:rPr>
                <w:sz w:val="4"/>
                <w:szCs w:val="4"/>
              </w:rPr>
            </w:r>
          </w:p>
        </w:tc>
      </w:tr>
      <w:tr>
        <w:trPr/>
        <w:tc>
          <w:tcPr>
            <w:tcW w:w="2092"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34" w:type="dxa"/>
            <w:gridSpan w:val="3"/>
            <w:tcBorders/>
            <w:vAlign w:val="center"/>
          </w:tcPr>
          <w:p>
            <w:pPr>
              <w:pStyle w:val="TableContents"/>
              <w:bidi w:val="0"/>
              <w:spacing w:before="0" w:after="283"/>
              <w:jc w:val="left"/>
              <w:rPr>
                <w:sz w:val="4"/>
                <w:szCs w:val="4"/>
              </w:rPr>
            </w:pPr>
            <w:r>
              <w:rPr>
                <w:sz w:val="4"/>
                <w:szCs w:val="4"/>
              </w:rPr>
            </w:r>
          </w:p>
        </w:tc>
      </w:tr>
      <w:tr>
        <w:trPr/>
        <w:tc>
          <w:tcPr>
            <w:tcW w:w="2092"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34" w:type="dxa"/>
            <w:gridSpan w:val="3"/>
            <w:tcBorders/>
            <w:vAlign w:val="center"/>
          </w:tcPr>
          <w:p>
            <w:pPr>
              <w:pStyle w:val="TableContents"/>
              <w:bidi w:val="0"/>
              <w:spacing w:before="0" w:after="283"/>
              <w:jc w:val="left"/>
              <w:rPr>
                <w:sz w:val="4"/>
                <w:szCs w:val="4"/>
              </w:rPr>
            </w:pPr>
            <w:r>
              <w:rPr>
                <w:sz w:val="4"/>
                <w:szCs w:val="4"/>
              </w:rPr>
            </w:r>
          </w:p>
        </w:tc>
      </w:tr>
      <w:tr>
        <w:trPr/>
        <w:tc>
          <w:tcPr>
            <w:tcW w:w="2092"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34" w:type="dxa"/>
            <w:gridSpan w:val="3"/>
            <w:tcBorders/>
            <w:vAlign w:val="center"/>
          </w:tcPr>
          <w:p>
            <w:pPr>
              <w:pStyle w:val="TableContents"/>
              <w:bidi w:val="0"/>
              <w:spacing w:before="0" w:after="283"/>
              <w:jc w:val="left"/>
              <w:rPr>
                <w:sz w:val="4"/>
                <w:szCs w:val="4"/>
              </w:rPr>
            </w:pPr>
            <w:r>
              <w:rPr>
                <w:sz w:val="4"/>
                <w:szCs w:val="4"/>
              </w:rPr>
            </w:r>
          </w:p>
        </w:tc>
      </w:tr>
      <w:tr>
        <w:trPr/>
        <w:tc>
          <w:tcPr>
            <w:tcW w:w="2092"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34" w:type="dxa"/>
            <w:gridSpan w:val="3"/>
            <w:tcBorders/>
            <w:vAlign w:val="center"/>
          </w:tcPr>
          <w:p>
            <w:pPr>
              <w:pStyle w:val="TableContents"/>
              <w:bidi w:val="0"/>
              <w:spacing w:before="0" w:after="283"/>
              <w:jc w:val="left"/>
              <w:rPr>
                <w:sz w:val="4"/>
                <w:szCs w:val="4"/>
              </w:rPr>
            </w:pPr>
            <w:r>
              <w:rPr>
                <w:sz w:val="4"/>
                <w:szCs w:val="4"/>
              </w:rPr>
            </w:r>
          </w:p>
        </w:tc>
      </w:tr>
      <w:tr>
        <w:trPr/>
        <w:tc>
          <w:tcPr>
            <w:tcW w:w="2092"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34" w:type="dxa"/>
            <w:gridSpan w:val="3"/>
            <w:tcBorders/>
            <w:vAlign w:val="center"/>
          </w:tcPr>
          <w:p>
            <w:pPr>
              <w:pStyle w:val="TableContents"/>
              <w:bidi w:val="0"/>
              <w:spacing w:before="0" w:after="283"/>
              <w:jc w:val="left"/>
              <w:rPr>
                <w:sz w:val="4"/>
                <w:szCs w:val="4"/>
              </w:rPr>
            </w:pPr>
            <w:r>
              <w:rPr>
                <w:sz w:val="4"/>
                <w:szCs w:val="4"/>
              </w:rPr>
            </w:r>
          </w:p>
        </w:tc>
      </w:tr>
      <w:tr>
        <w:trPr/>
        <w:tc>
          <w:tcPr>
            <w:tcW w:w="2092"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34" w:type="dxa"/>
            <w:gridSpan w:val="3"/>
            <w:tcBorders/>
            <w:vAlign w:val="center"/>
          </w:tcPr>
          <w:p>
            <w:pPr>
              <w:pStyle w:val="TableContents"/>
              <w:bidi w:val="0"/>
              <w:spacing w:before="0" w:after="283"/>
              <w:jc w:val="left"/>
              <w:rPr>
                <w:sz w:val="4"/>
                <w:szCs w:val="4"/>
              </w:rPr>
            </w:pPr>
            <w:r>
              <w:rPr>
                <w:sz w:val="4"/>
                <w:szCs w:val="4"/>
              </w:rPr>
            </w:r>
          </w:p>
        </w:tc>
      </w:tr>
    </w:tbl>
    <w:tbl>
      <w:tblPr>
        <w:tblW w:w="9030" w:type="dxa"/>
        <w:jc w:val="left"/>
        <w:tblInd w:w="0" w:type="dxa"/>
        <w:tblLayout w:type="fixed"/>
        <w:tblCellMar>
          <w:top w:w="28" w:type="dxa"/>
          <w:left w:w="28" w:type="dxa"/>
          <w:bottom w:w="28" w:type="dxa"/>
          <w:right w:w="28" w:type="dxa"/>
        </w:tblCellMar>
      </w:tblPr>
      <w:tblGrid>
        <w:gridCol w:w="1457"/>
        <w:gridCol w:w="1280"/>
        <w:gridCol w:w="1283"/>
        <w:gridCol w:w="211"/>
        <w:gridCol w:w="736"/>
        <w:gridCol w:w="109"/>
        <w:gridCol w:w="109"/>
        <w:gridCol w:w="109"/>
        <w:gridCol w:w="109"/>
        <w:gridCol w:w="211"/>
        <w:gridCol w:w="616"/>
        <w:gridCol w:w="109"/>
        <w:gridCol w:w="109"/>
        <w:gridCol w:w="109"/>
        <w:gridCol w:w="109"/>
        <w:gridCol w:w="211"/>
        <w:gridCol w:w="736"/>
        <w:gridCol w:w="109"/>
        <w:gridCol w:w="109"/>
        <w:gridCol w:w="109"/>
        <w:gridCol w:w="109"/>
        <w:gridCol w:w="211"/>
        <w:gridCol w:w="616"/>
        <w:gridCol w:w="154"/>
      </w:tblGrid>
      <w:tr>
        <w:trPr/>
        <w:tc>
          <w:tcPr>
            <w:tcW w:w="1457"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EARNINGS BY MAJOR OPERATING AREA</w:t>
            </w:r>
          </w:p>
        </w:tc>
        <w:tc>
          <w:tcPr>
            <w:tcW w:w="23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2025</w:t>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Upstream</w:t>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3,541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5,653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4,641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6,438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Upstream</w:t>
            </w:r>
          </w:p>
        </w:tc>
        <w:tc>
          <w:tcPr>
            <w:tcW w:w="94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8,182</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12,091</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6,485 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Downstream</w:t>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2,411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2,607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2,457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1,444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Downstream</w:t>
            </w:r>
          </w:p>
        </w:tc>
        <w:tc>
          <w:tcPr>
            <w:tcW w:w="94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4,868</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4,051</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w:t>
            </w:r>
          </w:p>
        </w:tc>
        <w:tc>
          <w:tcPr>
            <w:tcW w:w="94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(978)</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(1,860)</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(1,557)</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NET INCOME (LOSS) ATTRIBUTABLE TO </w:t>
              <w:br/>
              <w:t>  CHEVRON CORPORATION</w:t>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12,072</w:t>
            </w:r>
            <w:r>
              <w:rPr>
                <w:color w:val="000000"/>
              </w:rPr>
              <w:t>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2,490 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14,282</w:t>
            </w:r>
            <w:r>
              <w:rPr>
                <w:color w:val="000000"/>
              </w:rPr>
              <w:t>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5,990 </w:t>
            </w:r>
          </w:p>
        </w:tc>
        <w:tc>
          <w:tcPr>
            <w:tcW w:w="15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w:t>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06705"/>
                <wp:effectExtent l="0" t="0" r="0" b="0"/>
                <wp:wrapNone/>
                <wp:docPr id="11" name="Frame10"/>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-MORE-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221.35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-MORE-</w:t>
                      </w:r>
                    </w:p>
                  </w:txbxContent>
                </v:textbox>
                <w10:wrap type="none"/>
              </v:rect>
            </w:pict>
          </mc:Fallback>
        </mc:AlternateContent>
      </w:r>
    </w:p>
    <w:tbl>
      <w:tblPr>
        <w:tblW w:w="7181" w:type="dxa"/>
        <w:jc w:val="center"/>
        <w:tblInd w:w="0" w:type="dxa"/>
        <w:tblLayout w:type="fixed"/>
        <w:tblCellMar>
          <w:top w:w="28" w:type="dxa"/>
          <w:left w:w="28" w:type="dxa"/>
          <w:bottom w:w="28" w:type="dxa"/>
          <w:right w:w="28" w:type="dxa"/>
        </w:tblCellMar>
      </w:tblPr>
      <w:tblGrid>
        <w:gridCol w:w="124"/>
        <w:gridCol w:w="109"/>
        <w:gridCol w:w="109"/>
        <w:gridCol w:w="618"/>
        <w:gridCol w:w="618"/>
        <w:gridCol w:w="618"/>
        <w:gridCol w:w="618"/>
        <w:gridCol w:w="618"/>
        <w:gridCol w:w="618"/>
        <w:gridCol w:w="618"/>
        <w:gridCol w:w="618"/>
        <w:gridCol w:w="621"/>
        <w:gridCol w:w="372"/>
        <w:gridCol w:w="372"/>
        <w:gridCol w:w="53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CHEVRON CORPORATION - FINANCIAL REVIEW</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Attachment 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(Millions of Dollars)</w:t>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(unaudited)</w:t>
            </w:r>
          </w:p>
        </w:tc>
        <w:tc>
          <w:tcPr>
            <w:tcW w:w="1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436"/>
        <w:gridCol w:w="1182"/>
        <w:gridCol w:w="1139"/>
        <w:gridCol w:w="366"/>
        <w:gridCol w:w="366"/>
        <w:gridCol w:w="366"/>
        <w:gridCol w:w="366"/>
        <w:gridCol w:w="366"/>
        <w:gridCol w:w="366"/>
        <w:gridCol w:w="366"/>
        <w:gridCol w:w="366"/>
        <w:gridCol w:w="366"/>
        <w:gridCol w:w="109"/>
        <w:gridCol w:w="109"/>
        <w:gridCol w:w="109"/>
        <w:gridCol w:w="196"/>
        <w:gridCol w:w="751"/>
        <w:gridCol w:w="286"/>
        <w:gridCol w:w="109"/>
        <w:gridCol w:w="109"/>
        <w:gridCol w:w="109"/>
        <w:gridCol w:w="200"/>
        <w:gridCol w:w="755"/>
        <w:gridCol w:w="312"/>
      </w:tblGrid>
      <w:tr>
        <w:trPr/>
        <w:tc>
          <w:tcPr>
            <w:tcW w:w="1436"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r>
      <w:tr>
        <w:trPr/>
        <w:tc>
          <w:tcPr>
            <w:tcW w:w="7051"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SELECTED BALANCE SHEET ACCOUNT DATA (Preliminary)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lineRule="auto" w:line="240" w:before="0" w:after="283"/>
              <w:ind w:left="0" w:right="0" w:firstLine="90"/>
              <w:jc w:val="center"/>
              <w:rPr>
                <w:rFonts w:ascii="Times New Roman;serif" w:hAnsi="Times New Roman;serif"/>
                <w:b/>
                <w:color w:val="000000"/>
                <w:sz w:val="18"/>
              </w:rPr>
            </w:pPr>
            <w:r>
              <w:rPr>
                <w:rFonts w:ascii="Times New Roman;serif" w:hAnsi="Times New Roman;serif"/>
                <w:b/>
                <w:color w:val="000000"/>
                <w:sz w:val="18"/>
              </w:rPr>
              <w:t>December 31,</w:t>
              <w:br/>
              <w:t>2025</w:t>
            </w:r>
          </w:p>
        </w:tc>
      </w:tr>
      <w:tr>
        <w:trPr/>
        <w:tc>
          <w:tcPr>
            <w:tcW w:w="37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8,527</w:t>
            </w:r>
            <w:r>
              <w:rPr>
                <w:color w:val="000000"/>
              </w:rPr>
              <w:t>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6,293 </w:t>
            </w:r>
          </w:p>
        </w:tc>
        <w:tc>
          <w:tcPr>
            <w:tcW w:w="312" w:type="dxa"/>
            <w:tcBorders>
              <w:top w:val="single" w:sz="8" w:space="0" w:color="000000"/>
            </w:tcBorders>
            <w:tcMar>
              <w:top w:w="52"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37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Time deposits</w:t>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w:t>
            </w: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3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ind w:left="0" w:right="0" w:firstLine="90"/>
              <w:jc w:val="left"/>
              <w:rPr>
                <w:sz w:val="4"/>
                <w:szCs w:val="4"/>
              </w:rPr>
            </w:pPr>
            <w:r>
              <w:rPr>
                <w:sz w:val="4"/>
                <w:szCs w:val="4"/>
              </w:rPr>
            </w:r>
          </w:p>
        </w:tc>
      </w:tr>
      <w:tr>
        <w:trPr/>
        <w:tc>
          <w:tcPr>
            <w:tcW w:w="37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330,135</w:t>
            </w: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324,012 </w:t>
            </w:r>
          </w:p>
        </w:tc>
        <w:tc>
          <w:tcPr>
            <w:tcW w:w="312" w:type="dxa"/>
            <w:tcBorders/>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37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debt </w:t>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37,075</w:t>
            </w: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40,758 </w:t>
            </w:r>
          </w:p>
        </w:tc>
        <w:tc>
          <w:tcPr>
            <w:tcW w:w="312" w:type="dxa"/>
            <w:tcBorders/>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37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Chevron Corporation stockholders’ equity</w:t>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189,883</w:t>
            </w: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186,450 </w:t>
            </w:r>
          </w:p>
        </w:tc>
        <w:tc>
          <w:tcPr>
            <w:tcW w:w="312" w:type="dxa"/>
            <w:tcBorders/>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37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interests</w:t>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5,675</w:t>
            </w: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5,726 </w:t>
            </w:r>
          </w:p>
        </w:tc>
        <w:tc>
          <w:tcPr>
            <w:tcW w:w="3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1"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SELECTED FINANCIAL RATIOS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1"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debt plus total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226,958</w:t>
            </w: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227,208 </w:t>
            </w:r>
          </w:p>
        </w:tc>
        <w:tc>
          <w:tcPr>
            <w:tcW w:w="3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Debt ratio</w:t>
            </w:r>
            <w:r>
              <w:rPr>
                <w:color w:val="000000"/>
              </w:rPr>
              <w:t xml:space="preserve"> </w:t>
            </w:r>
            <w:r>
              <w:rPr>
                <w:rFonts w:ascii="Times New Roman;serif" w:hAnsi="Times New Roman;serif"/>
                <w:b w:val="false"/>
                <w:color w:val="000000"/>
                <w:sz w:val="18"/>
              </w:rPr>
              <w:t>(Total debt / Total debt plus stockholders’ equity)</w:t>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16.3</w:t>
            </w:r>
            <w:r>
              <w:rPr>
                <w:color w:val="000000"/>
              </w:rPr>
              <w:t>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17.9 </w:t>
            </w:r>
          </w:p>
        </w:tc>
        <w:tc>
          <w:tcPr>
            <w:tcW w:w="31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1"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debt (Total debt less cash and cash equivalents, time deposits and marketable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28,545</w:t>
            </w: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34,461 </w:t>
            </w:r>
          </w:p>
        </w:tc>
        <w:tc>
          <w:tcPr>
            <w:tcW w:w="3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1"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debt plus total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218,428</w:t>
            </w: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220,911 </w:t>
            </w:r>
          </w:p>
        </w:tc>
        <w:tc>
          <w:tcPr>
            <w:tcW w:w="3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1" w:type="dxa"/>
            <w:gridSpan w:val="12"/>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Net debt ratio</w:t>
            </w:r>
            <w:r>
              <w:rPr>
                <w:color w:val="000000"/>
              </w:rPr>
              <w:t xml:space="preserve"> </w:t>
            </w:r>
            <w:r>
              <w:rPr>
                <w:rFonts w:ascii="Times New Roman;serif" w:hAnsi="Times New Roman;serif"/>
                <w:b w:val="false"/>
                <w:color w:val="000000"/>
                <w:sz w:val="18"/>
              </w:rPr>
              <w:t>(Net debt / Net debt plus total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13.1</w:t>
            </w:r>
            <w:r>
              <w:rPr>
                <w:color w:val="000000"/>
              </w:rPr>
              <w:t>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15.6 </w:t>
            </w:r>
          </w:p>
        </w:tc>
        <w:tc>
          <w:tcPr>
            <w:tcW w:w="31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Cash flow from operations (CFFO) </w:t>
            </w:r>
            <w:r>
              <w:rPr>
                <w:rFonts w:ascii="Times New Roman;serif" w:hAnsi="Times New Roman;serif"/>
                <w:b w:val="false"/>
                <w:color w:val="000000"/>
                <w:sz w:val="12"/>
              </w:rPr>
              <w:t>(1)</w:t>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45,321</w:t>
            </w: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33,939 </w:t>
            </w:r>
          </w:p>
        </w:tc>
        <w:tc>
          <w:tcPr>
            <w:tcW w:w="3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Debt-to-CFFO ratio </w:t>
            </w:r>
            <w:r>
              <w:rPr>
                <w:rFonts w:ascii="Times New Roman;serif" w:hAnsi="Times New Roman;serif"/>
                <w:b w:val="false"/>
                <w:color w:val="000000"/>
                <w:sz w:val="12"/>
              </w:rPr>
              <w:t>(1)</w:t>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0.8x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1.2x</w:t>
            </w:r>
          </w:p>
        </w:tc>
      </w:tr>
      <w:tr>
        <w:trPr/>
        <w:tc>
          <w:tcPr>
            <w:tcW w:w="375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Net debt-to-CFFO ratio </w:t>
            </w:r>
            <w:r>
              <w:rPr>
                <w:rFonts w:ascii="Times New Roman;serif" w:hAnsi="Times New Roman;serif"/>
                <w:b w:val="false"/>
                <w:color w:val="000000"/>
                <w:sz w:val="12"/>
              </w:rPr>
              <w:t>(1)</w:t>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0.6x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1.0x</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CFFO is presented on a trailing 12 months basis.</w:t>
            </w:r>
          </w:p>
        </w:tc>
      </w:tr>
    </w:tbl>
    <w:tbl>
      <w:tblPr>
        <w:tblW w:w="10205" w:type="dxa"/>
        <w:jc w:val="center"/>
        <w:tblInd w:w="0" w:type="dxa"/>
        <w:tblLayout w:type="fixed"/>
        <w:tblCellMar>
          <w:top w:w="28" w:type="dxa"/>
          <w:left w:w="28" w:type="dxa"/>
          <w:bottom w:w="28" w:type="dxa"/>
          <w:right w:w="28" w:type="dxa"/>
        </w:tblCellMar>
      </w:tblPr>
      <w:tblGrid>
        <w:gridCol w:w="1444"/>
        <w:gridCol w:w="1246"/>
        <w:gridCol w:w="1249"/>
        <w:gridCol w:w="372"/>
        <w:gridCol w:w="313"/>
        <w:gridCol w:w="622"/>
        <w:gridCol w:w="174"/>
        <w:gridCol w:w="174"/>
        <w:gridCol w:w="174"/>
        <w:gridCol w:w="331"/>
        <w:gridCol w:w="216"/>
        <w:gridCol w:w="512"/>
        <w:gridCol w:w="155"/>
        <w:gridCol w:w="155"/>
        <w:gridCol w:w="155"/>
        <w:gridCol w:w="372"/>
        <w:gridCol w:w="313"/>
        <w:gridCol w:w="622"/>
        <w:gridCol w:w="158"/>
        <w:gridCol w:w="158"/>
        <w:gridCol w:w="158"/>
        <w:gridCol w:w="305"/>
        <w:gridCol w:w="231"/>
        <w:gridCol w:w="596"/>
      </w:tblGrid>
      <w:tr>
        <w:trPr/>
        <w:tc>
          <w:tcPr>
            <w:tcW w:w="1444"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r>
      <w:tr>
        <w:trPr/>
        <w:tc>
          <w:tcPr>
            <w:tcW w:w="3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RETURN ON CAPITAL EMPLOYED (ROCE)</w:t>
            </w:r>
          </w:p>
        </w:tc>
        <w:tc>
          <w:tcPr>
            <w:tcW w:w="28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Three Months Ended </w:t>
              <w:br/>
              <w:t>June 30,</w:t>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r>
      <w:tr>
        <w:trPr/>
        <w:tc>
          <w:tcPr>
            <w:tcW w:w="3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2026</w:t>
            </w:r>
          </w:p>
        </w:tc>
        <w:tc>
          <w:tcPr>
            <w:tcW w:w="5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2025</w:t>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2026</w:t>
            </w:r>
          </w:p>
        </w:tc>
        <w:tc>
          <w:tcPr>
            <w:tcW w:w="4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2025</w:t>
            </w:r>
          </w:p>
        </w:tc>
      </w:tr>
      <w:tr>
        <w:trPr/>
        <w:tc>
          <w:tcPr>
            <w:tcW w:w="3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reported earnings</w:t>
            </w:r>
          </w:p>
        </w:tc>
        <w:tc>
          <w:tcPr>
            <w:tcW w:w="37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3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12,072</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2,490</w:t>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3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14,282</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5,990</w:t>
            </w:r>
          </w:p>
        </w:tc>
      </w:tr>
      <w:tr>
        <w:trPr/>
        <w:tc>
          <w:tcPr>
            <w:tcW w:w="3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w:t>
            </w:r>
          </w:p>
        </w:tc>
        <w:tc>
          <w:tcPr>
            <w:tcW w:w="130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142</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225</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w:t>
            </w:r>
          </w:p>
        </w:tc>
      </w:tr>
      <w:tr>
        <w:trPr/>
        <w:tc>
          <w:tcPr>
            <w:tcW w:w="3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(A/T)</w:t>
            </w:r>
          </w:p>
        </w:tc>
        <w:tc>
          <w:tcPr>
            <w:tcW w:w="130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318</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w:t>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628</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w:t>
            </w:r>
          </w:p>
        </w:tc>
      </w:tr>
      <w:tr>
        <w:trPr/>
        <w:tc>
          <w:tcPr>
            <w:tcW w:w="3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ROCE earnings</w:t>
            </w:r>
          </w:p>
        </w:tc>
        <w:tc>
          <w:tcPr>
            <w:tcW w:w="13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12,532</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2,765</w:t>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15,135</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6,469</w:t>
            </w:r>
          </w:p>
        </w:tc>
      </w:tr>
      <w:tr>
        <w:trPr/>
        <w:tc>
          <w:tcPr>
            <w:tcW w:w="3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Annualized ROCE earnings</w:t>
            </w:r>
          </w:p>
        </w:tc>
        <w:tc>
          <w:tcPr>
            <w:tcW w:w="130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50,128</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11,060</w:t>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30,270</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12,938</w:t>
            </w:r>
          </w:p>
        </w:tc>
      </w:tr>
      <w:tr>
        <w:trPr/>
        <w:tc>
          <w:tcPr>
            <w:tcW w:w="393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Average capital employed </w:t>
            </w:r>
            <w:r>
              <w:rPr>
                <w:rFonts w:ascii="Times New Roman;serif" w:hAnsi="Times New Roman;serif"/>
                <w:b w:val="false"/>
                <w:color w:val="000000"/>
                <w:sz w:val="12"/>
              </w:rPr>
              <w:t>(1)</w:t>
            </w:r>
          </w:p>
        </w:tc>
        <w:tc>
          <w:tcPr>
            <w:tcW w:w="130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233,716</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178,243</w:t>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232,784</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177,212</w:t>
            </w:r>
          </w:p>
        </w:tc>
      </w:tr>
      <w:tr>
        <w:trPr/>
        <w:tc>
          <w:tcPr>
            <w:tcW w:w="3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ROCE</w:t>
            </w:r>
          </w:p>
        </w:tc>
        <w:tc>
          <w:tcPr>
            <w:tcW w:w="685"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21.4</w:t>
            </w:r>
            <w:r>
              <w:rPr>
                <w:color w:val="000000"/>
              </w:rPr>
              <w:t> </w:t>
            </w:r>
          </w:p>
        </w:tc>
        <w:tc>
          <w:tcPr>
            <w:tcW w:w="62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51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13.0</w:t>
            </w:r>
            <w:r>
              <w:rPr>
                <w:color w:val="000000"/>
              </w:rPr>
              <w:t> </w:t>
            </w:r>
          </w:p>
        </w:tc>
        <w:tc>
          <w:tcPr>
            <w:tcW w:w="62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5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Capital employed is the sum of Chevron Corporation stockholders’ equity, total debt and noncontrolling interest. Average capital employed is computed by averaging the sum of capital employed at the beginning and the end of the period.</w:t>
            </w:r>
          </w:p>
        </w:tc>
      </w:tr>
    </w:tbl>
    <w:tbl>
      <w:tblPr>
        <w:tblW w:w="7905" w:type="dxa"/>
        <w:jc w:val="center"/>
        <w:tblInd w:w="0" w:type="dxa"/>
        <w:tblLayout w:type="fixed"/>
        <w:tblCellMar>
          <w:top w:w="28" w:type="dxa"/>
          <w:left w:w="28" w:type="dxa"/>
          <w:bottom w:w="28" w:type="dxa"/>
          <w:right w:w="28" w:type="dxa"/>
        </w:tblCellMar>
      </w:tblPr>
      <w:tblGrid>
        <w:gridCol w:w="1234"/>
        <w:gridCol w:w="1084"/>
        <w:gridCol w:w="1087"/>
        <w:gridCol w:w="196"/>
        <w:gridCol w:w="571"/>
        <w:gridCol w:w="109"/>
        <w:gridCol w:w="109"/>
        <w:gridCol w:w="109"/>
        <w:gridCol w:w="109"/>
        <w:gridCol w:w="196"/>
        <w:gridCol w:w="556"/>
        <w:gridCol w:w="109"/>
        <w:gridCol w:w="109"/>
        <w:gridCol w:w="109"/>
        <w:gridCol w:w="109"/>
        <w:gridCol w:w="196"/>
        <w:gridCol w:w="571"/>
        <w:gridCol w:w="109"/>
        <w:gridCol w:w="109"/>
        <w:gridCol w:w="109"/>
        <w:gridCol w:w="109"/>
        <w:gridCol w:w="196"/>
        <w:gridCol w:w="556"/>
        <w:gridCol w:w="154"/>
      </w:tblGrid>
      <w:tr>
        <w:trPr/>
        <w:tc>
          <w:tcPr>
            <w:tcW w:w="1234"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r>
      <w:tr>
        <w:trPr/>
        <w:tc>
          <w:tcPr>
            <w:tcW w:w="3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CAPEX BY SEGMENT</w:t>
            </w:r>
          </w:p>
        </w:tc>
        <w:tc>
          <w:tcPr>
            <w:tcW w:w="8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2025</w:t>
            </w:r>
          </w:p>
        </w:tc>
      </w:tr>
      <w:tr>
        <w:trPr/>
        <w:tc>
          <w:tcPr>
            <w:tcW w:w="3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United States</w:t>
            </w:r>
          </w:p>
        </w:tc>
        <w:tc>
          <w:tcPr>
            <w:tcW w:w="8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Upstream</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2,189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4,379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4,826 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Downstream</w:t>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240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United States</w:t>
            </w:r>
          </w:p>
        </w:tc>
        <w:tc>
          <w:tcPr>
            <w:tcW w:w="76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2,434</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2,546 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4,768</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5,309 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International</w:t>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Upstream</w:t>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2,037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3,712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Downstream</w:t>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International</w:t>
            </w:r>
          </w:p>
        </w:tc>
        <w:tc>
          <w:tcPr>
            <w:tcW w:w="76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2,104</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1,166 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3,833</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2,330 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CAPEX</w:t>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4,538</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3,712 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8,601</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7,639 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AFFILIATE CAPEX (not included above)</w:t>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Upstream</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226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Downstream</w:t>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332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AFFILIATE CAPEX</w:t>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272</w:t>
            </w:r>
            <w:r>
              <w:rPr>
                <w:color w:val="000000"/>
              </w:rPr>
              <w:t>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558</w:t>
            </w:r>
            <w:r>
              <w:rPr>
                <w:color w:val="000000"/>
              </w:rPr>
              <w:t>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930 </w:t>
            </w:r>
          </w:p>
        </w:tc>
        <w:tc>
          <w:tcPr>
            <w:tcW w:w="15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-9-</w:t>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06705"/>
                <wp:effectExtent l="0" t="0" r="0" b="0"/>
                <wp:wrapNone/>
                <wp:docPr id="12" name="Frame11"/>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-MORE-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221.35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-MORE-</w:t>
                      </w:r>
                    </w:p>
                  </w:txbxContent>
                </v:textbox>
                <w10:wrap type="none"/>
              </v:rect>
            </w:pict>
          </mc:Fallback>
        </mc:AlternateContent>
      </w:r>
    </w:p>
    <w:tbl>
      <w:tblPr>
        <w:tblW w:w="7181" w:type="dxa"/>
        <w:jc w:val="center"/>
        <w:tblInd w:w="0" w:type="dxa"/>
        <w:tblLayout w:type="fixed"/>
        <w:tblCellMar>
          <w:top w:w="28" w:type="dxa"/>
          <w:left w:w="28" w:type="dxa"/>
          <w:bottom w:w="28" w:type="dxa"/>
          <w:right w:w="28" w:type="dxa"/>
        </w:tblCellMar>
      </w:tblPr>
      <w:tblGrid>
        <w:gridCol w:w="124"/>
        <w:gridCol w:w="109"/>
        <w:gridCol w:w="109"/>
        <w:gridCol w:w="618"/>
        <w:gridCol w:w="618"/>
        <w:gridCol w:w="618"/>
        <w:gridCol w:w="618"/>
        <w:gridCol w:w="618"/>
        <w:gridCol w:w="618"/>
        <w:gridCol w:w="618"/>
        <w:gridCol w:w="618"/>
        <w:gridCol w:w="621"/>
        <w:gridCol w:w="372"/>
        <w:gridCol w:w="372"/>
        <w:gridCol w:w="53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CHEVRON CORPORATION - FINANCIAL REVIEW</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Attachment 3</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(Millions of Dollars)</w:t>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tc>
        <w:tc>
          <w:tcPr>
            <w:tcW w:w="1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874"/>
        <w:gridCol w:w="1438"/>
        <w:gridCol w:w="1443"/>
        <w:gridCol w:w="211"/>
        <w:gridCol w:w="759"/>
        <w:gridCol w:w="109"/>
        <w:gridCol w:w="109"/>
        <w:gridCol w:w="109"/>
        <w:gridCol w:w="109"/>
        <w:gridCol w:w="211"/>
        <w:gridCol w:w="654"/>
        <w:gridCol w:w="109"/>
        <w:gridCol w:w="109"/>
        <w:gridCol w:w="109"/>
        <w:gridCol w:w="109"/>
        <w:gridCol w:w="211"/>
        <w:gridCol w:w="759"/>
        <w:gridCol w:w="109"/>
        <w:gridCol w:w="109"/>
        <w:gridCol w:w="109"/>
        <w:gridCol w:w="109"/>
        <w:gridCol w:w="211"/>
        <w:gridCol w:w="721"/>
        <w:gridCol w:w="405"/>
      </w:tblGrid>
      <w:tr>
        <w:trPr/>
        <w:tc>
          <w:tcPr>
            <w:tcW w:w="1874"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SUMMARIZED STATEMENT OF CASH FLOWS (Preliminary)</w:t>
            </w:r>
          </w:p>
        </w:tc>
        <w:tc>
          <w:tcPr>
            <w:tcW w:w="2380"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3"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4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0"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3"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ACTIVITIES</w:t>
            </w:r>
          </w:p>
        </w:tc>
        <w:tc>
          <w:tcPr>
            <w:tcW w:w="10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2025</w:t>
            </w:r>
          </w:p>
        </w:tc>
      </w:tr>
      <w:tr>
        <w:trPr/>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12,214</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2,515 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14,507</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6,027 </w:t>
            </w:r>
          </w:p>
        </w:tc>
        <w:tc>
          <w:tcPr>
            <w:tcW w:w="40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1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depletion and amortization</w:t>
            </w:r>
          </w:p>
        </w:tc>
        <w:tc>
          <w:tcPr>
            <w:tcW w:w="97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6,082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11,890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8,467 </w:t>
            </w:r>
          </w:p>
        </w:tc>
        <w:tc>
          <w:tcPr>
            <w:tcW w:w="4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more (less) than income from equity affiliates</w:t>
            </w:r>
          </w:p>
        </w:tc>
        <w:tc>
          <w:tcPr>
            <w:tcW w:w="97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874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1,176 </w:t>
            </w:r>
          </w:p>
        </w:tc>
        <w:tc>
          <w:tcPr>
            <w:tcW w:w="4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(gain) on asset retirements and sales</w:t>
            </w:r>
          </w:p>
        </w:tc>
        <w:tc>
          <w:tcPr>
            <w:tcW w:w="9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(225)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(232)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w:t>
            </w:r>
          </w:p>
        </w:tc>
        <w:tc>
          <w:tcPr>
            <w:tcW w:w="4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foreign currency effects</w:t>
            </w:r>
          </w:p>
        </w:tc>
        <w:tc>
          <w:tcPr>
            <w:tcW w:w="97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470 </w:t>
            </w:r>
          </w:p>
        </w:tc>
        <w:tc>
          <w:tcPr>
            <w:tcW w:w="4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provision</w:t>
            </w:r>
          </w:p>
        </w:tc>
        <w:tc>
          <w:tcPr>
            <w:tcW w:w="97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509 </w:t>
            </w:r>
          </w:p>
        </w:tc>
        <w:tc>
          <w:tcPr>
            <w:tcW w:w="4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(increase) in operating working capital</w:t>
            </w:r>
          </w:p>
        </w:tc>
        <w:tc>
          <w:tcPr>
            <w:tcW w:w="97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2,945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(1,680)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(2,130)</w:t>
            </w:r>
          </w:p>
        </w:tc>
        <w:tc>
          <w:tcPr>
            <w:tcW w:w="4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activity</w:t>
            </w:r>
          </w:p>
        </w:tc>
        <w:tc>
          <w:tcPr>
            <w:tcW w:w="97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w:t>
            </w:r>
          </w:p>
        </w:tc>
        <w:tc>
          <w:tcPr>
            <w:tcW w:w="4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Provided by Operating Activities (CFFO)</w:t>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22,633</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8,576 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25,147</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13,765 </w:t>
            </w:r>
          </w:p>
        </w:tc>
        <w:tc>
          <w:tcPr>
            <w:tcW w:w="40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INVESTING ACTIVITIES</w:t>
            </w:r>
          </w:p>
        </w:tc>
        <w:tc>
          <w:tcPr>
            <w:tcW w:w="1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r>
      <w:tr>
        <w:trPr/>
        <w:tc>
          <w:tcPr>
            <w:tcW w:w="4755"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r>
      <w:tr>
        <w:trPr/>
        <w:tc>
          <w:tcPr>
            <w:tcW w:w="4755"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ind w:left="0" w:right="0" w:firstLine="90"/>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of Hess Corporation common stock</w:t>
            </w:r>
          </w:p>
        </w:tc>
        <w:tc>
          <w:tcPr>
            <w:tcW w:w="97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(2,225)</w:t>
            </w:r>
          </w:p>
        </w:tc>
        <w:tc>
          <w:tcPr>
            <w:tcW w:w="405" w:type="dxa"/>
            <w:tcBorders/>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 (Capex)</w:t>
            </w:r>
          </w:p>
        </w:tc>
        <w:tc>
          <w:tcPr>
            <w:tcW w:w="9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(4,538)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(8,601)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(7,639)</w:t>
            </w:r>
          </w:p>
        </w:tc>
        <w:tc>
          <w:tcPr>
            <w:tcW w:w="405" w:type="dxa"/>
            <w:tcBorders/>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and deposits related to asset sales and returns of investment</w:t>
            </w:r>
          </w:p>
        </w:tc>
        <w:tc>
          <w:tcPr>
            <w:tcW w:w="97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990 </w:t>
            </w:r>
          </w:p>
        </w:tc>
        <w:tc>
          <w:tcPr>
            <w:tcW w:w="405" w:type="dxa"/>
            <w:tcBorders/>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repayment (borrowing) of loans by equity affiliates</w:t>
            </w:r>
          </w:p>
        </w:tc>
        <w:tc>
          <w:tcPr>
            <w:tcW w:w="97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979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w:t>
            </w:r>
          </w:p>
        </w:tc>
        <w:tc>
          <w:tcPr>
            <w:tcW w:w="405" w:type="dxa"/>
            <w:tcBorders/>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investing activity</w:t>
            </w:r>
          </w:p>
        </w:tc>
        <w:tc>
          <w:tcPr>
            <w:tcW w:w="97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Provided by (Used for) Investing Activities</w:t>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(4,254)</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(3,432)</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(7,266)</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(9,050)</w:t>
            </w:r>
          </w:p>
        </w:tc>
        <w:tc>
          <w:tcPr>
            <w:tcW w:w="40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FINANCING ACTIVITIES</w:t>
            </w:r>
          </w:p>
        </w:tc>
        <w:tc>
          <w:tcPr>
            <w:tcW w:w="1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debt</w:t>
            </w:r>
          </w:p>
        </w:tc>
        <w:tc>
          <w:tcPr>
            <w:tcW w:w="9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(8,406)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(3,764)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4,731 </w:t>
            </w:r>
          </w:p>
        </w:tc>
        <w:tc>
          <w:tcPr>
            <w:tcW w:w="405" w:type="dxa"/>
            <w:tcBorders/>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dividends — common stock</w:t>
            </w:r>
          </w:p>
        </w:tc>
        <w:tc>
          <w:tcPr>
            <w:tcW w:w="9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(3,504)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(7,030)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(5,918)</w:t>
            </w:r>
          </w:p>
        </w:tc>
        <w:tc>
          <w:tcPr>
            <w:tcW w:w="405" w:type="dxa"/>
            <w:tcBorders/>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issued for share-based compensation</w:t>
            </w:r>
          </w:p>
        </w:tc>
        <w:tc>
          <w:tcPr>
            <w:tcW w:w="97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1,209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4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lineRule="auto" w:line="240" w:before="0" w:after="0"/>
              <w:ind w:left="0" w:right="0" w:firstLine="90"/>
              <w:jc w:val="left"/>
              <w:rPr/>
            </w:pPr>
            <w:r>
              <w:rPr>
                <w:rFonts w:ascii="Times New Roman;serif" w:hAnsi="Times New Roman;serif"/>
                <w:b w:val="false"/>
                <w:color w:val="000000"/>
                <w:sz w:val="20"/>
              </w:rPr>
              <w:t xml:space="preserve">Shares repurchased </w:t>
            </w:r>
            <w:r>
              <w:rPr>
                <w:rFonts w:ascii="Times New Roman;serif" w:hAnsi="Times New Roman;serif"/>
                <w:b w:val="false"/>
                <w:color w:val="000000"/>
                <w:sz w:val="13"/>
              </w:rPr>
              <w:t>(1)</w:t>
            </w:r>
          </w:p>
        </w:tc>
        <w:tc>
          <w:tcPr>
            <w:tcW w:w="9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(3,117)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(5,689)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(6,661)</w:t>
            </w:r>
          </w:p>
        </w:tc>
        <w:tc>
          <w:tcPr>
            <w:tcW w:w="405" w:type="dxa"/>
            <w:tcBorders/>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to noncontrolling interests</w:t>
            </w:r>
          </w:p>
        </w:tc>
        <w:tc>
          <w:tcPr>
            <w:tcW w:w="9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(269)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4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Provided by (Used for) Financing Activities</w:t>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(15,095)</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(5,985)</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(15,543)</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(7,649)</w:t>
            </w:r>
          </w:p>
        </w:tc>
        <w:tc>
          <w:tcPr>
            <w:tcW w:w="40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EFFECT OF EXCHANGE RATE CHANGES ON CASH, CASH EQUIVALENTS AND RESTRICTED CASH</w:t>
            </w:r>
          </w:p>
        </w:tc>
        <w:tc>
          <w:tcPr>
            <w:tcW w:w="9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4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CHANGE IN CASH, CASH EQUIVALENTS AND RESTRICTED CASH</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9"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3,266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9"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2,297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(2,887)</w:t>
            </w:r>
          </w:p>
        </w:tc>
        <w:tc>
          <w:tcPr>
            <w:tcW w:w="4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RECONCILIATION OF NON-GAAP MEASURES</w:t>
            </w:r>
          </w:p>
        </w:tc>
        <w:tc>
          <w:tcPr>
            <w:tcW w:w="1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9"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22,633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9"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25,147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13,765 </w:t>
            </w:r>
          </w:p>
        </w:tc>
        <w:tc>
          <w:tcPr>
            <w:tcW w:w="405" w:type="dxa"/>
            <w:tcBorders/>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decrease (increase) in operating working capital</w:t>
            </w:r>
          </w:p>
        </w:tc>
        <w:tc>
          <w:tcPr>
            <w:tcW w:w="97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2,945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(1,680)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(2,130)</w:t>
            </w:r>
          </w:p>
        </w:tc>
        <w:tc>
          <w:tcPr>
            <w:tcW w:w="4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 from Operations Excluding Working Capital</w:t>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19,688</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8,298 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26,827</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15,895 </w:t>
            </w:r>
          </w:p>
        </w:tc>
        <w:tc>
          <w:tcPr>
            <w:tcW w:w="40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9"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22,633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9"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25,147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13,765 </w:t>
            </w:r>
          </w:p>
        </w:tc>
        <w:tc>
          <w:tcPr>
            <w:tcW w:w="405" w:type="dxa"/>
            <w:tcBorders/>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Capital expenditures</w:t>
            </w:r>
          </w:p>
        </w:tc>
        <w:tc>
          <w:tcPr>
            <w:tcW w:w="97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4,538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8,601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7,639 </w:t>
            </w:r>
          </w:p>
        </w:tc>
        <w:tc>
          <w:tcPr>
            <w:tcW w:w="4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Free Cash Flow</w:t>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18,095</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4,864 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16,546</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6,126 </w:t>
            </w:r>
          </w:p>
        </w:tc>
        <w:tc>
          <w:tcPr>
            <w:tcW w:w="405" w:type="dxa"/>
            <w:tcBorders>
              <w:top w:val="single" w:sz="8" w:space="0" w:color="000000"/>
            </w:tcBorders>
            <w:tcMar>
              <w:top w:w="52"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decrease (increase) in operating working capital</w:t>
            </w:r>
          </w:p>
        </w:tc>
        <w:tc>
          <w:tcPr>
            <w:tcW w:w="97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2,945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(1,680)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(2,130)</w:t>
            </w:r>
          </w:p>
        </w:tc>
        <w:tc>
          <w:tcPr>
            <w:tcW w:w="405" w:type="dxa"/>
            <w:tcBorders/>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Plus: Proceeds and deposits related to asset sales and returns of capital</w:t>
            </w:r>
          </w:p>
        </w:tc>
        <w:tc>
          <w:tcPr>
            <w:tcW w:w="97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990 </w:t>
            </w:r>
          </w:p>
        </w:tc>
        <w:tc>
          <w:tcPr>
            <w:tcW w:w="405" w:type="dxa"/>
            <w:tcBorders/>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Plus: Net repayment (borrowing) of loans by equity affiliates</w:t>
            </w:r>
          </w:p>
        </w:tc>
        <w:tc>
          <w:tcPr>
            <w:tcW w:w="97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979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w:t>
            </w:r>
          </w:p>
        </w:tc>
        <w:tc>
          <w:tcPr>
            <w:tcW w:w="4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Free Cash Flow</w:t>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15,433</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4,866 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19,560</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9,070 </w:t>
            </w:r>
          </w:p>
        </w:tc>
        <w:tc>
          <w:tcPr>
            <w:tcW w:w="40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 xml:space="preserve">Includes $114 million and $146 million in 2026 and 2025, respectively, related to excise tax payments for prior year repurchases. </w:t>
            </w:r>
          </w:p>
        </w:tc>
      </w:tr>
      <w:tr>
        <w:trPr/>
        <w:tc>
          <w:tcPr>
            <w:tcW w:w="4755"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-10-</w:t>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06705"/>
                <wp:effectExtent l="0" t="0" r="0" b="0"/>
                <wp:wrapNone/>
                <wp:docPr id="13" name="Frame12"/>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-MORE-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218.85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-MORE-</w:t>
                      </w:r>
                    </w:p>
                  </w:txbxContent>
                </v:textbox>
                <w10:wrap type="none"/>
              </v:rect>
            </w:pict>
          </mc:Fallback>
        </mc:AlternateContent>
      </w:r>
    </w:p>
    <w:tbl>
      <w:tblPr>
        <w:tblW w:w="7181" w:type="dxa"/>
        <w:jc w:val="center"/>
        <w:tblInd w:w="0" w:type="dxa"/>
        <w:tblLayout w:type="fixed"/>
        <w:tblCellMar>
          <w:top w:w="28" w:type="dxa"/>
          <w:left w:w="28" w:type="dxa"/>
          <w:bottom w:w="28" w:type="dxa"/>
          <w:right w:w="28" w:type="dxa"/>
        </w:tblCellMar>
      </w:tblPr>
      <w:tblGrid>
        <w:gridCol w:w="124"/>
        <w:gridCol w:w="109"/>
        <w:gridCol w:w="109"/>
        <w:gridCol w:w="618"/>
        <w:gridCol w:w="618"/>
        <w:gridCol w:w="618"/>
        <w:gridCol w:w="618"/>
        <w:gridCol w:w="618"/>
        <w:gridCol w:w="618"/>
        <w:gridCol w:w="618"/>
        <w:gridCol w:w="618"/>
        <w:gridCol w:w="621"/>
        <w:gridCol w:w="372"/>
        <w:gridCol w:w="372"/>
        <w:gridCol w:w="53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CHEVRON CORPORATION - FINANCIAL REVIEW</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Attachment 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(Millions of Dollars)</w:t>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tc>
        <w:tc>
          <w:tcPr>
            <w:tcW w:w="1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1992" w:type="dxa"/>
        <w:jc w:val="center"/>
        <w:tblInd w:w="0" w:type="dxa"/>
        <w:tblLayout w:type="fixed"/>
        <w:tblCellMar>
          <w:top w:w="28" w:type="dxa"/>
          <w:left w:w="28" w:type="dxa"/>
          <w:bottom w:w="28" w:type="dxa"/>
          <w:right w:w="28" w:type="dxa"/>
        </w:tblCellMar>
      </w:tblPr>
      <w:tblGrid>
        <w:gridCol w:w="192"/>
        <w:gridCol w:w="168"/>
        <w:gridCol w:w="168"/>
        <w:gridCol w:w="387"/>
        <w:gridCol w:w="387"/>
        <w:gridCol w:w="292"/>
        <w:gridCol w:w="196"/>
        <w:gridCol w:w="436"/>
        <w:gridCol w:w="109"/>
        <w:gridCol w:w="196"/>
        <w:gridCol w:w="406"/>
        <w:gridCol w:w="109"/>
        <w:gridCol w:w="196"/>
        <w:gridCol w:w="661"/>
        <w:gridCol w:w="109"/>
        <w:gridCol w:w="109"/>
        <w:gridCol w:w="109"/>
        <w:gridCol w:w="109"/>
        <w:gridCol w:w="196"/>
        <w:gridCol w:w="436"/>
        <w:gridCol w:w="109"/>
        <w:gridCol w:w="196"/>
        <w:gridCol w:w="346"/>
        <w:gridCol w:w="109"/>
        <w:gridCol w:w="196"/>
        <w:gridCol w:w="556"/>
        <w:gridCol w:w="109"/>
        <w:gridCol w:w="109"/>
        <w:gridCol w:w="109"/>
        <w:gridCol w:w="109"/>
        <w:gridCol w:w="196"/>
        <w:gridCol w:w="436"/>
        <w:gridCol w:w="109"/>
        <w:gridCol w:w="196"/>
        <w:gridCol w:w="436"/>
        <w:gridCol w:w="109"/>
        <w:gridCol w:w="196"/>
        <w:gridCol w:w="661"/>
        <w:gridCol w:w="109"/>
        <w:gridCol w:w="109"/>
        <w:gridCol w:w="109"/>
        <w:gridCol w:w="109"/>
        <w:gridCol w:w="196"/>
        <w:gridCol w:w="436"/>
        <w:gridCol w:w="109"/>
        <w:gridCol w:w="196"/>
        <w:gridCol w:w="346"/>
        <w:gridCol w:w="109"/>
        <w:gridCol w:w="196"/>
        <w:gridCol w:w="556"/>
        <w:gridCol w:w="154"/>
      </w:tblGrid>
      <w:tr>
        <w:trPr/>
        <w:tc>
          <w:tcPr>
            <w:tcW w:w="192"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67" w:type="dxa"/>
            <w:gridSpan w:val="3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RECONCILIATION OF NON-GAAP MEASURES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Three Months Ended </w:t>
              <w:b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Three Months Ended </w:t>
              <w:b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 2025</w:t>
            </w:r>
          </w:p>
        </w:tc>
      </w:tr>
      <w:tr>
        <w:trPr/>
        <w:tc>
          <w:tcPr>
            <w:tcW w:w="159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REPORTED EARNINGS</w:t>
            </w:r>
          </w:p>
        </w:tc>
        <w:tc>
          <w:tcPr>
            <w:tcW w:w="7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Pre-Tax</w:t>
            </w:r>
          </w:p>
        </w:tc>
        <w:tc>
          <w:tcPr>
            <w:tcW w:w="7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Income Tax</w:t>
            </w:r>
          </w:p>
        </w:tc>
        <w:tc>
          <w:tcPr>
            <w:tcW w:w="9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After-Tax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Pre-Tax</w:t>
            </w:r>
          </w:p>
        </w:tc>
        <w:tc>
          <w:tcPr>
            <w:tcW w:w="6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Income Tax</w:t>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After-Tax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Pre-Tax</w:t>
            </w:r>
          </w:p>
        </w:tc>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Income Tax</w:t>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After-Tax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Pre-Tax</w:t>
            </w:r>
          </w:p>
        </w:tc>
        <w:tc>
          <w:tcPr>
            <w:tcW w:w="6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Income Tax</w:t>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After-Tax</w:t>
            </w:r>
          </w:p>
        </w:tc>
      </w:tr>
      <w:tr>
        <w:trPr/>
        <w:tc>
          <w:tcPr>
            <w:tcW w:w="4012"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U.S. Upstream</w:t>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3,541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5,653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3,276 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Int'l Upstream</w:t>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4,641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6,438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3,209 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U.S. Downstream</w:t>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2,411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2,607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Int'l Downstream</w:t>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2,457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1,444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All Other</w:t>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(978)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(1,860)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(1,557)</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6"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Income (Loss) Attributable to Chevron Corporation</w:t>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12,072</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14,282</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5,990 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SPECIAL ITEMS</w:t>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U.S. Upstream</w:t>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Asset sale gains</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3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3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3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28"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Legal reserves</w:t>
            </w:r>
          </w:p>
        </w:tc>
        <w:tc>
          <w:tcPr>
            <w:tcW w:w="6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Int'l Upstream</w:t>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28"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28"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28"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Tax items</w:t>
            </w:r>
          </w:p>
        </w:tc>
        <w:tc>
          <w:tcPr>
            <w:tcW w:w="6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U.S. Downstream</w:t>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28"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28"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Legal reserves</w:t>
            </w:r>
          </w:p>
        </w:tc>
        <w:tc>
          <w:tcPr>
            <w:tcW w:w="6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(470)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(360)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59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Int'l Downstream</w:t>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Asset sale gains</w:t>
            </w:r>
          </w:p>
        </w:tc>
        <w:tc>
          <w:tcPr>
            <w:tcW w:w="63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230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230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230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230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28"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28"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59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All Other</w:t>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Pension settlement &amp; curtailment costs (including Hess)</w:t>
            </w:r>
          </w:p>
        </w:tc>
        <w:tc>
          <w:tcPr>
            <w:tcW w:w="6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(113)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(86)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(113)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(86)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28"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28"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Fair value adjustment of Hess common stock</w:t>
            </w:r>
          </w:p>
        </w:tc>
        <w:tc>
          <w:tcPr>
            <w:tcW w:w="6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Special Items</w:t>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117</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0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27</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144</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4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(353)</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137</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(216)</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4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(390)</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FOREIGN CURRENCY EFFECTS</w:t>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Int'l Upstream</w:t>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(77)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(310)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(372)</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Int'l Downstream</w:t>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All Other</w:t>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Foreign Currency Effects</w:t>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(49)</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(348)</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(272)</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(486)</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4"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u w:val="single"/>
              </w:rPr>
              <w:t>ADJUSTED EARNINGS/(LOSS)</w:t>
            </w:r>
            <w:r>
              <w:rPr>
                <w:color w:val="000000"/>
              </w:rPr>
              <w:t xml:space="preserve"> </w:t>
            </w:r>
            <w:r>
              <w:rPr>
                <w:rFonts w:ascii="Times New Roman;serif" w:hAnsi="Times New Roman;serif"/>
                <w:b/>
                <w:color w:val="000000"/>
                <w:sz w:val="10"/>
              </w:rPr>
              <w:t>(1)</w:t>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U.S. Upstream</w:t>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3,541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5,653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3,291 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Int'l Upstream</w:t>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4,718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6,748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3,636 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U.S. Downstream</w:t>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2,411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2,967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Int'l Downstream</w:t>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2,196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1,175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All Other</w:t>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(889)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(1,773)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(1,392)</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6"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Adjusted Earnings/(Loss)</w:t>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11,977</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3,053 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14,770</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6,866 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6"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Adjusted Earnings/(Loss) per share</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6.06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7.46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2" w:type="dxa"/>
            <w:gridSpan w:val="51"/>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9"/>
              </w:rPr>
              <w:t>(1)</w:t>
            </w:r>
            <w:r>
              <w:rPr>
                <w:color w:val="000000"/>
              </w:rPr>
              <w:t xml:space="preserve"> </w:t>
            </w:r>
            <w:r>
              <w:rPr>
                <w:rFonts w:ascii="Times New Roman;serif" w:hAnsi="Times New Roman;serif"/>
                <w:b w:val="false"/>
                <w:color w:val="000000"/>
                <w:sz w:val="14"/>
              </w:rPr>
              <w:t>Adjusted Earnings/(Loss) is defined as Net Income (loss) attributable to Chevron Corporation excluding special items and foreign currency effects.</w:t>
            </w:r>
          </w:p>
        </w:tc>
      </w:tr>
      <w:tr>
        <w:trPr/>
        <w:tc>
          <w:tcPr>
            <w:tcW w:w="528"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28"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6261" w:type="dxa"/>
            <w:gridSpan w:val="27"/>
            <w:tcBorders/>
          </w:tcPr>
          <w:p>
            <w:pPr>
              <w:pStyle w:val="TableContents"/>
              <w:bidi w:val="0"/>
              <w:spacing w:before="0" w:after="283"/>
              <w:jc w:val="left"/>
              <w:rPr>
                <w:sz w:val="4"/>
                <w:szCs w:val="4"/>
              </w:rPr>
            </w:pPr>
            <w:r>
              <w:rPr>
                <w:sz w:val="4"/>
                <w:szCs w:val="4"/>
              </w:rPr>
            </w:r>
          </w:p>
        </w:tc>
      </w:tr>
      <w:tr>
        <w:trPr/>
        <w:tc>
          <w:tcPr>
            <w:tcW w:w="528"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tcPr>
          <w:p>
            <w:pPr>
              <w:pStyle w:val="TableContents"/>
              <w:bidi w:val="0"/>
              <w:spacing w:before="0" w:after="283"/>
              <w:jc w:val="left"/>
              <w:rPr>
                <w:sz w:val="4"/>
                <w:szCs w:val="4"/>
              </w:rPr>
            </w:pPr>
            <w:r>
              <w:rPr>
                <w:sz w:val="4"/>
                <w:szCs w:val="4"/>
              </w:rPr>
            </w:r>
          </w:p>
        </w:tc>
      </w:tr>
      <w:tr>
        <w:trPr/>
        <w:tc>
          <w:tcPr>
            <w:tcW w:w="528"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tcPr>
          <w:p>
            <w:pPr>
              <w:pStyle w:val="TableContents"/>
              <w:bidi w:val="0"/>
              <w:spacing w:before="0" w:after="283"/>
              <w:jc w:val="left"/>
              <w:rPr>
                <w:sz w:val="4"/>
                <w:szCs w:val="4"/>
              </w:rPr>
            </w:pPr>
            <w:r>
              <w:rPr>
                <w:sz w:val="4"/>
                <w:szCs w:val="4"/>
              </w:rPr>
            </w:r>
          </w:p>
        </w:tc>
      </w:tr>
      <w:tr>
        <w:trPr/>
        <w:tc>
          <w:tcPr>
            <w:tcW w:w="528"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tcPr>
          <w:p>
            <w:pPr>
              <w:pStyle w:val="TableContents"/>
              <w:bidi w:val="0"/>
              <w:spacing w:before="0" w:after="283"/>
              <w:jc w:val="left"/>
              <w:rPr>
                <w:sz w:val="4"/>
                <w:szCs w:val="4"/>
              </w:rPr>
            </w:pPr>
            <w:r>
              <w:rPr>
                <w:sz w:val="4"/>
                <w:szCs w:val="4"/>
              </w:rPr>
            </w:r>
          </w:p>
        </w:tc>
      </w:tr>
      <w:tr>
        <w:trPr/>
        <w:tc>
          <w:tcPr>
            <w:tcW w:w="528"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tcPr>
          <w:p>
            <w:pPr>
              <w:pStyle w:val="TableContents"/>
              <w:bidi w:val="0"/>
              <w:spacing w:before="0" w:after="283"/>
              <w:jc w:val="left"/>
              <w:rPr>
                <w:sz w:val="4"/>
                <w:szCs w:val="4"/>
              </w:rPr>
            </w:pPr>
            <w:r>
              <w:rPr>
                <w:sz w:val="4"/>
                <w:szCs w:val="4"/>
              </w:rPr>
            </w:r>
          </w:p>
        </w:tc>
      </w:tr>
      <w:tr>
        <w:trPr/>
        <w:tc>
          <w:tcPr>
            <w:tcW w:w="528"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98" w:type="dxa"/>
            <w:gridSpan w:val="9"/>
            <w:tcBorders/>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5395</Words>
  <Characters>29191</Characters>
  <CharactersWithSpaces>33757</CharactersWithSpaces>
  <Paragraphs>1518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