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Walz Andrew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SMITH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CHEVRON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DM&amp;C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88.2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132.69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16,814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201.0615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5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88.2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132.69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12,700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number includes the acquisition of stock resulting from the reinvestment of dividends on vested restricted stock units (14 shares) under the Chevron Corporation 2022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$201.01 to $201.1150. The price reported in Column 4 reflects the weighted-average sale price. The reporting person hereby undertakes to provide upon request to the SEC staff, the issuer or a security holder of the issuer full information regarding the number of shares sold at each separate price within the range provided.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Between March 3, 2026 and August 17, 2026, the reporting person acquired 185 shares of Chevron common stock under the Chevron Employee Savings Investment Plan, a 401(k)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Option granted 1/27/2021. One-third of the shares subject to the option vested on January 31, 2022, January 31, 2023 and January 31, 2024,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Option granted 1/26/2022. One-third of the shares subject to the option vested on January 31, 2023, January 31, 2024 and January 31, 2025, respectively.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 Z. Pierson, Attorney-in-Fact for Andrew Benjamin Walz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4251" TargetMode="External"/><Relationship Id="rId5" Type="http://schemas.openxmlformats.org/officeDocument/2006/relationships/hyperlink" Target="http://www.sec.gov/cgi-bin/browse-edgar?action=getcompany&amp;CIK=0000093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798</Words>
  <Characters>4299</Characters>
  <CharactersWithSpaces>4982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